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Controlling</w:t>
      </w:r>
      <w:r>
        <w:t xml:space="preserve"> </w:t>
      </w:r>
      <w:r>
        <w:t xml:space="preserve">invasive</w:t>
      </w:r>
      <w:r>
        <w:t xml:space="preserve"> </w:t>
      </w:r>
      <w:r>
        <w:t xml:space="preserve">predators</w:t>
      </w:r>
      <w:r>
        <w:t xml:space="preserve"> </w:t>
      </w:r>
      <w:r>
        <w:t xml:space="preserve">at</w:t>
      </w:r>
      <w:r>
        <w:t xml:space="preserve"> </w:t>
      </w:r>
      <w:r>
        <w:t xml:space="preserve">a</w:t>
      </w:r>
      <w:r>
        <w:t xml:space="preserve"> </w:t>
      </w:r>
      <w:r>
        <w:t xml:space="preserve">national</w:t>
      </w:r>
      <w:r>
        <w:t xml:space="preserve"> </w:t>
      </w:r>
      <w:r>
        <w:t xml:space="preserve">scale.</w:t>
      </w:r>
    </w:p>
    <w:p>
      <w:pPr>
        <w:pStyle w:val="Author"/>
      </w:pPr>
      <w:r>
        <w:t xml:space="preserve">Anthony</w:t>
      </w:r>
      <w:r>
        <w:t xml:space="preserve"> </w:t>
      </w:r>
      <w:r>
        <w:t xml:space="preserve">Davidson</w:t>
      </w:r>
    </w:p>
    <w:p>
      <w:pPr>
        <w:pStyle w:val="Date"/>
      </w:pPr>
      <w:r>
        <w:t xml:space="preserve">February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neral-over"/>
      <w:r>
        <w:t xml:space="preserve">Overview</w:t>
      </w:r>
      <w:bookmarkEnd w:id="20"/>
    </w:p>
    <w:p>
      <w:pPr>
        <w:pStyle w:val="FirstParagraph"/>
      </w:pPr>
      <w:r>
        <w:t xml:space="preserve">Throughout my candatiture I have developed my thesis while simulationously writing a series of computationally reproducible pipelines (packages and repostories) that ensure sound curation, analysis and communication of datasets collected for large-scale pest control programs</w:t>
      </w:r>
      <w:r>
        <w:t xml:space="preserve"> </w:t>
      </w:r>
      <w:r>
        <w:rPr>
          <w:i/>
        </w:rPr>
        <w:t xml:space="preserve">[Davidson2020-Reproducibility; Invasive species database]</w:t>
      </w:r>
      <w:r>
        <w:t xml:space="preserve">. I use this framework to address the</w:t>
      </w:r>
      <w:r>
        <w:t xml:space="preserve"> </w:t>
      </w:r>
      <w:r>
        <w:t xml:space="preserve">“</w:t>
      </w:r>
      <w:r>
        <w:t xml:space="preserve">unexpected</w:t>
      </w:r>
      <w:r>
        <w:t xml:space="preserve">”</w:t>
      </w:r>
      <w:r>
        <w:t xml:space="preserve"> </w:t>
      </w:r>
      <w:r>
        <w:t xml:space="preserve">outcomes of predator removal in two case studies</w:t>
      </w:r>
      <w:r>
        <w:rPr>
          <w:i/>
        </w:rPr>
        <w:t xml:space="preserve">[Davidson2020-Beech-forests; MPD-forests]</w:t>
      </w:r>
      <w:r>
        <w:t xml:space="preserve">. I fit different state-space models to account for the underlying demographic processes of increased complexity. I use New Zealand PFNZ 2050</w:t>
      </w:r>
      <w:r>
        <w:t xml:space="preserve"> </w:t>
      </w:r>
      <w:r>
        <w:t xml:space="preserve">“</w:t>
      </w:r>
      <w:r>
        <w:t xml:space="preserve">appollo shot</w:t>
      </w:r>
      <w:r>
        <w:t xml:space="preserve">”</w:t>
      </w:r>
      <w:r>
        <w:t xml:space="preserve"> </w:t>
      </w:r>
      <w:r>
        <w:t xml:space="preserve">to demostrate the applicability of this reproducible method to support citizen science and community driven predator control</w:t>
      </w:r>
      <w:r>
        <w:rPr>
          <w:i/>
        </w:rPr>
        <w:t xml:space="preserve">[Davidson2020-PFNZ2050]</w:t>
      </w:r>
      <w:r>
        <w:t xml:space="preserve">.</w:t>
      </w:r>
    </w:p>
    <w:p>
      <w:pPr>
        <w:pStyle w:val="Heading1"/>
      </w:pPr>
      <w:bookmarkStart w:id="21" w:name="intro"/>
      <w:r>
        <w:t xml:space="preserve">Introduction</w:t>
      </w:r>
      <w:bookmarkEnd w:id="21"/>
    </w:p>
    <w:p>
      <w:pPr>
        <w:pStyle w:val="FirstParagraph"/>
      </w:pPr>
      <w:r>
        <w:t xml:space="preserve">Invasive species are regarded to impact native species globally. Meta-analysis highlight the unexpected impacts of not monitoring and account for dynamic changes in both species interactions and enviromental changes. Under these conditions, repeatabilty and computational reproducibility are vital aspects to the development of this research.</w:t>
      </w:r>
    </w:p>
    <w:p>
      <w:pPr>
        <w:pStyle w:val="Heading1"/>
      </w:pPr>
      <w:bookmarkStart w:id="22" w:name="reproducible-framework"/>
      <w:r>
        <w:t xml:space="preserve">Reproducible framework</w:t>
      </w:r>
      <w:bookmarkEnd w:id="22"/>
    </w:p>
    <w:p>
      <w:pPr>
        <w:pStyle w:val="FirstParagraph"/>
      </w:pPr>
      <w:r>
        <w:rPr>
          <w:i/>
        </w:rPr>
        <w:t xml:space="preserve">[publication: Davidson2020-Reproducibility]</w:t>
      </w:r>
    </w:p>
    <w:p>
      <w:pPr>
        <w:pStyle w:val="BodyText"/>
      </w:pPr>
      <w:r>
        <w:t xml:space="preserve">Reproducible approaches to replicate theoretical scenarios provide the framework to account for changes in such unanticipated and complex outcomes.</w:t>
      </w:r>
    </w:p>
    <w:p>
      <w:pPr>
        <w:pStyle w:val="BodyText"/>
      </w:pPr>
      <w:r>
        <w:t xml:space="preserve">To begin with, i taken the exsisiting research analysis to build a research synthesis database of the theoretical relationships proposed in over 100 years of conservation research in NZ (e.g. Holland et al. 2015; Ruscoe et al. 2005; Choquenot &amp; Ruscoe 2000; Ruscoe et al. 2004; King et al. 2003).</w:t>
      </w:r>
    </w:p>
    <w:p>
      <w:pPr>
        <w:pStyle w:val="Heading1"/>
      </w:pPr>
      <w:bookmarkStart w:id="23" w:name="lits"/>
      <w:r>
        <w:t xml:space="preserve">Literature review</w:t>
      </w:r>
      <w:bookmarkEnd w:id="23"/>
    </w:p>
    <w:p>
      <w:pPr>
        <w:pStyle w:val="FirstParagraph"/>
      </w:pPr>
      <w:r>
        <w:rPr>
          <w:i/>
        </w:rPr>
        <w:t xml:space="preserve">[publication: Davidson2020-Invasive species database]</w:t>
      </w:r>
      <w:r>
        <w:rPr>
          <w:i/>
        </w:rPr>
        <w:t xml:space="preserve"> </w:t>
      </w:r>
    </w:p>
    <w:p>
      <w:pPr>
        <w:pStyle w:val="BodyText"/>
      </w:pPr>
      <w:r>
        <w:t xml:space="preserve">I estimate the effects of predator control from these models but addionationally provide a reproducible workflow in systems with and without stoat control, varying control methods and differences in resources flow between these systems (Chapter Four).</w:t>
      </w:r>
    </w:p>
    <w:p>
      <w:pPr>
        <w:pStyle w:val="Heading1"/>
      </w:pPr>
      <w:bookmarkStart w:id="24" w:name="case-studies"/>
      <w:r>
        <w:t xml:space="preserve">Case studies</w:t>
      </w:r>
      <w:bookmarkEnd w:id="24"/>
    </w:p>
    <w:p>
      <w:pPr>
        <w:pStyle w:val="FirstParagraph"/>
      </w:pPr>
      <w:r>
        <w:t xml:space="preserve">I then apply a Bayesian modelling framework to two case studies, incorperating increased complexity from beech forests (Chapter Two) t mixed forest dynamics (Chapter Three) in NZ forests. Each case study consists of high quality CR datasets. The CR study design allows me to encorperate both the proposed ecological processes (e.g. predation) know to drive populations and the observation error (e.g. estimating population size) from the research synthesis.</w:t>
      </w:r>
    </w:p>
    <w:p>
      <w:pPr>
        <w:pStyle w:val="Heading2"/>
      </w:pPr>
      <w:bookmarkStart w:id="25" w:name="appbeech"/>
      <w:r>
        <w:t xml:space="preserve">Beech Forests</w:t>
      </w:r>
      <w:bookmarkEnd w:id="25"/>
    </w:p>
    <w:p>
      <w:pPr>
        <w:pStyle w:val="FirstParagraph"/>
      </w:pPr>
      <w:r>
        <w:t xml:space="preserve">Compare the importance of bottom-up and top-down processes in regulating invasive species in New Zealand forests.</w:t>
      </w:r>
    </w:p>
    <w:p>
      <w:pPr>
        <w:pStyle w:val="BodyText"/>
      </w:pPr>
      <w:r>
        <w:rPr>
          <w:i/>
        </w:rPr>
        <w:t xml:space="preserve">[publication: Davidson2020-Beech-forests]</w:t>
      </w:r>
    </w:p>
    <w:p>
      <w:pPr>
        <w:pStyle w:val="Heading2"/>
      </w:pPr>
      <w:bookmarkStart w:id="26" w:name="app-mpd"/>
      <w:r>
        <w:t xml:space="preserve">Mixed Podocarp forests</w:t>
      </w:r>
      <w:bookmarkEnd w:id="26"/>
    </w:p>
    <w:p>
      <w:pPr>
        <w:pStyle w:val="FirstParagraph"/>
      </w:pPr>
      <w:r>
        <w:t xml:space="preserve">A more complex set of interreacting invasive species.</w:t>
      </w:r>
    </w:p>
    <w:p>
      <w:pPr>
        <w:pStyle w:val="BodyText"/>
      </w:pPr>
      <w:r>
        <w:rPr>
          <w:i/>
        </w:rPr>
        <w:t xml:space="preserve">[publication: Davidson2020-MPD-forests]</w:t>
      </w:r>
    </w:p>
    <w:p>
      <w:pPr>
        <w:pStyle w:val="Heading1"/>
      </w:pPr>
      <w:bookmarkStart w:id="27" w:name="discussion"/>
      <w:r>
        <w:t xml:space="preserve">Discussion</w:t>
      </w:r>
      <w:bookmarkEnd w:id="27"/>
    </w:p>
    <w:p>
      <w:pPr>
        <w:pStyle w:val="FirstParagraph"/>
      </w:pPr>
      <w:r>
        <w:rPr>
          <w:i/>
        </w:rPr>
        <w:t xml:space="preserve">[publication: Davidson2020-PFNZ2050]</w:t>
      </w:r>
    </w:p>
    <w:p>
      <w:pPr>
        <w:pStyle w:val="BodyText"/>
      </w:pPr>
      <w:r>
        <w:t xml:space="preserve">The computationally reproducible framework I propose in this thesis (chapter 2 and 3) are a key aspect of achieving PFNZ2050. Resources and man-power are driven by communities for New Zealands predator-free NZ 2050 to achieve targets. If these predator targets are not repeatable, it will not be possible to scale control to a national, human-inhabited enviroment due to the exessive unexpected outcomes are likely.</w:t>
      </w:r>
    </w:p>
    <w:p>
      <w:pPr>
        <w:pStyle w:val="Heading2"/>
      </w:pPr>
      <w:bookmarkStart w:id="28" w:name="undocumented-references"/>
      <w:r>
        <w:t xml:space="preserve">Undocumented References</w:t>
      </w:r>
      <w:bookmarkEnd w:id="28"/>
    </w:p>
    <w:p>
      <w:pPr>
        <w:pStyle w:val="FirstParagraph"/>
      </w:pPr>
      <w:r>
        <w:t xml:space="preserve">Spatz, D. R., Zilliacus, K. M., Holmes, N. D., Butchart, S. H. M., Genovesi, P., Ceballos, G., … Croll, D. A. (2017). Globally threatened vertebrates on islands with invasive species.</w:t>
      </w:r>
      <w:r>
        <w:t xml:space="preserve"> </w:t>
      </w:r>
      <w:r>
        <w:rPr>
          <w:i/>
        </w:rPr>
        <w:t xml:space="preserve">Science Advances</w:t>
      </w:r>
      <w:r>
        <w:t xml:space="preserve">,</w:t>
      </w:r>
      <w:r>
        <w:t xml:space="preserve"> </w:t>
      </w:r>
      <w:r>
        <w:rPr>
          <w:i/>
        </w:rPr>
        <w:t xml:space="preserve">3</w:t>
      </w:r>
      <w:r>
        <w:t xml:space="preserve">(10), e1603080.</w:t>
      </w:r>
      <w:r>
        <w:t xml:space="preserve"> </w:t>
      </w:r>
      <w:hyperlink r:id="rId29">
        <w:r>
          <w:rPr>
            <w:rStyle w:val="Hyperlink"/>
          </w:rPr>
          <w:t xml:space="preserve">https://doi.org/10.1126/sciadv.1603080</w:t>
        </w:r>
      </w:hyperlink>
    </w:p>
    <w:p>
      <w:pPr>
        <w:pStyle w:val="BodyText"/>
      </w:pPr>
      <w:r>
        <w:t xml:space="preserve">“</w:t>
      </w:r>
      <w:r>
        <w:t xml:space="preserve">Gompertz B. On the nature of the function expressive of the law of human mortality, and on a new mode of determining the value of life contingencies. Philosophical Transactions of the Royal Society of Lon- don B: Biological Sciences. 1825; 182:513–85.</w:t>
      </w:r>
      <w:r>
        <w:t xml:space="preserve">”</w:t>
      </w:r>
    </w:p>
    <w:p>
      <w:pPr>
        <w:pStyle w:val="BodyText"/>
      </w:pPr>
      <w:r>
        <w:t xml:space="preserve">“</w:t>
      </w:r>
      <w:r>
        <w:t xml:space="preserve">Verhulst P-F. Notice sur la loi que la population suit dans son accroissement. Correspondance mathe´- matique et physique. 1938; 10:113–21.</w:t>
      </w:r>
      <w:r>
        <w:t xml:space="preserve">”</w:t>
      </w:r>
    </w:p>
    <w:p>
      <w:pPr>
        <w:pStyle w:val="BodyText"/>
      </w:pPr>
      <w:r>
        <w:t xml:space="preserve">THEY ARE:</w:t>
      </w:r>
    </w:p>
    <w:p>
      <w:pPr>
        <w:pStyle w:val="BodyText"/>
      </w:pPr>
      <w:r>
        <w:t xml:space="preserve">3.Winsor CP. The Gompertz curve as a growth curve. Proc. Nat. Acad. Sci. 1932; 18(1):1–8. PMID: 16577417</w:t>
      </w:r>
    </w:p>
    <w:p>
      <w:pPr>
        <w:numPr>
          <w:numId w:val="1001"/>
          <w:ilvl w:val="0"/>
        </w:numPr>
      </w:pPr>
      <w:r>
        <w:t xml:space="preserve">Laird AK. Dynamics of tumor growth. British Journal of Cancer. 1964; 18:490–502.</w:t>
      </w:r>
    </w:p>
    <w:p>
      <w:pPr>
        <w:numPr>
          <w:numId w:val="1001"/>
          <w:ilvl w:val="0"/>
        </w:numPr>
      </w:pPr>
      <w:r>
        <w:t xml:space="preserve">Ricker WE. Growth rates and models. In: Hoar WS, Randall DJ, Brett JR, editors. Fish physiology. Lon- don: Academic Press; 1979. p. 677–743.</w:t>
      </w:r>
    </w:p>
    <w:p>
      <w:pPr>
        <w:numPr>
          <w:numId w:val="1001"/>
          <w:ilvl w:val="0"/>
        </w:numPr>
      </w:pPr>
      <w:r>
        <w:t xml:space="preserve">Zwietering MH, Jongenburger I, Rombouts FM, Van’T Rie T K. Modeling of the bacterial growth Curve. Appl. Env. Micriobiol. 1990; 56(6):1975–81.</w:t>
      </w:r>
    </w:p>
    <w:p>
      <w:pPr>
        <w:numPr>
          <w:numId w:val="1001"/>
          <w:ilvl w:val="0"/>
        </w:numPr>
      </w:pPr>
      <w:r>
        <w:t xml:space="preserve">Skinner GE, Larkin JW. Mathematical modeling of microbial growth: a review. Journal of Food Safety. 1994; 14:1975–217.</w:t>
      </w:r>
    </w:p>
    <w:p>
      <w:pPr>
        <w:numPr>
          <w:numId w:val="1001"/>
          <w:ilvl w:val="0"/>
        </w:numPr>
      </w:pPr>
      <w:r>
        <w:t xml:space="preserve">Starck JM, Ricklefs RE. Avian growth and development. The evolution within the altricial-precocial spectrum. New York, Oxford: Oxford University Press; 1998. 441 p.</w:t>
      </w:r>
    </w:p>
    <w:p>
      <w:pPr>
        <w:numPr>
          <w:numId w:val="1001"/>
          <w:ilvl w:val="0"/>
        </w:numPr>
      </w:pPr>
      <w:r>
        <w:t xml:space="preserve">Aggrey SE. Comparison of three nonlinear and sprline regression models for describing chicken growth curves. Poultry Science. 2002; 81:1782–8. PMID: 12512566</w:t>
      </w:r>
    </w:p>
    <w:p>
      <w:pPr>
        <w:numPr>
          <w:numId w:val="1001"/>
          <w:ilvl w:val="0"/>
        </w:numPr>
      </w:pPr>
      <w:r>
        <w:t xml:space="preserve">Paine CET, Marthews TR, Vogt DR, Purves D, Rees M, Hector A, Turnbull LA. How to fit nonlinear plant growth models and calculate growth rates: and update for ecologists. Methods in Ecology and Evolution. 2012; 3:245–56.</w:t>
      </w:r>
    </w:p>
    <w:p>
      <w:pPr>
        <w:numPr>
          <w:numId w:val="1001"/>
          <w:ilvl w:val="0"/>
        </w:numPr>
      </w:pPr>
      <w:r>
        <w:t xml:space="preserve">Benzekry S, Lamont C, Beheshti A, Tracz A, Ebos JML, Hlatky L, Hahnfeldt P. Classical mathematical models for description and prediction of experimental tumor growth. PLOS Computional Biology. 2014; 10(8): e1003800.</w:t>
      </w:r>
    </w:p>
    <w:p>
      <w:pPr>
        <w:numPr>
          <w:numId w:val="1001"/>
          <w:ilvl w:val="0"/>
        </w:numPr>
      </w:pPr>
      <w:r>
        <w:t xml:space="preserve">Halmi MIE, Shukor MS, Johari WIW, Shuker MY. Evaluation of several mathematical models for fitting the growth of the algae Dunaliella tertiolecta. Asian Journal of Plant Biology. 2014; 2(1):1–6.</w:t>
      </w:r>
    </w:p>
    <w:sectPr w:rsidR="00661E45">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75CA" w14:textId="09B1E406" w:rsidR="0058012B" w:rsidRDefault="009565BB">
    <w:pPr>
      <w:pStyle w:val="Header"/>
    </w:pPr>
    <w:sdt>
      <w:sdtPr>
        <w:id w:val="1716851754"/>
        <w:docPartObj>
          <w:docPartGallery w:val="Watermarks"/>
          <w:docPartUnique/>
        </w:docPartObj>
      </w:sdtPr>
      <w:sdtEndPr/>
      <w:sdtContent>
        <w:r>
          <w:rPr>
            <w:noProof/>
          </w:rPr>
          <w:pict w14:anchorId="598956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01FE4">
      <w:t xml:space="preserve">Davidson </w:t>
    </w:r>
    <w:r w:rsidR="00701FE4" w:rsidRPr="00701FE4">
      <w:rPr>
        <w:i/>
        <w:iCs/>
      </w:rPr>
      <w:t>et al.</w:t>
    </w:r>
    <w:r w:rsidR="00701FE4">
      <w:t xml:space="preserve"> (2020)</w:t>
    </w:r>
    <w:r w:rsidR="00701FE4">
      <w:tab/>
    </w:r>
    <w:r w:rsidR="00701FE4">
      <w:tab/>
      <w:t>Controlling invasive predators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52BA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4C4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04059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num>
  <w:num w:numId="8">
    <w:abstractNumId w:val="0"/>
  </w:num>
  <w:num w:numId="9">
    <w:abstractNumId w:val="0"/>
  </w:num>
  <w:num w:numId="10">
    <w:abstractNumId w:val="0"/>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6B9"/>
    <w:pPr>
      <w:jc w:val="both"/>
    </w:pPr>
    <w:rPr>
      <w:rFonts w:ascii="Times New Roman" w:hAnsi="Times New Roman"/>
      <w:sz w:val="24"/>
    </w:rPr>
  </w:style>
  <w:style w:type="paragraph" w:styleId="Heading1">
    <w:name w:val="heading 1"/>
    <w:basedOn w:val="Normal"/>
    <w:next w:val="Normal"/>
    <w:link w:val="Heading1Char"/>
    <w:uiPriority w:val="9"/>
    <w:qFormat/>
    <w:rsid w:val="0058012B"/>
    <w:pPr>
      <w:keepNext/>
      <w:keepLines/>
      <w:spacing w:before="320" w:after="80" w:line="240" w:lineRule="auto"/>
      <w:jc w:val="center"/>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801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801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801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801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801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8012B"/>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unhideWhenUsed/>
    <w:qFormat/>
    <w:rsid w:val="005801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5801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8012B"/>
    <w:pPr>
      <w:pBdr>
        <w:top w:val="single" w:sz="6" w:space="8" w:color="9BBB59" w:themeColor="accent3"/>
        <w:bottom w:val="single" w:sz="6" w:space="8" w:color="9BBB59" w:themeColor="accent3"/>
      </w:pBdr>
      <w:spacing w:after="400" w:line="240" w:lineRule="auto"/>
      <w:contextualSpacing/>
      <w:jc w:val="center"/>
    </w:pPr>
    <w:rPr>
      <w:rFonts w:eastAsiaTheme="majorEastAsia" w:cstheme="majorBidi"/>
      <w:b/>
      <w:caps/>
      <w:spacing w:val="30"/>
      <w:sz w:val="72"/>
      <w:szCs w:val="72"/>
    </w:rPr>
  </w:style>
  <w:style w:type="paragraph" w:styleId="Subtitle">
    <w:name w:val="Subtitle"/>
    <w:basedOn w:val="Normal"/>
    <w:next w:val="Normal"/>
    <w:link w:val="SubtitleChar"/>
    <w:uiPriority w:val="11"/>
    <w:qFormat/>
    <w:rsid w:val="0058012B"/>
    <w:pPr>
      <w:numPr>
        <w:ilvl w:val="1"/>
      </w:numPr>
      <w:jc w:val="center"/>
    </w:pPr>
    <w:rPr>
      <w:color w:val="1F497D"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8012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uiPriority w:val="99"/>
    <w:rPr>
      <w:b/>
      <w:bCs/>
      <w:smallCaps w:val="0"/>
      <w:color w:val="4F81BD" w:themeColor="accent1"/>
      <w:sz w:val="16"/>
      <w:szCs w:val="16"/>
    </w:rPr>
  </w:style>
  <w:style w:type="paragraph" w:styleId="TOCHeading">
    <w:name w:val="TOC Heading"/>
    <w:basedOn w:val="Heading1"/>
    <w:next w:val="Normal"/>
    <w:uiPriority w:val="39"/>
    <w:unhideWhenUsed/>
    <w:qFormat/>
    <w:rsid w:val="0058012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BalloonText">
    <w:name w:val="Balloon Text"/>
    <w:basedOn w:val="Normal"/>
    <w:link w:val="BalloonTextChar"/>
    <w:semiHidden/>
    <w:unhideWhenUsed/>
    <w:rsid w:val="00B120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202B"/>
    <w:rPr>
      <w:rFonts w:ascii="Segoe UI" w:hAnsi="Segoe UI" w:cs="Segoe UI"/>
      <w:sz w:val="18"/>
      <w:szCs w:val="18"/>
    </w:rPr>
  </w:style>
  <w:style w:type="character" w:customStyle="1" w:styleId="Heading1Char">
    <w:name w:val="Heading 1 Char"/>
    <w:basedOn w:val="DefaultParagraphFont"/>
    <w:link w:val="Heading1"/>
    <w:uiPriority w:val="9"/>
    <w:rsid w:val="0058012B"/>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5801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801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801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801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801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801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5801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58012B"/>
    <w:rPr>
      <w:b/>
      <w:bCs/>
      <w:i/>
      <w:iCs/>
    </w:rPr>
  </w:style>
  <w:style w:type="character" w:customStyle="1" w:styleId="TitleChar">
    <w:name w:val="Title Char"/>
    <w:basedOn w:val="DefaultParagraphFont"/>
    <w:link w:val="Title"/>
    <w:uiPriority w:val="10"/>
    <w:rsid w:val="0058012B"/>
    <w:rPr>
      <w:rFonts w:ascii="Times New Roman" w:eastAsiaTheme="majorEastAsia" w:hAnsi="Times New Roman" w:cstheme="majorBidi"/>
      <w:b/>
      <w:caps/>
      <w:spacing w:val="30"/>
      <w:sz w:val="72"/>
      <w:szCs w:val="72"/>
    </w:rPr>
  </w:style>
  <w:style w:type="character" w:customStyle="1" w:styleId="SubtitleChar">
    <w:name w:val="Subtitle Char"/>
    <w:basedOn w:val="DefaultParagraphFont"/>
    <w:link w:val="Subtitle"/>
    <w:uiPriority w:val="11"/>
    <w:rsid w:val="0058012B"/>
    <w:rPr>
      <w:color w:val="1F497D" w:themeColor="text2"/>
      <w:sz w:val="28"/>
      <w:szCs w:val="28"/>
    </w:rPr>
  </w:style>
  <w:style w:type="character" w:styleId="Strong">
    <w:name w:val="Strong"/>
    <w:basedOn w:val="DefaultParagraphFont"/>
    <w:uiPriority w:val="22"/>
    <w:qFormat/>
    <w:rsid w:val="0058012B"/>
    <w:rPr>
      <w:b/>
      <w:bCs/>
    </w:rPr>
  </w:style>
  <w:style w:type="character" w:styleId="Emphasis">
    <w:name w:val="Emphasis"/>
    <w:basedOn w:val="DefaultParagraphFont"/>
    <w:uiPriority w:val="20"/>
    <w:qFormat/>
    <w:rsid w:val="0058012B"/>
    <w:rPr>
      <w:i/>
      <w:iCs/>
      <w:color w:val="000000" w:themeColor="text1"/>
    </w:rPr>
  </w:style>
  <w:style w:type="paragraph" w:styleId="NoSpacing">
    <w:name w:val="No Spacing"/>
    <w:uiPriority w:val="1"/>
    <w:qFormat/>
    <w:rsid w:val="0058012B"/>
    <w:pPr>
      <w:spacing w:after="0" w:line="240" w:lineRule="auto"/>
    </w:pPr>
  </w:style>
  <w:style w:type="paragraph" w:styleId="Quote">
    <w:name w:val="Quote"/>
    <w:basedOn w:val="Normal"/>
    <w:next w:val="Normal"/>
    <w:link w:val="QuoteChar"/>
    <w:uiPriority w:val="29"/>
    <w:qFormat/>
    <w:rsid w:val="0058012B"/>
    <w:pPr>
      <w:spacing w:before="160"/>
      <w:ind w:left="720" w:right="720"/>
      <w:jc w:val="center"/>
    </w:pPr>
    <w:rPr>
      <w:i/>
      <w:iCs/>
      <w:color w:val="76923C" w:themeColor="accent3" w:themeShade="BF"/>
      <w:szCs w:val="24"/>
    </w:rPr>
  </w:style>
  <w:style w:type="character" w:customStyle="1" w:styleId="QuoteChar">
    <w:name w:val="Quote Char"/>
    <w:basedOn w:val="DefaultParagraphFont"/>
    <w:link w:val="Quote"/>
    <w:uiPriority w:val="29"/>
    <w:rsid w:val="0058012B"/>
    <w:rPr>
      <w:i/>
      <w:iCs/>
      <w:color w:val="76923C" w:themeColor="accent3" w:themeShade="BF"/>
      <w:sz w:val="24"/>
      <w:szCs w:val="24"/>
    </w:rPr>
  </w:style>
  <w:style w:type="paragraph" w:styleId="IntenseQuote">
    <w:name w:val="Intense Quote"/>
    <w:basedOn w:val="Normal"/>
    <w:next w:val="Normal"/>
    <w:link w:val="IntenseQuoteChar"/>
    <w:uiPriority w:val="30"/>
    <w:qFormat/>
    <w:rsid w:val="0058012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8012B"/>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8012B"/>
    <w:rPr>
      <w:i/>
      <w:iCs/>
      <w:color w:val="595959" w:themeColor="text1" w:themeTint="A6"/>
    </w:rPr>
  </w:style>
  <w:style w:type="character" w:styleId="IntenseEmphasis">
    <w:name w:val="Intense Emphasis"/>
    <w:basedOn w:val="DefaultParagraphFont"/>
    <w:uiPriority w:val="21"/>
    <w:qFormat/>
    <w:rsid w:val="0058012B"/>
    <w:rPr>
      <w:b/>
      <w:bCs/>
      <w:i/>
      <w:iCs/>
      <w:color w:val="auto"/>
    </w:rPr>
  </w:style>
  <w:style w:type="character" w:styleId="SubtleReference">
    <w:name w:val="Subtle Reference"/>
    <w:basedOn w:val="DefaultParagraphFont"/>
    <w:uiPriority w:val="31"/>
    <w:qFormat/>
    <w:rsid w:val="005801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8012B"/>
    <w:rPr>
      <w:b/>
      <w:bCs/>
      <w:caps w:val="0"/>
      <w:smallCaps/>
      <w:color w:val="auto"/>
      <w:spacing w:val="0"/>
      <w:u w:val="single"/>
    </w:rPr>
  </w:style>
  <w:style w:type="character" w:styleId="BookTitle">
    <w:name w:val="Book Title"/>
    <w:basedOn w:val="DefaultParagraphFont"/>
    <w:uiPriority w:val="33"/>
    <w:qFormat/>
    <w:rsid w:val="0058012B"/>
    <w:rPr>
      <w:b/>
      <w:bCs/>
      <w:caps w:val="0"/>
      <w:smallCaps/>
      <w:spacing w:val="0"/>
    </w:rPr>
  </w:style>
  <w:style w:type="paragraph" w:styleId="TOC1">
    <w:name w:val="toc 1"/>
    <w:basedOn w:val="Normal"/>
    <w:next w:val="Normal"/>
    <w:autoRedefine/>
    <w:uiPriority w:val="39"/>
    <w:unhideWhenUsed/>
    <w:rsid w:val="0058012B"/>
    <w:pPr>
      <w:spacing w:after="100"/>
    </w:pPr>
  </w:style>
  <w:style w:type="paragraph" w:styleId="TOC2">
    <w:name w:val="toc 2"/>
    <w:basedOn w:val="Normal"/>
    <w:next w:val="Normal"/>
    <w:autoRedefine/>
    <w:uiPriority w:val="39"/>
    <w:unhideWhenUsed/>
    <w:rsid w:val="0058012B"/>
    <w:pPr>
      <w:spacing w:after="100"/>
      <w:ind w:left="210"/>
    </w:pPr>
  </w:style>
  <w:style w:type="paragraph" w:styleId="Header">
    <w:name w:val="header"/>
    <w:basedOn w:val="Normal"/>
    <w:link w:val="HeaderChar"/>
    <w:unhideWhenUsed/>
    <w:rsid w:val="0058012B"/>
    <w:pPr>
      <w:tabs>
        <w:tab w:val="center" w:pos="4513"/>
        <w:tab w:val="right" w:pos="9026"/>
      </w:tabs>
      <w:spacing w:after="0" w:line="240" w:lineRule="auto"/>
    </w:pPr>
  </w:style>
  <w:style w:type="character" w:customStyle="1" w:styleId="HeaderChar">
    <w:name w:val="Header Char"/>
    <w:basedOn w:val="DefaultParagraphFont"/>
    <w:link w:val="Header"/>
    <w:rsid w:val="0058012B"/>
  </w:style>
  <w:style w:type="paragraph" w:styleId="Footer">
    <w:name w:val="footer"/>
    <w:basedOn w:val="Normal"/>
    <w:link w:val="FooterChar"/>
    <w:unhideWhenUsed/>
    <w:rsid w:val="0058012B"/>
    <w:pPr>
      <w:tabs>
        <w:tab w:val="center" w:pos="4513"/>
        <w:tab w:val="right" w:pos="9026"/>
      </w:tabs>
      <w:spacing w:after="0" w:line="240" w:lineRule="auto"/>
    </w:pPr>
  </w:style>
  <w:style w:type="character" w:customStyle="1" w:styleId="FooterChar">
    <w:name w:val="Footer Char"/>
    <w:basedOn w:val="DefaultParagraphFont"/>
    <w:link w:val="Footer"/>
    <w:rsid w:val="0058012B"/>
  </w:style>
  <w:style w:type="paragraph" w:styleId="ListParagraph">
    <w:name w:val="List Paragraph"/>
    <w:basedOn w:val="Normal"/>
    <w:uiPriority w:val="34"/>
    <w:qFormat/>
    <w:rsid w:val="0058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9" Target="https://doi.org/10.1126/sciadv.1603080"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126/sciadv.16030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invasive predators at a national scale.</dc:title>
  <dc:creator>Anthony Davidson</dc:creator>
  <cp:keywords/>
  <dcterms:created xsi:type="dcterms:W3CDTF">2020-05-14T19:18:04Z</dcterms:created>
  <dcterms:modified xsi:type="dcterms:W3CDTF">2020-05-14T19:18:04Z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2019</vt:lpwstr>
  </property>
  <property fmtid="{D5CDD505-2E9C-101B-9397-08002B2CF9AE}" pid="4" name="github-repo">
    <vt:lpwstr>davan690/Davidson20202_mpd_dataset</vt:lpwstr>
  </property>
  <property fmtid="{D5CDD505-2E9C-101B-9397-08002B2CF9AE}" pid="5" name="output">
    <vt:lpwstr>bookdown::gitbook</vt:lpwstr>
  </property>
  <property fmtid="{D5CDD505-2E9C-101B-9397-08002B2CF9AE}" pid="6" name="site">
    <vt:lpwstr>bookdown::bookdown_site</vt:lpwstr>
  </property>
</Properties>
</file>