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2B6AE" w14:textId="77777777" w:rsidR="005A4A3A" w:rsidRDefault="005A4A3A" w:rsidP="004D4723">
      <w:pPr>
        <w:spacing w:line="360" w:lineRule="auto"/>
      </w:pPr>
      <w:r>
        <w:t>Devin Lim</w:t>
      </w:r>
    </w:p>
    <w:p w14:paraId="39C721D4" w14:textId="63AA892D" w:rsidR="005A4A3A" w:rsidRDefault="005A4A3A" w:rsidP="004D4723">
      <w:pPr>
        <w:spacing w:line="360" w:lineRule="auto"/>
      </w:pPr>
      <w:r>
        <w:t>DATA 5322 Written Homework 2: Support Vector Machines</w:t>
      </w:r>
    </w:p>
    <w:p w14:paraId="7B77665E" w14:textId="77777777" w:rsidR="005A4A3A" w:rsidRDefault="005A4A3A" w:rsidP="004D4723">
      <w:pPr>
        <w:spacing w:line="360" w:lineRule="auto"/>
      </w:pPr>
      <w:r>
        <w:t>April 29, 2024</w:t>
      </w:r>
    </w:p>
    <w:p w14:paraId="20718ACF" w14:textId="77777777" w:rsidR="005A4A3A" w:rsidRDefault="005A4A3A" w:rsidP="004D4723">
      <w:pPr>
        <w:spacing w:line="360" w:lineRule="auto"/>
      </w:pPr>
    </w:p>
    <w:p w14:paraId="4910A5C0" w14:textId="50698AE3" w:rsidR="005A4A3A" w:rsidRDefault="005A4A3A" w:rsidP="004D4723">
      <w:pPr>
        <w:pStyle w:val="Title"/>
        <w:spacing w:line="360" w:lineRule="auto"/>
        <w:jc w:val="center"/>
      </w:pPr>
      <w:r w:rsidRPr="005A4A3A">
        <w:t>Comparing Predictive Factors of Homeownership in Single-Family Households Across Age Groups</w:t>
      </w:r>
    </w:p>
    <w:p w14:paraId="308B2217" w14:textId="49C0685B" w:rsidR="005A4A3A" w:rsidRDefault="005A4A3A" w:rsidP="004D4723">
      <w:pPr>
        <w:pStyle w:val="Heading1"/>
        <w:spacing w:line="360" w:lineRule="auto"/>
        <w:jc w:val="center"/>
      </w:pPr>
      <w:r>
        <w:t>Abstract</w:t>
      </w:r>
    </w:p>
    <w:p w14:paraId="2E1F420D" w14:textId="4F871776" w:rsidR="002664D1" w:rsidRPr="00FA2AD3" w:rsidRDefault="002664D1" w:rsidP="004D4723">
      <w:pPr>
        <w:spacing w:line="360" w:lineRule="auto"/>
        <w:rPr>
          <w:b/>
          <w:bCs/>
        </w:rPr>
      </w:pPr>
      <w:r>
        <w:tab/>
        <w:t xml:space="preserve">Homeownership rates </w:t>
      </w:r>
      <w:r w:rsidR="00785B0D">
        <w:t xml:space="preserve">in the U.S. </w:t>
      </w:r>
      <w:r>
        <w:t>have fallen since its peak in 2004</w:t>
      </w:r>
      <w:r>
        <w:rPr>
          <w:vertAlign w:val="superscript"/>
        </w:rPr>
        <w:t>1</w:t>
      </w:r>
      <w:r w:rsidR="00FA2AD3">
        <w:t xml:space="preserve">, </w:t>
      </w:r>
      <w:r w:rsidR="00061FA5">
        <w:t>and</w:t>
      </w:r>
      <w:r w:rsidR="00DD34FD">
        <w:t xml:space="preserve"> some researchers</w:t>
      </w:r>
      <w:r w:rsidR="00FA2AD3">
        <w:t xml:space="preserve"> </w:t>
      </w:r>
      <w:r w:rsidR="00061FA5">
        <w:t xml:space="preserve">have argued </w:t>
      </w:r>
      <w:r w:rsidR="00785B0D">
        <w:t>that the</w:t>
      </w:r>
      <w:r w:rsidR="00DD34FD">
        <w:t xml:space="preserve"> ‘real’</w:t>
      </w:r>
      <w:r w:rsidR="00785B0D">
        <w:t xml:space="preserve"> homeownership gap between young adults</w:t>
      </w:r>
      <w:r w:rsidR="00DD34FD">
        <w:t xml:space="preserve"> and past generations is much larger than traditional measure shows</w:t>
      </w:r>
      <w:r w:rsidR="00061FA5">
        <w:t>, causing a significant wealth gap compared to older generations who were able to build wealth through housing equity</w:t>
      </w:r>
      <w:r w:rsidR="00DD34FD">
        <w:rPr>
          <w:vertAlign w:val="superscript"/>
        </w:rPr>
        <w:t>2</w:t>
      </w:r>
      <w:r w:rsidR="00061FA5">
        <w:t xml:space="preserve">. </w:t>
      </w:r>
      <w:r w:rsidR="00FA2AD3">
        <w:t xml:space="preserve"> Using US Census data collected through IPUMS USA</w:t>
      </w:r>
      <w:r w:rsidR="00FA2AD3">
        <w:rPr>
          <w:vertAlign w:val="superscript"/>
        </w:rPr>
        <w:t>3</w:t>
      </w:r>
      <w:r w:rsidR="00FA2AD3">
        <w:t xml:space="preserve">, this paper compares </w:t>
      </w:r>
      <w:r w:rsidR="007C3CF8">
        <w:t>the</w:t>
      </w:r>
      <w:r w:rsidR="00483E04">
        <w:t xml:space="preserve"> changes in the predictive power of predictors for </w:t>
      </w:r>
      <w:r w:rsidR="00483E04">
        <w:t xml:space="preserve">homeownership status </w:t>
      </w:r>
      <w:r w:rsidR="00483E04">
        <w:t>across</w:t>
      </w:r>
      <w:r w:rsidR="007C3CF8">
        <w:t xml:space="preserve"> </w:t>
      </w:r>
      <w:r w:rsidR="00FA2AD3">
        <w:t>3 age groups: Young Adults (aged 18-34), Middle-Aged Adults (aged 35-64), and Older Adults (aged 65+)</w:t>
      </w:r>
      <w:r w:rsidR="007C3CF8">
        <w:t xml:space="preserve">. </w:t>
      </w:r>
      <w:r w:rsidR="00483E04">
        <w:t xml:space="preserve">These </w:t>
      </w:r>
      <w:r w:rsidR="00483E04">
        <w:t>predictors</w:t>
      </w:r>
      <w:r w:rsidR="00483E04">
        <w:t xml:space="preserve"> are</w:t>
      </w:r>
      <w:r w:rsidR="00483E04">
        <w:t xml:space="preserve"> comprised of housing characteristics (such as age of structure), demographic characteristics (such as population density), and personal characteristics (such as educational attainment)</w:t>
      </w:r>
      <w:r w:rsidR="00483E04">
        <w:t xml:space="preserve">. </w:t>
      </w:r>
      <w:r w:rsidR="00216845">
        <w:t>By using Support Vector Classifiers with linear, radial, and polynomial kernels, r</w:t>
      </w:r>
      <w:r w:rsidR="007C3CF8">
        <w:t xml:space="preserve">esults show that although there are commonalities between age groups, </w:t>
      </w:r>
      <w:r w:rsidR="00061FA5">
        <w:t xml:space="preserve">the relative importance of factors shift substantially. For instance, while personal income is the second most important factor for </w:t>
      </w:r>
      <w:r w:rsidR="008D2820">
        <w:t>y</w:t>
      </w:r>
      <w:r w:rsidR="00061FA5">
        <w:t xml:space="preserve">oung </w:t>
      </w:r>
      <w:r w:rsidR="008D2820">
        <w:t>a</w:t>
      </w:r>
      <w:r w:rsidR="00061FA5">
        <w:t xml:space="preserve">dult homeownership, it shifts to becoming the second least important factor for </w:t>
      </w:r>
      <w:r w:rsidR="008D2820">
        <w:t>o</w:t>
      </w:r>
      <w:r w:rsidR="00061FA5">
        <w:t xml:space="preserve">lder </w:t>
      </w:r>
      <w:r w:rsidR="008D2820">
        <w:t>a</w:t>
      </w:r>
      <w:r w:rsidR="00061FA5">
        <w:t xml:space="preserve">dult homeownership. This suggests that focused </w:t>
      </w:r>
      <w:r w:rsidR="008D2820">
        <w:t xml:space="preserve">effort is necessary to assist young adults in closing the homeownership gap. </w:t>
      </w:r>
    </w:p>
    <w:p w14:paraId="050D969D" w14:textId="5604615C" w:rsidR="005A4A3A" w:rsidRDefault="005A4A3A" w:rsidP="004D4723">
      <w:pPr>
        <w:pStyle w:val="Heading1"/>
        <w:spacing w:line="360" w:lineRule="auto"/>
        <w:jc w:val="center"/>
      </w:pPr>
      <w:r>
        <w:lastRenderedPageBreak/>
        <w:t>Introduction</w:t>
      </w:r>
    </w:p>
    <w:p w14:paraId="462CA82E" w14:textId="77777777" w:rsidR="00EB3580" w:rsidRDefault="008D2820" w:rsidP="004D4723">
      <w:pPr>
        <w:spacing w:line="360" w:lineRule="auto"/>
      </w:pPr>
      <w:r>
        <w:tab/>
        <w:t>Homeownership rates in the U.S. have dropped from a peak of 69.2</w:t>
      </w:r>
      <w:r w:rsidR="00731CAD">
        <w:t xml:space="preserve"> percent </w:t>
      </w:r>
      <w:r>
        <w:t>in 2004 to 65.7</w:t>
      </w:r>
      <w:r w:rsidR="00731CAD">
        <w:t xml:space="preserve"> percent</w:t>
      </w:r>
      <w:r>
        <w:t xml:space="preserve"> in 2023</w:t>
      </w:r>
      <w:r>
        <w:rPr>
          <w:vertAlign w:val="superscript"/>
        </w:rPr>
        <w:t>1</w:t>
      </w:r>
      <w:r>
        <w:t>. By traditional measures, homeownership rates for young adults have declined from 45</w:t>
      </w:r>
      <w:r w:rsidR="00A533E1">
        <w:t>.0</w:t>
      </w:r>
      <w:r w:rsidR="00731CAD">
        <w:t xml:space="preserve"> percent</w:t>
      </w:r>
      <w:r>
        <w:t xml:space="preserve"> in 1990</w:t>
      </w:r>
      <w:r w:rsidR="00A533E1">
        <w:t xml:space="preserve"> to 41.6</w:t>
      </w:r>
      <w:r w:rsidR="00731CAD">
        <w:t xml:space="preserve"> percent</w:t>
      </w:r>
      <w:r w:rsidR="00A533E1">
        <w:t xml:space="preserve"> in 2021. However, traditional measures typically consider only one type of living arrangement: "living independently as a one-person household or as the household head with other individuals in a household.” When </w:t>
      </w:r>
      <w:r w:rsidR="00731CAD">
        <w:t>we consider another type of living arrangement – being the spouse of a household head, this becomes a “15.4 percentage-point decline between 1990 and 2021”. This decline is met with an increase in “in the share of young adults living with parents (from 12.5 percent to 20.2 percent) and those living with others (from 10.7 percent to 18.3 percent)”</w:t>
      </w:r>
      <w:r w:rsidR="00731CAD">
        <w:rPr>
          <w:vertAlign w:val="superscript"/>
        </w:rPr>
        <w:t>2</w:t>
      </w:r>
      <w:r w:rsidR="00731CAD">
        <w:t>. Other reports have examined the reasons behind falling homeownership rates</w:t>
      </w:r>
      <w:r w:rsidR="00EB3580">
        <w:t xml:space="preserve"> among the younger generation, attributing it to the costs of higher education, house prices, and rents that have grown faster than incomes</w:t>
      </w:r>
      <w:r w:rsidR="00731CAD">
        <w:rPr>
          <w:vertAlign w:val="superscript"/>
        </w:rPr>
        <w:t>4</w:t>
      </w:r>
      <w:r w:rsidR="00EB3580">
        <w:t xml:space="preserve">. The focus of this paper is to not to analyze the factors behind falling homeownership rates directly, but rather to examine the differences in the power of predictive factors across age groups. </w:t>
      </w:r>
    </w:p>
    <w:p w14:paraId="347BBD6D" w14:textId="7D0CE838" w:rsidR="00BC566B" w:rsidRPr="00E37825" w:rsidRDefault="00EB3580" w:rsidP="004D4723">
      <w:pPr>
        <w:spacing w:line="360" w:lineRule="auto"/>
      </w:pPr>
      <w:r>
        <w:tab/>
        <w:t xml:space="preserve">The dataset used in this analysis is a subset of the </w:t>
      </w:r>
      <w:r w:rsidR="00864627">
        <w:t xml:space="preserve">IPUMS USA 2023 census, containing </w:t>
      </w:r>
      <w:r w:rsidR="004A5A08">
        <w:t xml:space="preserve">10 </w:t>
      </w:r>
      <w:r w:rsidR="00864627">
        <w:t>predictor variables: "Population-weighted density of PUMA", "Number of rooms",</w:t>
      </w:r>
      <w:r w:rsidR="00E854AF">
        <w:t xml:space="preserve"> </w:t>
      </w:r>
      <w:r w:rsidR="00864627">
        <w:t>"Age of structure",</w:t>
      </w:r>
      <w:r w:rsidR="00E854AF">
        <w:t xml:space="preserve"> </w:t>
      </w:r>
      <w:r w:rsidR="00864627">
        <w:t>"Number of bedrooms",</w:t>
      </w:r>
      <w:r w:rsidR="00E854AF">
        <w:t xml:space="preserve"> </w:t>
      </w:r>
      <w:r w:rsidR="00864627">
        <w:t>"Number of families in household",</w:t>
      </w:r>
      <w:r w:rsidR="00E854AF">
        <w:t xml:space="preserve"> </w:t>
      </w:r>
      <w:r w:rsidR="00864627">
        <w:t>"Number of couples in household",</w:t>
      </w:r>
      <w:r w:rsidR="00E854AF">
        <w:t xml:space="preserve"> </w:t>
      </w:r>
      <w:r w:rsidR="00864627">
        <w:t>"Age",</w:t>
      </w:r>
      <w:r w:rsidR="00E854AF">
        <w:t xml:space="preserve"> </w:t>
      </w:r>
      <w:r w:rsidR="00864627">
        <w:t>"Marital status"</w:t>
      </w:r>
      <w:r w:rsidR="00E854AF">
        <w:t xml:space="preserve">, </w:t>
      </w:r>
      <w:r w:rsidR="00864627">
        <w:t>"Educational attainment</w:t>
      </w:r>
      <w:r w:rsidR="00E854AF">
        <w:t xml:space="preserve">”, and </w:t>
      </w:r>
      <w:r w:rsidR="00864627">
        <w:t>"Total personal income"</w:t>
      </w:r>
      <w:r w:rsidR="004A5A08">
        <w:t>. IPUMS USA “is a project dedicated to collecting and distributing United States census data” ran out of University of Minnesota and it contains data from 1790 to the present, available by request</w:t>
      </w:r>
      <w:r w:rsidR="00E37825">
        <w:rPr>
          <w:vertAlign w:val="superscript"/>
        </w:rPr>
        <w:t>3</w:t>
      </w:r>
      <w:r w:rsidR="00E37825">
        <w:t>.</w:t>
      </w:r>
    </w:p>
    <w:p w14:paraId="669F4434" w14:textId="57C873D6" w:rsidR="004A5A08" w:rsidRDefault="004A5A08" w:rsidP="004D4723">
      <w:pPr>
        <w:spacing w:line="360" w:lineRule="auto"/>
      </w:pPr>
      <w:r>
        <w:tab/>
        <w:t xml:space="preserve">Various Support Vector Machine models </w:t>
      </w:r>
      <w:r w:rsidR="00E37825">
        <w:t>were</w:t>
      </w:r>
      <w:r>
        <w:t xml:space="preserve"> built against a binary response variable (“Owned’” or “Rented”) using the same set of predictors but different segments of the data</w:t>
      </w:r>
      <w:r w:rsidR="00E37825">
        <w:t xml:space="preserve"> that were</w:t>
      </w:r>
      <w:r>
        <w:t xml:space="preserve"> split by age groups. The models </w:t>
      </w:r>
      <w:r w:rsidR="00E37825">
        <w:t>were</w:t>
      </w:r>
      <w:r>
        <w:t xml:space="preserve"> then compared by its efficacy and interpretability. Background information on the data preparation process and machine learning methods along with discussion on the findings are provided below.</w:t>
      </w:r>
    </w:p>
    <w:p w14:paraId="4776CA5E" w14:textId="333E445A" w:rsidR="004A5A08" w:rsidRPr="00EB3580" w:rsidRDefault="004A5A08" w:rsidP="004D4723">
      <w:pPr>
        <w:spacing w:line="360" w:lineRule="auto"/>
      </w:pPr>
      <w:r>
        <w:tab/>
      </w:r>
    </w:p>
    <w:p w14:paraId="4F9A13B2" w14:textId="6AA5FE00" w:rsidR="005A4A3A" w:rsidRDefault="005A4A3A" w:rsidP="004D4723">
      <w:pPr>
        <w:pStyle w:val="Heading1"/>
        <w:spacing w:line="360" w:lineRule="auto"/>
        <w:jc w:val="center"/>
      </w:pPr>
      <w:r w:rsidRPr="005A4A3A">
        <w:lastRenderedPageBreak/>
        <w:t>Background</w:t>
      </w:r>
    </w:p>
    <w:p w14:paraId="2309EB12" w14:textId="31E49064" w:rsidR="00C75BC3" w:rsidRDefault="00C75BC3" w:rsidP="004D4723">
      <w:pPr>
        <w:pStyle w:val="Heading2"/>
        <w:spacing w:line="360" w:lineRule="auto"/>
      </w:pPr>
      <w:r>
        <w:t>Support Vector Machines</w:t>
      </w:r>
    </w:p>
    <w:p w14:paraId="27018775" w14:textId="7C4FCC6A" w:rsidR="00237D12" w:rsidRDefault="007336E7" w:rsidP="004D4723">
      <w:pPr>
        <w:spacing w:line="360" w:lineRule="auto"/>
      </w:pPr>
      <w:r>
        <w:tab/>
      </w:r>
      <w:r w:rsidR="004F40AD">
        <w:t xml:space="preserve">Support Vector Machines </w:t>
      </w:r>
      <w:r w:rsidR="00237D12">
        <w:t xml:space="preserve">(SVMs) </w:t>
      </w:r>
      <w:r w:rsidR="004F40AD">
        <w:t>are supervised learning models whose m</w:t>
      </w:r>
      <w:r>
        <w:t>ost basic version</w:t>
      </w:r>
      <w:r w:rsidR="004F40AD">
        <w:t xml:space="preserve"> is a</w:t>
      </w:r>
      <w:r>
        <w:t xml:space="preserve"> Maximal Margin Classifier</w:t>
      </w:r>
      <w:r w:rsidR="00237D12">
        <w:t xml:space="preserve"> (MMC)</w:t>
      </w:r>
      <w:r w:rsidR="004F40AD">
        <w:t>. A</w:t>
      </w:r>
      <w:r w:rsidR="00237D12">
        <w:t>n</w:t>
      </w:r>
      <w:r w:rsidR="004F40AD">
        <w:t xml:space="preserve"> </w:t>
      </w:r>
      <w:r w:rsidR="00237D12">
        <w:t xml:space="preserve">MMC </w:t>
      </w:r>
      <w:r>
        <w:t>aims to</w:t>
      </w:r>
      <w:r w:rsidR="004F40AD">
        <w:t xml:space="preserve"> find a separating hyperplane (a line in 2D) that separates two classes such that the distance, known as the margin, between the line and its closest points is maximized. Support vectors are points that lie on the margin.</w:t>
      </w:r>
      <w:r w:rsidR="00237D12">
        <w:t xml:space="preserve"> An MMC do not allow for any points to be misclassified. </w:t>
      </w:r>
    </w:p>
    <w:p w14:paraId="785AA6B7" w14:textId="00B6609C" w:rsidR="00237D12" w:rsidRDefault="00237D12" w:rsidP="004D4723">
      <w:pPr>
        <w:spacing w:line="360" w:lineRule="auto"/>
        <w:ind w:firstLine="720"/>
      </w:pPr>
      <w:r>
        <w:t xml:space="preserve">Because SVMs are based on distances, the “hyperplane is influenced by the scale of the input </w:t>
      </w:r>
      <w:proofErr w:type="gramStart"/>
      <w:r>
        <w:t>features</w:t>
      </w:r>
      <w:proofErr w:type="gramEnd"/>
      <w:r>
        <w:t xml:space="preserve"> and it’s therefore recommended that data be standardized … prior to SVM model training”</w:t>
      </w:r>
      <w:r>
        <w:rPr>
          <w:vertAlign w:val="superscript"/>
        </w:rPr>
        <w:t>6</w:t>
      </w:r>
      <w:r>
        <w:t>.</w:t>
      </w:r>
    </w:p>
    <w:p w14:paraId="3ACD0909" w14:textId="7AA82062" w:rsidR="00237D12" w:rsidRDefault="00237D12" w:rsidP="004D4723">
      <w:pPr>
        <w:pStyle w:val="Heading2"/>
        <w:spacing w:line="360" w:lineRule="auto"/>
      </w:pPr>
      <w:r>
        <w:t>Support Vector Classifiers</w:t>
      </w:r>
    </w:p>
    <w:p w14:paraId="4E8CD41D" w14:textId="77777777" w:rsidR="003B0C07" w:rsidRDefault="00237D12" w:rsidP="004D4723">
      <w:pPr>
        <w:spacing w:line="360" w:lineRule="auto"/>
      </w:pPr>
      <w:r>
        <w:tab/>
        <w:t xml:space="preserve">A Support Vector Classifier (SVC) is a more specific type of SVMs used for classification problems. It is like an MMC except that it allows for misclassified points. This lets the classifier to improve the classification of majority of the points. </w:t>
      </w:r>
      <w:r w:rsidR="00393D8F">
        <w:t xml:space="preserve">An </w:t>
      </w:r>
      <w:r>
        <w:t>SVC</w:t>
      </w:r>
      <w:r w:rsidR="00393D8F">
        <w:t xml:space="preserve"> can be </w:t>
      </w:r>
      <w:r w:rsidR="003B0C07">
        <w:t>made from</w:t>
      </w:r>
      <w:r w:rsidR="00393D8F">
        <w:t xml:space="preserve"> different types of kernels, but all forms of SVCs</w:t>
      </w:r>
      <w:r>
        <w:t xml:space="preserve"> can be tuned by adjusting its “C”, which is either the “budget” for misclassified points or the “cost” of violation of the margin</w:t>
      </w:r>
      <w:r w:rsidR="00EE2232">
        <w:t xml:space="preserve"> </w:t>
      </w:r>
      <w:r>
        <w:t>depending on the library or context</w:t>
      </w:r>
      <w:r w:rsidR="00393D8F">
        <w:t xml:space="preserve">. </w:t>
      </w:r>
      <w:r w:rsidR="003B0C07">
        <w:t xml:space="preserve">A good starting point for “C” is a very small value like 0.0001 then increment it exponentially/logarithmically like 0.001, 0.01, etc. </w:t>
      </w:r>
    </w:p>
    <w:p w14:paraId="5101D9D8" w14:textId="6FE58C73" w:rsidR="003B0C07" w:rsidRDefault="003B0C07" w:rsidP="003B0C07">
      <w:pPr>
        <w:pStyle w:val="Heading2"/>
      </w:pPr>
      <w:r>
        <w:t>Kernels</w:t>
      </w:r>
    </w:p>
    <w:p w14:paraId="044EA8DC" w14:textId="0BB244B0" w:rsidR="00EE2232" w:rsidRDefault="00393D8F" w:rsidP="003B0C07">
      <w:pPr>
        <w:spacing w:line="360" w:lineRule="auto"/>
        <w:ind w:firstLine="720"/>
      </w:pPr>
      <w:r>
        <w:t xml:space="preserve">A Kernel can be generally thought of as a function that maps the relationship between two points. </w:t>
      </w:r>
    </w:p>
    <w:p w14:paraId="0AE8EDF7" w14:textId="28DAEBAE" w:rsidR="00C75BC3" w:rsidRDefault="00C75BC3" w:rsidP="003B0C07">
      <w:pPr>
        <w:pStyle w:val="Heading3"/>
      </w:pPr>
      <w:r>
        <w:t>Linea</w:t>
      </w:r>
      <w:r w:rsidR="00393D8F">
        <w:t>r</w:t>
      </w:r>
      <w:r>
        <w:t xml:space="preserve"> Kernel</w:t>
      </w:r>
    </w:p>
    <w:p w14:paraId="3C606162" w14:textId="334B0C96" w:rsidR="004C6177" w:rsidRPr="004C6177" w:rsidRDefault="00393D8F" w:rsidP="004D4723">
      <w:pPr>
        <w:spacing w:line="360" w:lineRule="auto"/>
      </w:pPr>
      <w:r>
        <w:tab/>
        <w:t>A Linear Kernel creates a linear hyperplane</w:t>
      </w:r>
      <w:r w:rsidR="004C6177">
        <w:t xml:space="preserve"> to separate classes.</w:t>
      </w:r>
      <w:r w:rsidR="00813219">
        <w:t xml:space="preserve"> Suitable</w:t>
      </w:r>
      <w:r w:rsidR="003B0C07">
        <w:t xml:space="preserve"> </w:t>
      </w:r>
      <w:r w:rsidR="00216845">
        <w:t>(only)</w:t>
      </w:r>
      <w:r w:rsidR="00813219">
        <w:t xml:space="preserve"> for linearly separable data</w:t>
      </w:r>
      <w:r w:rsidR="003B0C07">
        <w:t xml:space="preserve"> and</w:t>
      </w:r>
      <w:r w:rsidR="00CE6F24">
        <w:t xml:space="preserve"> computes reasonably fast</w:t>
      </w:r>
      <w:r w:rsidR="00813219">
        <w:t>.</w:t>
      </w:r>
      <w:r w:rsidR="004C6177">
        <w:t xml:space="preserve"> </w:t>
      </w:r>
      <w:r w:rsidR="00DC55F2">
        <w:t xml:space="preserve">It can be tuned by adjusting its “C”. </w:t>
      </w:r>
      <w:r w:rsidR="00216845">
        <w:t>Higher levels of “C” (as in “cost”) leads to more complex models as it penalizes misclassifications further.</w:t>
      </w:r>
      <w:r w:rsidR="00216845">
        <w:t xml:space="preserve"> </w:t>
      </w:r>
      <w:r w:rsidR="004C6177">
        <w:t xml:space="preserve">For instance, </w:t>
      </w:r>
      <w:r w:rsidR="00DC55F2">
        <w:t xml:space="preserve">Figure 1 is an SVC created with a linear kernel of </w:t>
      </w:r>
      <w:r w:rsidR="00DC55F2">
        <w:lastRenderedPageBreak/>
        <w:t>C=0.01 (</w:t>
      </w:r>
      <w:r w:rsidR="00216845">
        <w:t xml:space="preserve">a </w:t>
      </w:r>
      <w:r w:rsidR="00DC55F2">
        <w:t xml:space="preserve">very low “cost”), hence it allows many red points which should be classified on the left side to be misclassified on the right. </w:t>
      </w:r>
    </w:p>
    <w:p w14:paraId="26AEEE44" w14:textId="77777777" w:rsidR="007336E7" w:rsidRDefault="007336E7" w:rsidP="004D4723">
      <w:pPr>
        <w:spacing w:line="360" w:lineRule="auto"/>
        <w:jc w:val="center"/>
      </w:pPr>
      <w:r w:rsidRPr="00C310D9">
        <w:rPr>
          <w:noProof/>
        </w:rPr>
        <w:drawing>
          <wp:inline distT="0" distB="0" distL="0" distR="0" wp14:anchorId="730E688F" wp14:editId="0ACE1E84">
            <wp:extent cx="4178300" cy="4178300"/>
            <wp:effectExtent l="0" t="0" r="0" b="0"/>
            <wp:docPr id="201398596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85964" name="Picture 1" descr="A graph of a graph&#10;&#10;Description automatically generated with medium confidence"/>
                    <pic:cNvPicPr/>
                  </pic:nvPicPr>
                  <pic:blipFill>
                    <a:blip r:embed="rId5"/>
                    <a:stretch>
                      <a:fillRect/>
                    </a:stretch>
                  </pic:blipFill>
                  <pic:spPr>
                    <a:xfrm>
                      <a:off x="0" y="0"/>
                      <a:ext cx="4178300" cy="4178300"/>
                    </a:xfrm>
                    <a:prstGeom prst="rect">
                      <a:avLst/>
                    </a:prstGeom>
                  </pic:spPr>
                </pic:pic>
              </a:graphicData>
            </a:graphic>
          </wp:inline>
        </w:drawing>
      </w:r>
    </w:p>
    <w:p w14:paraId="055F1991" w14:textId="45057D41" w:rsidR="00C75BC3" w:rsidRDefault="007336E7" w:rsidP="004D4723">
      <w:pPr>
        <w:spacing w:line="360" w:lineRule="auto"/>
        <w:jc w:val="center"/>
      </w:pPr>
      <w:r>
        <w:t xml:space="preserve">Figure 1. Linear SVC example using “Number of bedrooms” and “Total personal </w:t>
      </w:r>
      <w:proofErr w:type="gramStart"/>
      <w:r>
        <w:t>income</w:t>
      </w:r>
      <w:proofErr w:type="gramEnd"/>
      <w:r>
        <w:t>”</w:t>
      </w:r>
    </w:p>
    <w:p w14:paraId="25CEEEF0" w14:textId="2DF1AF76" w:rsidR="00C75BC3" w:rsidRDefault="00C75BC3" w:rsidP="003B0C07">
      <w:pPr>
        <w:pStyle w:val="Heading3"/>
      </w:pPr>
      <w:r>
        <w:t>Radial Kernel</w:t>
      </w:r>
    </w:p>
    <w:p w14:paraId="0E7BEAE8" w14:textId="7318C026" w:rsidR="00C75BC3" w:rsidRDefault="00DC55F2" w:rsidP="004D4723">
      <w:pPr>
        <w:spacing w:line="360" w:lineRule="auto"/>
      </w:pPr>
      <w:r>
        <w:tab/>
      </w:r>
      <w:r w:rsidR="004D4723">
        <w:t xml:space="preserve">A Radial Kernel creates a curvy or circular hyperplane to separate classes. </w:t>
      </w:r>
      <w:r w:rsidR="003B0C07">
        <w:t>Suitable for non-linear relationships,</w:t>
      </w:r>
      <w:r w:rsidR="009A38A1">
        <w:t xml:space="preserve"> </w:t>
      </w:r>
      <w:r w:rsidR="003B0C07">
        <w:t xml:space="preserve">though it is more computationally expensive to fit.  </w:t>
      </w:r>
      <w:r w:rsidR="004D4723">
        <w:t>It can be tuned by adjusting its “C” and “gamma”</w:t>
      </w:r>
      <w:r w:rsidR="003B0C07">
        <w:t xml:space="preserve">, which </w:t>
      </w:r>
      <w:r w:rsidR="003B0C07" w:rsidRPr="003B0C07">
        <w:t xml:space="preserve">defines how far the influence of a single </w:t>
      </w:r>
      <w:r w:rsidR="003B0C07">
        <w:t xml:space="preserve">data point </w:t>
      </w:r>
      <w:r w:rsidR="003B0C07" w:rsidRPr="003B0C07">
        <w:t>reaches.</w:t>
      </w:r>
      <w:r w:rsidR="009A38A1">
        <w:t xml:space="preserve"> Higher levels of “gamma” </w:t>
      </w:r>
      <w:r w:rsidR="007F4C41">
        <w:t>limits the influence of a single data point which leads to more complex models.</w:t>
      </w:r>
    </w:p>
    <w:p w14:paraId="7655CDB5" w14:textId="4FAAB33F" w:rsidR="00C75BC3" w:rsidRPr="00C75BC3" w:rsidRDefault="00C75BC3" w:rsidP="003B0C07">
      <w:pPr>
        <w:pStyle w:val="Heading3"/>
      </w:pPr>
      <w:r>
        <w:t>Poly</w:t>
      </w:r>
      <w:r w:rsidR="00216845">
        <w:t>nomial</w:t>
      </w:r>
      <w:r>
        <w:t xml:space="preserve"> Kernel</w:t>
      </w:r>
    </w:p>
    <w:p w14:paraId="1C4E55DB" w14:textId="32D67C30" w:rsidR="00C310D9" w:rsidRDefault="004D4723" w:rsidP="004D4723">
      <w:pPr>
        <w:spacing w:line="360" w:lineRule="auto"/>
      </w:pPr>
      <w:r>
        <w:tab/>
        <w:t>A Poly</w:t>
      </w:r>
      <w:r w:rsidR="00216845">
        <w:t>nomial</w:t>
      </w:r>
      <w:r>
        <w:t xml:space="preserve"> Kernel creates a polynomial hyperplane to separate classes. </w:t>
      </w:r>
      <w:r w:rsidR="003B0C07">
        <w:t>Suitable for</w:t>
      </w:r>
      <w:r w:rsidR="009A38A1">
        <w:t xml:space="preserve"> more complex</w:t>
      </w:r>
      <w:r w:rsidR="003B0C07">
        <w:t xml:space="preserve"> non-linear</w:t>
      </w:r>
      <w:r w:rsidR="009A38A1">
        <w:t xml:space="preserve"> relationships as it can model increasingly complex interactions between features. It is even more computationally expensive to train than </w:t>
      </w:r>
      <w:r w:rsidR="009A38A1">
        <w:lastRenderedPageBreak/>
        <w:t xml:space="preserve">radial kernels, hence radial kernels are usually better general-purpose kernels. </w:t>
      </w:r>
      <w:r>
        <w:t>It can be tuned by adjusting its “C”, “degree”, and “coef0”</w:t>
      </w:r>
      <w:r w:rsidR="00953055">
        <w:t xml:space="preserve">.  </w:t>
      </w:r>
      <w:r w:rsidR="009A38A1">
        <w:t>“degree” is the degree of polynomials, so a degree of 2 would</w:t>
      </w:r>
      <w:r w:rsidR="00953055">
        <w:t xml:space="preserve"> result in a dot product of all data points raised to the power of two</w:t>
      </w:r>
      <w:r w:rsidR="007F4C41">
        <w:t xml:space="preserve"> (lower values lead to simpler models)</w:t>
      </w:r>
      <w:r w:rsidR="00953055">
        <w:t>.</w:t>
      </w:r>
      <w:r w:rsidR="009A38A1">
        <w:t xml:space="preserve"> “coef0” adjusts the influence of higher-degree terms vs lower-degree terms (lower values weakens the higher-degree terms, leading to simpler models).</w:t>
      </w:r>
    </w:p>
    <w:p w14:paraId="7295D29B" w14:textId="77777777" w:rsidR="0001578C" w:rsidRDefault="0001578C" w:rsidP="004D4723">
      <w:pPr>
        <w:spacing w:line="360" w:lineRule="auto"/>
      </w:pPr>
    </w:p>
    <w:p w14:paraId="5030428C" w14:textId="33FF9188" w:rsidR="005A4A3A" w:rsidRDefault="005A4A3A" w:rsidP="004D4723">
      <w:pPr>
        <w:pStyle w:val="Heading1"/>
        <w:spacing w:line="360" w:lineRule="auto"/>
        <w:jc w:val="center"/>
      </w:pPr>
      <w:r>
        <w:t>Methodology</w:t>
      </w:r>
    </w:p>
    <w:p w14:paraId="40076A81" w14:textId="37AD1D79" w:rsidR="004C2564" w:rsidRDefault="004C2564" w:rsidP="004D4723">
      <w:pPr>
        <w:pStyle w:val="Heading2"/>
        <w:spacing w:line="360" w:lineRule="auto"/>
      </w:pPr>
      <w:r>
        <w:t>Data Preparation</w:t>
      </w:r>
    </w:p>
    <w:p w14:paraId="396C0D8B" w14:textId="182A0549" w:rsidR="00C32BA7" w:rsidRDefault="00435B90" w:rsidP="004D4723">
      <w:pPr>
        <w:spacing w:line="360" w:lineRule="auto"/>
      </w:pPr>
      <w:r>
        <w:tab/>
      </w:r>
      <w:r w:rsidR="004E6A96">
        <w:t>Each variable’s value in the dataset has been encoded, with their meanings searchable through IPUMS USA’s live search portal</w:t>
      </w:r>
      <w:r w:rsidR="002F37C2">
        <w:rPr>
          <w:vertAlign w:val="superscript"/>
        </w:rPr>
        <w:t>7</w:t>
      </w:r>
      <w:r w:rsidR="004E6A96">
        <w:t>.</w:t>
      </w:r>
      <w:r w:rsidR="00C32BA7">
        <w:t xml:space="preserve"> Some variables were numerical with certain values reserved for special meanings (Figure </w:t>
      </w:r>
      <w:r w:rsidR="0001578C">
        <w:t>2</w:t>
      </w:r>
      <w:r w:rsidR="00C32BA7">
        <w:t xml:space="preserve">), while others were categorical. </w:t>
      </w:r>
    </w:p>
    <w:p w14:paraId="3386B659" w14:textId="4DE19703" w:rsidR="00C32BA7" w:rsidRPr="004E6A96" w:rsidRDefault="00470549" w:rsidP="00A41370">
      <w:pPr>
        <w:spacing w:line="360" w:lineRule="auto"/>
        <w:jc w:val="center"/>
      </w:pPr>
      <w:r w:rsidRPr="00470549">
        <w:rPr>
          <w:noProof/>
        </w:rPr>
        <w:drawing>
          <wp:inline distT="0" distB="0" distL="0" distR="0" wp14:anchorId="626B3677" wp14:editId="0DED1662">
            <wp:extent cx="4205489" cy="4123267"/>
            <wp:effectExtent l="0" t="0" r="0" b="4445"/>
            <wp:docPr id="992730149"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30149" name="Picture 1" descr="A screenshot of a document&#10;&#10;Description automatically generated"/>
                    <pic:cNvPicPr/>
                  </pic:nvPicPr>
                  <pic:blipFill>
                    <a:blip r:embed="rId6"/>
                    <a:stretch>
                      <a:fillRect/>
                    </a:stretch>
                  </pic:blipFill>
                  <pic:spPr>
                    <a:xfrm>
                      <a:off x="0" y="0"/>
                      <a:ext cx="4239949" cy="4157054"/>
                    </a:xfrm>
                    <a:prstGeom prst="rect">
                      <a:avLst/>
                    </a:prstGeom>
                  </pic:spPr>
                </pic:pic>
              </a:graphicData>
            </a:graphic>
          </wp:inline>
        </w:drawing>
      </w:r>
    </w:p>
    <w:p w14:paraId="5AEB0037" w14:textId="77777777" w:rsidR="00A41370" w:rsidRDefault="003C475E" w:rsidP="00A41370">
      <w:pPr>
        <w:spacing w:line="360" w:lineRule="auto"/>
        <w:jc w:val="center"/>
      </w:pPr>
      <w:r>
        <w:lastRenderedPageBreak/>
        <w:t xml:space="preserve">Figure </w:t>
      </w:r>
      <w:r w:rsidR="0001578C">
        <w:t>2</w:t>
      </w:r>
      <w:r>
        <w:t>.</w:t>
      </w:r>
      <w:r w:rsidR="0001578C">
        <w:t xml:space="preserve"> IPUMS USA codebook example.</w:t>
      </w:r>
      <w:r w:rsidR="002F37C2">
        <w:rPr>
          <w:vertAlign w:val="superscript"/>
        </w:rPr>
        <w:t>8</w:t>
      </w:r>
    </w:p>
    <w:p w14:paraId="1127483A" w14:textId="1D943CBE" w:rsidR="00470549" w:rsidRDefault="00470549" w:rsidP="00A41370">
      <w:pPr>
        <w:spacing w:line="360" w:lineRule="auto"/>
        <w:ind w:firstLine="720"/>
      </w:pPr>
      <w:r>
        <w:t xml:space="preserve">The data preparation process starts with relabeling our columns to be human readable then </w:t>
      </w:r>
      <w:proofErr w:type="spellStart"/>
      <w:r>
        <w:t>subsetting</w:t>
      </w:r>
      <w:proofErr w:type="spellEnd"/>
      <w:r>
        <w:t xml:space="preserve"> our columns of interest and marking specific variable codes like 9999999 as missing data. Afterwards, the data is filtered to single family households whose dwelling is inhabited by 0 or 1 couples – this was done because 2 or 3 couples of the same family living in the same househol</w:t>
      </w:r>
      <w:r w:rsidR="0019756B">
        <w:t>d are</w:t>
      </w:r>
      <w:r>
        <w:t xml:space="preserve"> outlier</w:t>
      </w:r>
      <w:r w:rsidR="0019756B">
        <w:t>s</w:t>
      </w:r>
      <w:r>
        <w:t>.  The missing data is then removed (11840 rows out of 68131, or 17.38 percent</w:t>
      </w:r>
      <w:r w:rsidR="002573A3">
        <w:t xml:space="preserve">). </w:t>
      </w:r>
    </w:p>
    <w:p w14:paraId="634EA3EB" w14:textId="1B7F85B6" w:rsidR="006901AD" w:rsidRDefault="006901AD" w:rsidP="004D4723">
      <w:pPr>
        <w:spacing w:line="360" w:lineRule="auto"/>
      </w:pPr>
      <w:r>
        <w:tab/>
        <w:t>As the dataset</w:t>
      </w:r>
      <w:r w:rsidRPr="006901AD">
        <w:t xml:space="preserve"> contains information on dwellings that contain multiple people in each</w:t>
      </w:r>
      <w:r>
        <w:t xml:space="preserve">, they must be aggregated as having multiple data points on the same dwelling can skew the results. </w:t>
      </w:r>
      <w:r w:rsidR="007907DC">
        <w:t xml:space="preserve">The aggregation method chosen was to aggregate by the head of household, defined as a person 18 or older with highest personal income. </w:t>
      </w:r>
    </w:p>
    <w:p w14:paraId="60A1875C" w14:textId="11D23EC1" w:rsidR="007907DC" w:rsidRDefault="007907DC" w:rsidP="004D4723">
      <w:pPr>
        <w:spacing w:line="360" w:lineRule="auto"/>
      </w:pPr>
      <w:r>
        <w:tab/>
        <w:t xml:space="preserve">Some variables were then consolidated into fewer categories. For example, “Educational Attainment” whose value range from 0 to 11 </w:t>
      </w:r>
      <w:r w:rsidR="00C90C71">
        <w:t>was grouped into five categories: “Less than high school”, “High school”, “Some college”, “Bachelor’s”, and “Graduate”. The same process was applied to “Marital status”, which became: “Married”, “Previously married”, “Never married”.</w:t>
      </w:r>
    </w:p>
    <w:p w14:paraId="4A56EFED" w14:textId="7DDB7A72" w:rsidR="002573A3" w:rsidRDefault="00C90C71" w:rsidP="004D4723">
      <w:pPr>
        <w:spacing w:line="360" w:lineRule="auto"/>
      </w:pPr>
      <w:r>
        <w:tab/>
        <w:t xml:space="preserve">Finally, categorical variables were one-hot encoded and three separate </w:t>
      </w:r>
      <w:proofErr w:type="spellStart"/>
      <w:r>
        <w:t>dataframes</w:t>
      </w:r>
      <w:proofErr w:type="spellEnd"/>
      <w:r>
        <w:t xml:space="preserve"> were created </w:t>
      </w:r>
      <w:r w:rsidR="00CA4FAD">
        <w:t>by</w:t>
      </w:r>
      <w:r>
        <w:t xml:space="preserve"> segment</w:t>
      </w:r>
      <w:r w:rsidR="00CA4FAD">
        <w:t>ing</w:t>
      </w:r>
      <w:r>
        <w:t xml:space="preserve"> the original data </w:t>
      </w:r>
      <w:r w:rsidR="00CA4FAD">
        <w:t>per</w:t>
      </w:r>
      <w:r>
        <w:t xml:space="preserve"> age group.</w:t>
      </w:r>
      <w:r w:rsidR="00021948">
        <w:t xml:space="preserve"> </w:t>
      </w:r>
    </w:p>
    <w:p w14:paraId="64899471" w14:textId="234EA00E" w:rsidR="004C2564" w:rsidRDefault="004C2564" w:rsidP="004D4723">
      <w:pPr>
        <w:pStyle w:val="Heading2"/>
        <w:spacing w:line="360" w:lineRule="auto"/>
      </w:pPr>
      <w:r>
        <w:t>Modeling</w:t>
      </w:r>
    </w:p>
    <w:p w14:paraId="7CF0A58F" w14:textId="38AE5186" w:rsidR="00660537" w:rsidRDefault="00021948" w:rsidP="004D4723">
      <w:pPr>
        <w:spacing w:line="360" w:lineRule="auto"/>
      </w:pPr>
      <w:r>
        <w:tab/>
        <w:t>For each age group, we trained Support Vector Classifiers</w:t>
      </w:r>
      <w:r w:rsidR="00700FB1">
        <w:t xml:space="preserve"> (SVCs)</w:t>
      </w:r>
      <w:r>
        <w:t xml:space="preserve"> with a linear, radial, and poly</w:t>
      </w:r>
      <w:r w:rsidR="009B217C">
        <w:t>nomial</w:t>
      </w:r>
      <w:r>
        <w:t xml:space="preserve"> kernel. </w:t>
      </w:r>
      <w:r w:rsidR="009B217C">
        <w:t xml:space="preserve">Prior to performing any modeling, the data was split 70-30 into a training and testing set and its features standardized. </w:t>
      </w:r>
      <w:r>
        <w:t xml:space="preserve">All models were trained with the same set of features and tuned with a 5-fold grid search cross validation. </w:t>
      </w:r>
      <w:r w:rsidR="009B217C">
        <w:t xml:space="preserve">The parameters tuned are: “C” (applicable to all three kernels), “gamma” (applicable to radial kernels), and “degree” and “coef0” (applicable to polynomial kernels). </w:t>
      </w:r>
    </w:p>
    <w:p w14:paraId="7C6EBF77" w14:textId="6902E76A" w:rsidR="009B217C" w:rsidRDefault="00004DE1" w:rsidP="004D4723">
      <w:pPr>
        <w:spacing w:line="360" w:lineRule="auto"/>
      </w:pPr>
      <w:r>
        <w:tab/>
      </w:r>
      <w:r w:rsidR="00483E04">
        <w:t xml:space="preserve">Feature importance analysis was done using linear kernel SVCs </w:t>
      </w:r>
      <w:r w:rsidR="009B217C">
        <w:t xml:space="preserve">since both radial and polynomial kernels transforms data into higher dimensional space, complicating interpretation of predictors. </w:t>
      </w:r>
      <w:r w:rsidR="00660537">
        <w:t xml:space="preserve"> </w:t>
      </w:r>
    </w:p>
    <w:p w14:paraId="4A1E5A06" w14:textId="127A6483" w:rsidR="004C2564" w:rsidRPr="004C2564" w:rsidRDefault="00660537" w:rsidP="009B217C">
      <w:pPr>
        <w:spacing w:line="360" w:lineRule="auto"/>
        <w:ind w:firstLine="720"/>
      </w:pPr>
      <w:r>
        <w:lastRenderedPageBreak/>
        <w:t xml:space="preserve">Two graphs are provided for each age group: one that includes each encoded feature </w:t>
      </w:r>
      <w:r w:rsidR="00004DE1">
        <w:t>because of</w:t>
      </w:r>
      <w:r>
        <w:t xml:space="preserve"> one-hot encoding</w:t>
      </w:r>
      <w:r w:rsidR="00004DE1">
        <w:t xml:space="preserve">, </w:t>
      </w:r>
      <w:r>
        <w:t xml:space="preserve">color coded by the direction of the relationship, and another that includes sum-aggregated </w:t>
      </w:r>
      <w:r w:rsidR="00004DE1">
        <w:t xml:space="preserve">absolute values of the coefficients. The first is useful to </w:t>
      </w:r>
      <w:r w:rsidR="00ED3FD7">
        <w:t xml:space="preserve">compare </w:t>
      </w:r>
      <w:r w:rsidR="009F7B11">
        <w:t xml:space="preserve">and interpret </w:t>
      </w:r>
      <w:r w:rsidR="00ED3FD7">
        <w:t>predictors</w:t>
      </w:r>
      <w:r w:rsidR="00B17AFD">
        <w:t xml:space="preserve"> </w:t>
      </w:r>
      <w:r w:rsidR="00004DE1">
        <w:t>within an age group</w:t>
      </w:r>
      <w:r w:rsidR="00ED3FD7">
        <w:t xml:space="preserve"> while</w:t>
      </w:r>
      <w:r w:rsidR="00004DE1">
        <w:t xml:space="preserve"> the second is useful to interpret the predictors </w:t>
      </w:r>
      <w:r w:rsidR="00B17AFD">
        <w:t xml:space="preserve">importance within and </w:t>
      </w:r>
      <w:r w:rsidR="00004DE1">
        <w:t>across age groups.</w:t>
      </w:r>
    </w:p>
    <w:p w14:paraId="7DC3CDC0" w14:textId="02C2384F" w:rsidR="004C2564" w:rsidRDefault="005A4A3A" w:rsidP="004D4723">
      <w:pPr>
        <w:pStyle w:val="Heading1"/>
        <w:spacing w:line="360" w:lineRule="auto"/>
        <w:jc w:val="center"/>
      </w:pPr>
      <w:r>
        <w:t>Results</w:t>
      </w:r>
    </w:p>
    <w:p w14:paraId="384A2C58" w14:textId="61EEF203" w:rsidR="00750FF4" w:rsidRDefault="00750FF4" w:rsidP="004D4723">
      <w:pPr>
        <w:pStyle w:val="Heading2"/>
        <w:spacing w:line="360" w:lineRule="auto"/>
      </w:pPr>
      <w:r>
        <w:t>Young Adults Home Ownership</w:t>
      </w:r>
    </w:p>
    <w:tbl>
      <w:tblPr>
        <w:tblStyle w:val="TableGrid"/>
        <w:tblW w:w="0" w:type="auto"/>
        <w:tblLook w:val="04A0" w:firstRow="1" w:lastRow="0" w:firstColumn="1" w:lastColumn="0" w:noHBand="0" w:noVBand="1"/>
      </w:tblPr>
      <w:tblGrid>
        <w:gridCol w:w="4675"/>
        <w:gridCol w:w="4675"/>
      </w:tblGrid>
      <w:tr w:rsidR="00750FF4" w14:paraId="43BB8C81" w14:textId="77777777" w:rsidTr="00750FF4">
        <w:tc>
          <w:tcPr>
            <w:tcW w:w="4675" w:type="dxa"/>
          </w:tcPr>
          <w:p w14:paraId="72B1D454" w14:textId="32DF6121" w:rsidR="00750FF4" w:rsidRDefault="003D0AF7" w:rsidP="004D4723">
            <w:pPr>
              <w:spacing w:line="360" w:lineRule="auto"/>
              <w:jc w:val="center"/>
            </w:pPr>
            <w:r>
              <w:t>SVM Kernel</w:t>
            </w:r>
          </w:p>
        </w:tc>
        <w:tc>
          <w:tcPr>
            <w:tcW w:w="4675" w:type="dxa"/>
          </w:tcPr>
          <w:p w14:paraId="2B2BA090" w14:textId="004AAE74" w:rsidR="00750FF4" w:rsidRDefault="003D0AF7" w:rsidP="004D4723">
            <w:pPr>
              <w:spacing w:line="360" w:lineRule="auto"/>
              <w:jc w:val="center"/>
            </w:pPr>
            <w:r>
              <w:t>Test Accuracy</w:t>
            </w:r>
          </w:p>
        </w:tc>
      </w:tr>
      <w:tr w:rsidR="00750FF4" w14:paraId="657B95E6" w14:textId="77777777" w:rsidTr="00750FF4">
        <w:tc>
          <w:tcPr>
            <w:tcW w:w="4675" w:type="dxa"/>
          </w:tcPr>
          <w:p w14:paraId="0D0A02B0" w14:textId="5FCB43C8" w:rsidR="00750FF4" w:rsidRDefault="003D0AF7" w:rsidP="004D4723">
            <w:pPr>
              <w:spacing w:line="360" w:lineRule="auto"/>
              <w:jc w:val="center"/>
            </w:pPr>
            <w:r>
              <w:t>Radial</w:t>
            </w:r>
          </w:p>
        </w:tc>
        <w:tc>
          <w:tcPr>
            <w:tcW w:w="4675" w:type="dxa"/>
          </w:tcPr>
          <w:p w14:paraId="5415DAE6" w14:textId="3151BBBB" w:rsidR="00750FF4" w:rsidRDefault="003D0AF7" w:rsidP="004D4723">
            <w:pPr>
              <w:spacing w:line="360" w:lineRule="auto"/>
              <w:jc w:val="center"/>
            </w:pPr>
            <w:r>
              <w:t>79.76%</w:t>
            </w:r>
          </w:p>
        </w:tc>
      </w:tr>
      <w:tr w:rsidR="00750FF4" w14:paraId="071E16A9" w14:textId="77777777" w:rsidTr="00750FF4">
        <w:tc>
          <w:tcPr>
            <w:tcW w:w="4675" w:type="dxa"/>
          </w:tcPr>
          <w:p w14:paraId="51328B6B" w14:textId="0EDB45F6" w:rsidR="00750FF4" w:rsidRDefault="003D0AF7" w:rsidP="004D4723">
            <w:pPr>
              <w:spacing w:line="360" w:lineRule="auto"/>
              <w:jc w:val="center"/>
            </w:pPr>
            <w:r>
              <w:t>Poly</w:t>
            </w:r>
            <w:r w:rsidR="009B217C">
              <w:t>nomial</w:t>
            </w:r>
          </w:p>
        </w:tc>
        <w:tc>
          <w:tcPr>
            <w:tcW w:w="4675" w:type="dxa"/>
          </w:tcPr>
          <w:p w14:paraId="1B1B732C" w14:textId="7CCDE557" w:rsidR="00750FF4" w:rsidRDefault="003D0AF7" w:rsidP="004D4723">
            <w:pPr>
              <w:spacing w:line="360" w:lineRule="auto"/>
              <w:jc w:val="center"/>
            </w:pPr>
            <w:r>
              <w:t>79.69%</w:t>
            </w:r>
          </w:p>
        </w:tc>
      </w:tr>
      <w:tr w:rsidR="003D0AF7" w14:paraId="4FC5E1D8" w14:textId="77777777" w:rsidTr="00750FF4">
        <w:tc>
          <w:tcPr>
            <w:tcW w:w="4675" w:type="dxa"/>
          </w:tcPr>
          <w:p w14:paraId="12B2429A" w14:textId="780C3DEA" w:rsidR="003D0AF7" w:rsidRDefault="003D0AF7" w:rsidP="004D4723">
            <w:pPr>
              <w:spacing w:line="360" w:lineRule="auto"/>
              <w:jc w:val="center"/>
            </w:pPr>
            <w:r>
              <w:t>Linear</w:t>
            </w:r>
          </w:p>
        </w:tc>
        <w:tc>
          <w:tcPr>
            <w:tcW w:w="4675" w:type="dxa"/>
          </w:tcPr>
          <w:p w14:paraId="5BB1D1AE" w14:textId="58D29BF8" w:rsidR="003D0AF7" w:rsidRDefault="003D0AF7" w:rsidP="004D4723">
            <w:pPr>
              <w:spacing w:line="360" w:lineRule="auto"/>
              <w:jc w:val="center"/>
            </w:pPr>
            <w:r>
              <w:t>79.20%</w:t>
            </w:r>
          </w:p>
        </w:tc>
      </w:tr>
    </w:tbl>
    <w:p w14:paraId="16321C5A" w14:textId="7D36AB9D" w:rsidR="006C6E92" w:rsidRDefault="003C475E" w:rsidP="004D4723">
      <w:pPr>
        <w:spacing w:line="360" w:lineRule="auto"/>
        <w:jc w:val="center"/>
      </w:pPr>
      <w:r>
        <w:t xml:space="preserve">Table </w:t>
      </w:r>
      <w:r w:rsidR="006C6E92">
        <w:t>1</w:t>
      </w:r>
      <w:r>
        <w:t>.</w:t>
      </w:r>
      <w:r w:rsidR="006C6E92">
        <w:t xml:space="preserve"> Prediction accuracies for Young Adults Home Ownership by model.</w:t>
      </w:r>
    </w:p>
    <w:p w14:paraId="257628BF" w14:textId="77777777" w:rsidR="00691322" w:rsidRDefault="00691322" w:rsidP="004D4723">
      <w:pPr>
        <w:spacing w:line="360" w:lineRule="auto"/>
        <w:jc w:val="center"/>
      </w:pPr>
    </w:p>
    <w:p w14:paraId="3B6A06BF" w14:textId="19A436B5" w:rsidR="00750FF4" w:rsidRDefault="003C475E" w:rsidP="004D4723">
      <w:pPr>
        <w:spacing w:line="360" w:lineRule="auto"/>
        <w:jc w:val="center"/>
      </w:pPr>
      <w:r>
        <w:t xml:space="preserve"> </w:t>
      </w:r>
    </w:p>
    <w:p w14:paraId="70866BBC" w14:textId="32F87A10" w:rsidR="003C475E" w:rsidRDefault="00EE5159" w:rsidP="004D4723">
      <w:pPr>
        <w:spacing w:line="360" w:lineRule="auto"/>
        <w:jc w:val="center"/>
      </w:pPr>
      <w:r w:rsidRPr="00EE5159">
        <w:rPr>
          <w:noProof/>
        </w:rPr>
        <w:lastRenderedPageBreak/>
        <w:drawing>
          <wp:inline distT="0" distB="0" distL="0" distR="0" wp14:anchorId="1F2D4DE2" wp14:editId="3E02E77B">
            <wp:extent cx="4579473" cy="3691467"/>
            <wp:effectExtent l="0" t="0" r="5715" b="4445"/>
            <wp:docPr id="1616018328"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18328" name="Picture 1" descr="A graph of a bar graph&#10;&#10;Description automatically generated with medium confidence"/>
                    <pic:cNvPicPr/>
                  </pic:nvPicPr>
                  <pic:blipFill>
                    <a:blip r:embed="rId7"/>
                    <a:stretch>
                      <a:fillRect/>
                    </a:stretch>
                  </pic:blipFill>
                  <pic:spPr>
                    <a:xfrm>
                      <a:off x="0" y="0"/>
                      <a:ext cx="4664327" cy="3759867"/>
                    </a:xfrm>
                    <a:prstGeom prst="rect">
                      <a:avLst/>
                    </a:prstGeom>
                  </pic:spPr>
                </pic:pic>
              </a:graphicData>
            </a:graphic>
          </wp:inline>
        </w:drawing>
      </w:r>
    </w:p>
    <w:p w14:paraId="2F506F8F" w14:textId="5BBD4EC1" w:rsidR="003C475E" w:rsidRDefault="003C475E" w:rsidP="004D4723">
      <w:pPr>
        <w:spacing w:line="360" w:lineRule="auto"/>
        <w:jc w:val="center"/>
      </w:pPr>
      <w:r>
        <w:t xml:space="preserve">Figure </w:t>
      </w:r>
      <w:r w:rsidR="006C6E92">
        <w:t>3</w:t>
      </w:r>
      <w:r>
        <w:t xml:space="preserve">. </w:t>
      </w:r>
      <w:r w:rsidR="006C6E92">
        <w:t xml:space="preserve">Correlation-coded feature </w:t>
      </w:r>
      <w:proofErr w:type="spellStart"/>
      <w:r w:rsidR="006C6E92">
        <w:t>importances</w:t>
      </w:r>
      <w:proofErr w:type="spellEnd"/>
      <w:r w:rsidR="006C6E92">
        <w:t xml:space="preserve"> for Young Adults Home Ownership.</w:t>
      </w:r>
    </w:p>
    <w:p w14:paraId="12B13FF2" w14:textId="44FEA111" w:rsidR="00EE5159" w:rsidRDefault="00EE5159" w:rsidP="004D4723">
      <w:pPr>
        <w:spacing w:line="360" w:lineRule="auto"/>
        <w:jc w:val="center"/>
      </w:pPr>
      <w:r w:rsidRPr="00EE5159">
        <w:rPr>
          <w:noProof/>
        </w:rPr>
        <w:drawing>
          <wp:inline distT="0" distB="0" distL="0" distR="0" wp14:anchorId="7775F49F" wp14:editId="3C4C2DF3">
            <wp:extent cx="4572000" cy="3655646"/>
            <wp:effectExtent l="0" t="0" r="0" b="2540"/>
            <wp:docPr id="1377725659"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25659" name="Picture 1" descr="A graph of a number of people&#10;&#10;Description automatically generated"/>
                    <pic:cNvPicPr/>
                  </pic:nvPicPr>
                  <pic:blipFill>
                    <a:blip r:embed="rId8"/>
                    <a:stretch>
                      <a:fillRect/>
                    </a:stretch>
                  </pic:blipFill>
                  <pic:spPr>
                    <a:xfrm>
                      <a:off x="0" y="0"/>
                      <a:ext cx="4738771" cy="3788991"/>
                    </a:xfrm>
                    <a:prstGeom prst="rect">
                      <a:avLst/>
                    </a:prstGeom>
                  </pic:spPr>
                </pic:pic>
              </a:graphicData>
            </a:graphic>
          </wp:inline>
        </w:drawing>
      </w:r>
    </w:p>
    <w:p w14:paraId="4EC2C7D0" w14:textId="02FA69E6" w:rsidR="006C6E92" w:rsidRDefault="006C6E92" w:rsidP="004D4723">
      <w:pPr>
        <w:spacing w:line="360" w:lineRule="auto"/>
        <w:jc w:val="center"/>
      </w:pPr>
      <w:r>
        <w:t xml:space="preserve">Figure 4. Aggregated feature </w:t>
      </w:r>
      <w:proofErr w:type="spellStart"/>
      <w:r>
        <w:t>importances</w:t>
      </w:r>
      <w:proofErr w:type="spellEnd"/>
      <w:r>
        <w:t xml:space="preserve"> for Young Adults Home Ownership.</w:t>
      </w:r>
    </w:p>
    <w:p w14:paraId="34BE9DB4" w14:textId="77777777" w:rsidR="006C6E92" w:rsidRDefault="006C6E92" w:rsidP="004D4723">
      <w:pPr>
        <w:spacing w:line="360" w:lineRule="auto"/>
        <w:jc w:val="center"/>
      </w:pPr>
    </w:p>
    <w:p w14:paraId="39972DBE" w14:textId="070321F3" w:rsidR="00750FF4" w:rsidRDefault="00750FF4" w:rsidP="004D4723">
      <w:pPr>
        <w:pStyle w:val="Heading2"/>
        <w:spacing w:line="360" w:lineRule="auto"/>
      </w:pPr>
      <w:r>
        <w:t>Middle-Aged Adults Home Ownership</w:t>
      </w:r>
    </w:p>
    <w:tbl>
      <w:tblPr>
        <w:tblStyle w:val="TableGrid"/>
        <w:tblW w:w="0" w:type="auto"/>
        <w:tblLook w:val="04A0" w:firstRow="1" w:lastRow="0" w:firstColumn="1" w:lastColumn="0" w:noHBand="0" w:noVBand="1"/>
      </w:tblPr>
      <w:tblGrid>
        <w:gridCol w:w="4675"/>
        <w:gridCol w:w="4675"/>
      </w:tblGrid>
      <w:tr w:rsidR="003D0AF7" w14:paraId="266153AA" w14:textId="77777777" w:rsidTr="00D34E69">
        <w:tc>
          <w:tcPr>
            <w:tcW w:w="4675" w:type="dxa"/>
          </w:tcPr>
          <w:p w14:paraId="7D7C4CEC" w14:textId="77777777" w:rsidR="003D0AF7" w:rsidRDefault="003D0AF7" w:rsidP="004D4723">
            <w:pPr>
              <w:spacing w:line="360" w:lineRule="auto"/>
              <w:jc w:val="center"/>
            </w:pPr>
            <w:r>
              <w:t>SVM Kernel</w:t>
            </w:r>
          </w:p>
        </w:tc>
        <w:tc>
          <w:tcPr>
            <w:tcW w:w="4675" w:type="dxa"/>
          </w:tcPr>
          <w:p w14:paraId="249FED5A" w14:textId="77777777" w:rsidR="003D0AF7" w:rsidRDefault="003D0AF7" w:rsidP="004D4723">
            <w:pPr>
              <w:spacing w:line="360" w:lineRule="auto"/>
              <w:jc w:val="center"/>
            </w:pPr>
            <w:r>
              <w:t>Test Accuracy</w:t>
            </w:r>
          </w:p>
        </w:tc>
      </w:tr>
      <w:tr w:rsidR="003D0AF7" w14:paraId="443DE5EC" w14:textId="77777777" w:rsidTr="00D34E69">
        <w:tc>
          <w:tcPr>
            <w:tcW w:w="4675" w:type="dxa"/>
          </w:tcPr>
          <w:p w14:paraId="7ED35C8C" w14:textId="77777777" w:rsidR="003D0AF7" w:rsidRDefault="003D0AF7" w:rsidP="004D4723">
            <w:pPr>
              <w:spacing w:line="360" w:lineRule="auto"/>
              <w:jc w:val="center"/>
            </w:pPr>
            <w:r>
              <w:t>Radial</w:t>
            </w:r>
          </w:p>
        </w:tc>
        <w:tc>
          <w:tcPr>
            <w:tcW w:w="4675" w:type="dxa"/>
          </w:tcPr>
          <w:p w14:paraId="0D92651E" w14:textId="7386C51E" w:rsidR="003D0AF7" w:rsidRDefault="003D0AF7" w:rsidP="004D4723">
            <w:pPr>
              <w:spacing w:line="360" w:lineRule="auto"/>
              <w:jc w:val="center"/>
            </w:pPr>
            <w:r>
              <w:t>82.59%</w:t>
            </w:r>
          </w:p>
        </w:tc>
      </w:tr>
      <w:tr w:rsidR="003D0AF7" w14:paraId="5D48535E" w14:textId="77777777" w:rsidTr="00D34E69">
        <w:tc>
          <w:tcPr>
            <w:tcW w:w="4675" w:type="dxa"/>
          </w:tcPr>
          <w:p w14:paraId="15AA6727" w14:textId="75084687" w:rsidR="003D0AF7" w:rsidRDefault="003D0AF7" w:rsidP="004D4723">
            <w:pPr>
              <w:spacing w:line="360" w:lineRule="auto"/>
              <w:jc w:val="center"/>
            </w:pPr>
            <w:r>
              <w:t>Poly</w:t>
            </w:r>
            <w:r w:rsidR="009B217C">
              <w:t>nomial</w:t>
            </w:r>
          </w:p>
        </w:tc>
        <w:tc>
          <w:tcPr>
            <w:tcW w:w="4675" w:type="dxa"/>
          </w:tcPr>
          <w:p w14:paraId="45440388" w14:textId="0D07B7F2" w:rsidR="003D0AF7" w:rsidRDefault="003D0AF7" w:rsidP="004D4723">
            <w:pPr>
              <w:spacing w:line="360" w:lineRule="auto"/>
              <w:jc w:val="center"/>
            </w:pPr>
            <w:r>
              <w:t>82.87%</w:t>
            </w:r>
          </w:p>
        </w:tc>
      </w:tr>
      <w:tr w:rsidR="003D0AF7" w14:paraId="183DC1E0" w14:textId="77777777" w:rsidTr="00D34E69">
        <w:tc>
          <w:tcPr>
            <w:tcW w:w="4675" w:type="dxa"/>
          </w:tcPr>
          <w:p w14:paraId="3AB32A9F" w14:textId="77777777" w:rsidR="003D0AF7" w:rsidRDefault="003D0AF7" w:rsidP="004D4723">
            <w:pPr>
              <w:spacing w:line="360" w:lineRule="auto"/>
              <w:jc w:val="center"/>
            </w:pPr>
            <w:r>
              <w:t>Linear</w:t>
            </w:r>
          </w:p>
        </w:tc>
        <w:tc>
          <w:tcPr>
            <w:tcW w:w="4675" w:type="dxa"/>
          </w:tcPr>
          <w:p w14:paraId="0676D7B4" w14:textId="3073C04F" w:rsidR="003D0AF7" w:rsidRDefault="003D0AF7" w:rsidP="004D4723">
            <w:pPr>
              <w:spacing w:line="360" w:lineRule="auto"/>
              <w:jc w:val="center"/>
            </w:pPr>
            <w:r>
              <w:t>82.61%</w:t>
            </w:r>
          </w:p>
        </w:tc>
      </w:tr>
    </w:tbl>
    <w:p w14:paraId="24407B28" w14:textId="4F87276F" w:rsidR="006C6E92" w:rsidRDefault="006C6E92" w:rsidP="004D4723">
      <w:pPr>
        <w:spacing w:line="360" w:lineRule="auto"/>
        <w:jc w:val="center"/>
      </w:pPr>
      <w:r>
        <w:t>Table 2. Prediction accuracies for Middle-Aged Adults Home Ownership by model.</w:t>
      </w:r>
    </w:p>
    <w:p w14:paraId="3CF9B323" w14:textId="58C183EC" w:rsidR="003C475E" w:rsidRDefault="003C475E" w:rsidP="004D4723">
      <w:pPr>
        <w:spacing w:line="360" w:lineRule="auto"/>
        <w:jc w:val="center"/>
      </w:pPr>
    </w:p>
    <w:p w14:paraId="7C7C3A61" w14:textId="77777777" w:rsidR="003C475E" w:rsidRPr="003D0AF7" w:rsidRDefault="003C475E" w:rsidP="004D4723">
      <w:pPr>
        <w:spacing w:line="360" w:lineRule="auto"/>
        <w:jc w:val="center"/>
      </w:pPr>
    </w:p>
    <w:p w14:paraId="09729A9B" w14:textId="3222AFB8" w:rsidR="00750FF4" w:rsidRDefault="00EE5159" w:rsidP="004D4723">
      <w:pPr>
        <w:tabs>
          <w:tab w:val="left" w:pos="5973"/>
        </w:tabs>
        <w:spacing w:line="360" w:lineRule="auto"/>
        <w:jc w:val="center"/>
      </w:pPr>
      <w:r w:rsidRPr="00EE5159">
        <w:rPr>
          <w:noProof/>
        </w:rPr>
        <w:drawing>
          <wp:inline distT="0" distB="0" distL="0" distR="0" wp14:anchorId="0C462EBA" wp14:editId="64007ECC">
            <wp:extent cx="4579474" cy="3691467"/>
            <wp:effectExtent l="0" t="0" r="5715" b="4445"/>
            <wp:docPr id="1874728934"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28934" name="Picture 1" descr="A graph of a bar chart&#10;&#10;Description automatically generated with medium confidence"/>
                    <pic:cNvPicPr/>
                  </pic:nvPicPr>
                  <pic:blipFill>
                    <a:blip r:embed="rId9"/>
                    <a:stretch>
                      <a:fillRect/>
                    </a:stretch>
                  </pic:blipFill>
                  <pic:spPr>
                    <a:xfrm>
                      <a:off x="0" y="0"/>
                      <a:ext cx="4656913" cy="3753890"/>
                    </a:xfrm>
                    <a:prstGeom prst="rect">
                      <a:avLst/>
                    </a:prstGeom>
                  </pic:spPr>
                </pic:pic>
              </a:graphicData>
            </a:graphic>
          </wp:inline>
        </w:drawing>
      </w:r>
    </w:p>
    <w:p w14:paraId="0FBE25D1" w14:textId="2EF356CC" w:rsidR="006C6E92" w:rsidRDefault="006C6E92" w:rsidP="004D4723">
      <w:pPr>
        <w:spacing w:line="360" w:lineRule="auto"/>
        <w:jc w:val="center"/>
      </w:pPr>
      <w:r>
        <w:t xml:space="preserve">Figure 5. Correlation-coded feature </w:t>
      </w:r>
      <w:proofErr w:type="spellStart"/>
      <w:r>
        <w:t>importances</w:t>
      </w:r>
      <w:proofErr w:type="spellEnd"/>
      <w:r>
        <w:t xml:space="preserve"> for Middle-Aged Adults Home Ownership.</w:t>
      </w:r>
    </w:p>
    <w:p w14:paraId="289DDCC4" w14:textId="3F8AC05C" w:rsidR="00750FF4" w:rsidRDefault="00EE5159" w:rsidP="004D4723">
      <w:pPr>
        <w:spacing w:line="360" w:lineRule="auto"/>
        <w:jc w:val="center"/>
      </w:pPr>
      <w:r w:rsidRPr="00EE5159">
        <w:rPr>
          <w:noProof/>
        </w:rPr>
        <w:lastRenderedPageBreak/>
        <w:drawing>
          <wp:inline distT="0" distB="0" distL="0" distR="0" wp14:anchorId="49025A32" wp14:editId="02E72175">
            <wp:extent cx="4577620" cy="3660140"/>
            <wp:effectExtent l="0" t="0" r="0" b="0"/>
            <wp:docPr id="69425055"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5055" name="Picture 1" descr="A graph of blue bars with white text&#10;&#10;Description automatically generated"/>
                    <pic:cNvPicPr/>
                  </pic:nvPicPr>
                  <pic:blipFill>
                    <a:blip r:embed="rId10"/>
                    <a:stretch>
                      <a:fillRect/>
                    </a:stretch>
                  </pic:blipFill>
                  <pic:spPr>
                    <a:xfrm>
                      <a:off x="0" y="0"/>
                      <a:ext cx="4607343" cy="3683905"/>
                    </a:xfrm>
                    <a:prstGeom prst="rect">
                      <a:avLst/>
                    </a:prstGeom>
                  </pic:spPr>
                </pic:pic>
              </a:graphicData>
            </a:graphic>
          </wp:inline>
        </w:drawing>
      </w:r>
    </w:p>
    <w:p w14:paraId="552A74A8" w14:textId="17C4D3B4" w:rsidR="00723B71" w:rsidRDefault="006C6E92" w:rsidP="004D4723">
      <w:pPr>
        <w:spacing w:line="360" w:lineRule="auto"/>
        <w:jc w:val="center"/>
      </w:pPr>
      <w:r>
        <w:t xml:space="preserve">Figure 6. Aggregated feature </w:t>
      </w:r>
      <w:proofErr w:type="spellStart"/>
      <w:r>
        <w:t>importances</w:t>
      </w:r>
      <w:proofErr w:type="spellEnd"/>
      <w:r>
        <w:t xml:space="preserve"> for Middle-Aged Adults Home Ownership.</w:t>
      </w:r>
    </w:p>
    <w:p w14:paraId="4D5C1528" w14:textId="004CFF74" w:rsidR="00750FF4" w:rsidRDefault="00750FF4" w:rsidP="004D4723">
      <w:pPr>
        <w:pStyle w:val="Heading2"/>
        <w:spacing w:line="360" w:lineRule="auto"/>
      </w:pPr>
      <w:r>
        <w:t>Older Adults Home Ownership</w:t>
      </w:r>
    </w:p>
    <w:tbl>
      <w:tblPr>
        <w:tblStyle w:val="TableGrid"/>
        <w:tblW w:w="0" w:type="auto"/>
        <w:tblLook w:val="04A0" w:firstRow="1" w:lastRow="0" w:firstColumn="1" w:lastColumn="0" w:noHBand="0" w:noVBand="1"/>
      </w:tblPr>
      <w:tblGrid>
        <w:gridCol w:w="4675"/>
        <w:gridCol w:w="4675"/>
      </w:tblGrid>
      <w:tr w:rsidR="003D0AF7" w14:paraId="1378099A" w14:textId="77777777" w:rsidTr="00D34E69">
        <w:tc>
          <w:tcPr>
            <w:tcW w:w="4675" w:type="dxa"/>
          </w:tcPr>
          <w:p w14:paraId="067B458E" w14:textId="77777777" w:rsidR="003D0AF7" w:rsidRDefault="003D0AF7" w:rsidP="004D4723">
            <w:pPr>
              <w:spacing w:line="360" w:lineRule="auto"/>
              <w:jc w:val="center"/>
            </w:pPr>
            <w:r>
              <w:t>SVM Kernel</w:t>
            </w:r>
          </w:p>
        </w:tc>
        <w:tc>
          <w:tcPr>
            <w:tcW w:w="4675" w:type="dxa"/>
          </w:tcPr>
          <w:p w14:paraId="4227FF40" w14:textId="77777777" w:rsidR="003D0AF7" w:rsidRDefault="003D0AF7" w:rsidP="004D4723">
            <w:pPr>
              <w:spacing w:line="360" w:lineRule="auto"/>
              <w:jc w:val="center"/>
            </w:pPr>
            <w:r>
              <w:t>Test Accuracy</w:t>
            </w:r>
          </w:p>
        </w:tc>
      </w:tr>
      <w:tr w:rsidR="003D0AF7" w14:paraId="5C70BBBC" w14:textId="77777777" w:rsidTr="00D34E69">
        <w:tc>
          <w:tcPr>
            <w:tcW w:w="4675" w:type="dxa"/>
          </w:tcPr>
          <w:p w14:paraId="7F151A21" w14:textId="77777777" w:rsidR="003D0AF7" w:rsidRDefault="003D0AF7" w:rsidP="004D4723">
            <w:pPr>
              <w:spacing w:line="360" w:lineRule="auto"/>
              <w:jc w:val="center"/>
            </w:pPr>
            <w:r>
              <w:t>Radial</w:t>
            </w:r>
          </w:p>
        </w:tc>
        <w:tc>
          <w:tcPr>
            <w:tcW w:w="4675" w:type="dxa"/>
          </w:tcPr>
          <w:p w14:paraId="6798653D" w14:textId="767D54A7" w:rsidR="003D0AF7" w:rsidRDefault="003D0AF7" w:rsidP="004D4723">
            <w:pPr>
              <w:spacing w:line="360" w:lineRule="auto"/>
              <w:jc w:val="center"/>
            </w:pPr>
            <w:r>
              <w:t>87.06%</w:t>
            </w:r>
          </w:p>
        </w:tc>
      </w:tr>
      <w:tr w:rsidR="003D0AF7" w14:paraId="1AC5E926" w14:textId="77777777" w:rsidTr="00D34E69">
        <w:tc>
          <w:tcPr>
            <w:tcW w:w="4675" w:type="dxa"/>
          </w:tcPr>
          <w:p w14:paraId="6BDF0EAF" w14:textId="15171D68" w:rsidR="003D0AF7" w:rsidRDefault="003D0AF7" w:rsidP="004D4723">
            <w:pPr>
              <w:spacing w:line="360" w:lineRule="auto"/>
              <w:jc w:val="center"/>
            </w:pPr>
            <w:r>
              <w:t>Poly</w:t>
            </w:r>
            <w:r w:rsidR="009B217C">
              <w:t>nomial</w:t>
            </w:r>
          </w:p>
        </w:tc>
        <w:tc>
          <w:tcPr>
            <w:tcW w:w="4675" w:type="dxa"/>
          </w:tcPr>
          <w:p w14:paraId="67434549" w14:textId="36C3B86D" w:rsidR="003D0AF7" w:rsidRDefault="003D0AF7" w:rsidP="004D4723">
            <w:pPr>
              <w:spacing w:line="360" w:lineRule="auto"/>
              <w:jc w:val="center"/>
            </w:pPr>
            <w:r>
              <w:t>87.06%</w:t>
            </w:r>
          </w:p>
        </w:tc>
      </w:tr>
      <w:tr w:rsidR="003D0AF7" w14:paraId="6B1809B4" w14:textId="77777777" w:rsidTr="00D34E69">
        <w:tc>
          <w:tcPr>
            <w:tcW w:w="4675" w:type="dxa"/>
          </w:tcPr>
          <w:p w14:paraId="358E124C" w14:textId="77777777" w:rsidR="003D0AF7" w:rsidRDefault="003D0AF7" w:rsidP="004D4723">
            <w:pPr>
              <w:spacing w:line="360" w:lineRule="auto"/>
              <w:jc w:val="center"/>
            </w:pPr>
            <w:r>
              <w:t>Linear</w:t>
            </w:r>
          </w:p>
        </w:tc>
        <w:tc>
          <w:tcPr>
            <w:tcW w:w="4675" w:type="dxa"/>
          </w:tcPr>
          <w:p w14:paraId="2660CFFE" w14:textId="37DDBB27" w:rsidR="003D0AF7" w:rsidRDefault="003D0AF7" w:rsidP="004D4723">
            <w:pPr>
              <w:spacing w:line="360" w:lineRule="auto"/>
              <w:jc w:val="center"/>
            </w:pPr>
            <w:r>
              <w:t>87.10%</w:t>
            </w:r>
          </w:p>
        </w:tc>
      </w:tr>
    </w:tbl>
    <w:p w14:paraId="0CCCB0F2" w14:textId="2E689B71" w:rsidR="000A1239" w:rsidRDefault="000A1239" w:rsidP="004D4723">
      <w:pPr>
        <w:spacing w:line="360" w:lineRule="auto"/>
        <w:jc w:val="center"/>
      </w:pPr>
      <w:r>
        <w:t>Table 3. Prediction accuracies for Older Adults Home Ownership by model.</w:t>
      </w:r>
    </w:p>
    <w:p w14:paraId="4C76D94D" w14:textId="77777777" w:rsidR="003D0AF7" w:rsidRDefault="003D0AF7" w:rsidP="004D4723">
      <w:pPr>
        <w:spacing w:line="360" w:lineRule="auto"/>
        <w:jc w:val="center"/>
      </w:pPr>
    </w:p>
    <w:p w14:paraId="13BB0DB4" w14:textId="77777777" w:rsidR="00691322" w:rsidRPr="003D0AF7" w:rsidRDefault="00691322" w:rsidP="004D4723">
      <w:pPr>
        <w:spacing w:line="360" w:lineRule="auto"/>
        <w:jc w:val="center"/>
      </w:pPr>
    </w:p>
    <w:p w14:paraId="090CC5EF" w14:textId="5822B3E5" w:rsidR="00704533" w:rsidRDefault="00EE5159" w:rsidP="004D4723">
      <w:pPr>
        <w:spacing w:line="360" w:lineRule="auto"/>
        <w:jc w:val="center"/>
      </w:pPr>
      <w:r w:rsidRPr="00EE5159">
        <w:rPr>
          <w:noProof/>
        </w:rPr>
        <w:lastRenderedPageBreak/>
        <w:drawing>
          <wp:inline distT="0" distB="0" distL="0" distR="0" wp14:anchorId="465C37A6" wp14:editId="0BC0EBF6">
            <wp:extent cx="4572000" cy="3685442"/>
            <wp:effectExtent l="0" t="0" r="0" b="0"/>
            <wp:docPr id="386911453"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11453" name="Picture 1" descr="A graph of a bar graph&#10;&#10;Description automatically generated with medium confidence"/>
                    <pic:cNvPicPr/>
                  </pic:nvPicPr>
                  <pic:blipFill>
                    <a:blip r:embed="rId11"/>
                    <a:stretch>
                      <a:fillRect/>
                    </a:stretch>
                  </pic:blipFill>
                  <pic:spPr>
                    <a:xfrm>
                      <a:off x="0" y="0"/>
                      <a:ext cx="4643289" cy="3742907"/>
                    </a:xfrm>
                    <a:prstGeom prst="rect">
                      <a:avLst/>
                    </a:prstGeom>
                  </pic:spPr>
                </pic:pic>
              </a:graphicData>
            </a:graphic>
          </wp:inline>
        </w:drawing>
      </w:r>
    </w:p>
    <w:p w14:paraId="4099B62E" w14:textId="167A9AD6" w:rsidR="005E6BED" w:rsidRDefault="005E6BED" w:rsidP="004D4723">
      <w:pPr>
        <w:spacing w:line="360" w:lineRule="auto"/>
        <w:jc w:val="center"/>
      </w:pPr>
      <w:r>
        <w:t xml:space="preserve">Figure 7. Correlation-coded feature </w:t>
      </w:r>
      <w:proofErr w:type="spellStart"/>
      <w:r>
        <w:t>importances</w:t>
      </w:r>
      <w:proofErr w:type="spellEnd"/>
      <w:r>
        <w:t xml:space="preserve"> for Older Adults Home Ownership.</w:t>
      </w:r>
    </w:p>
    <w:p w14:paraId="73411708" w14:textId="29982FE2" w:rsidR="00EE5159" w:rsidRDefault="00EE5159" w:rsidP="004D4723">
      <w:pPr>
        <w:spacing w:line="360" w:lineRule="auto"/>
        <w:jc w:val="center"/>
      </w:pPr>
      <w:r w:rsidRPr="00EE5159">
        <w:rPr>
          <w:noProof/>
        </w:rPr>
        <w:drawing>
          <wp:inline distT="0" distB="0" distL="0" distR="0" wp14:anchorId="4E71B882" wp14:editId="5751D8BC">
            <wp:extent cx="4572000" cy="3655646"/>
            <wp:effectExtent l="0" t="0" r="0" b="2540"/>
            <wp:docPr id="860023488"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23488" name="Picture 1" descr="A graph of blue rectangular bars with white text&#10;&#10;Description automatically generated"/>
                    <pic:cNvPicPr/>
                  </pic:nvPicPr>
                  <pic:blipFill>
                    <a:blip r:embed="rId12"/>
                    <a:stretch>
                      <a:fillRect/>
                    </a:stretch>
                  </pic:blipFill>
                  <pic:spPr>
                    <a:xfrm>
                      <a:off x="0" y="0"/>
                      <a:ext cx="4616780" cy="3691451"/>
                    </a:xfrm>
                    <a:prstGeom prst="rect">
                      <a:avLst/>
                    </a:prstGeom>
                  </pic:spPr>
                </pic:pic>
              </a:graphicData>
            </a:graphic>
          </wp:inline>
        </w:drawing>
      </w:r>
    </w:p>
    <w:p w14:paraId="3AD25343" w14:textId="31D0F7EC" w:rsidR="000A1239" w:rsidRDefault="006C6E92" w:rsidP="004D4723">
      <w:pPr>
        <w:spacing w:line="360" w:lineRule="auto"/>
        <w:jc w:val="center"/>
      </w:pPr>
      <w:r>
        <w:t xml:space="preserve">Figure 8. Aggregated feature </w:t>
      </w:r>
      <w:proofErr w:type="spellStart"/>
      <w:r>
        <w:t>importances</w:t>
      </w:r>
      <w:proofErr w:type="spellEnd"/>
      <w:r>
        <w:t xml:space="preserve"> for Older Adults Home Ownership.</w:t>
      </w:r>
    </w:p>
    <w:p w14:paraId="696F4DE4" w14:textId="2D18988E" w:rsidR="004C2564" w:rsidRDefault="004C2564" w:rsidP="004D4723">
      <w:pPr>
        <w:pStyle w:val="Heading1"/>
        <w:spacing w:line="360" w:lineRule="auto"/>
        <w:jc w:val="center"/>
      </w:pPr>
      <w:r>
        <w:lastRenderedPageBreak/>
        <w:t>Discussion</w:t>
      </w:r>
    </w:p>
    <w:p w14:paraId="42279044" w14:textId="77777777" w:rsidR="00723B71" w:rsidRDefault="00723B71" w:rsidP="004D4723">
      <w:pPr>
        <w:pStyle w:val="Heading2"/>
        <w:spacing w:line="360" w:lineRule="auto"/>
      </w:pPr>
      <w:r>
        <w:t>Young Adults Home Ownership</w:t>
      </w:r>
    </w:p>
    <w:p w14:paraId="024395A8" w14:textId="52B25A23" w:rsidR="00852708" w:rsidRDefault="00852708" w:rsidP="004D4723">
      <w:pPr>
        <w:spacing w:line="360" w:lineRule="auto"/>
      </w:pPr>
      <w:r>
        <w:tab/>
      </w:r>
      <w:r w:rsidR="009A03D5">
        <w:t xml:space="preserve">Young Adults are defined as adults aged 18 to 34. </w:t>
      </w:r>
      <w:r>
        <w:t xml:space="preserve">All SVCs performed similarly regardless of kernel. </w:t>
      </w:r>
      <w:r w:rsidR="00543312">
        <w:t>By pure magnitude, t</w:t>
      </w:r>
      <w:r w:rsidR="00B17AFD">
        <w:t xml:space="preserve">he top 5 predictors to predict homeownership in order are: “Number of bedrooms”, “Educational attainment”, “Total personal income”, “Number of rooms”, and “Population-weighted </w:t>
      </w:r>
      <w:r w:rsidR="005D6503">
        <w:t>density.</w:t>
      </w:r>
      <w:r w:rsidR="00B17AFD">
        <w:t>”</w:t>
      </w:r>
    </w:p>
    <w:p w14:paraId="0578655A" w14:textId="6A085804" w:rsidR="005D6503" w:rsidRPr="00852708" w:rsidRDefault="005D6503" w:rsidP="004D4723">
      <w:pPr>
        <w:spacing w:line="360" w:lineRule="auto"/>
      </w:pPr>
      <w:r>
        <w:tab/>
        <w:t xml:space="preserve">In particular, “Number of bedrooms” is by far the strongest predictor, with more bedrooms suggesting increased likelihood of homeownership. “Educational attainment” is a mixed bag; only a bachelor’s or a graduate degree suggest increased likelihood of homeownership, while the rest suggest increased likelihood of </w:t>
      </w:r>
      <w:r w:rsidR="00543312">
        <w:t xml:space="preserve">renting. “Total personal income” is the second most-positively correlated standalone feature; higher income suggests increased likelihood of homeownership. “Number of rooms” is like “Number of bedrooms” but with a much lower magnitude. Finally, “Population-weighted density” is negatively correlated with home ownership, meaning that a home in a denser area is more likely to be rented. </w:t>
      </w:r>
    </w:p>
    <w:p w14:paraId="73E3286C" w14:textId="01EE13D2" w:rsidR="00723B71" w:rsidRDefault="00723B71" w:rsidP="004D4723">
      <w:pPr>
        <w:pStyle w:val="Heading2"/>
        <w:spacing w:line="360" w:lineRule="auto"/>
      </w:pPr>
      <w:r>
        <w:t>Middle-Aged Adults Home Ownership</w:t>
      </w:r>
    </w:p>
    <w:p w14:paraId="06D0ADC2" w14:textId="055A4C18" w:rsidR="009A03D5" w:rsidRDefault="009A03D5" w:rsidP="004D4723">
      <w:pPr>
        <w:spacing w:line="360" w:lineRule="auto"/>
      </w:pPr>
      <w:r>
        <w:tab/>
        <w:t>Middle-Aged Adults are defined as adults aged 35 to 64. All SVCs performed similarly regardless of kernel. By pure magnitude, the top 5 predictors to predict homeownership in order are: “Number of bedrooms”, “Total personal income”, “Educational attainment”, “Age” (within the group), and “Number of rooms.”</w:t>
      </w:r>
    </w:p>
    <w:p w14:paraId="1917D224" w14:textId="72BEDF92" w:rsidR="009A03D5" w:rsidRPr="009A03D5" w:rsidRDefault="009A03D5" w:rsidP="004D4723">
      <w:pPr>
        <w:spacing w:line="360" w:lineRule="auto"/>
      </w:pPr>
      <w:r>
        <w:tab/>
        <w:t xml:space="preserve">There are similarities here to factors related with Young Adult homeownership – “Number of bedrooms”, “Total personal income”, “Educational attainment” are also its top 3, </w:t>
      </w:r>
      <w:r w:rsidR="00ED3FD7">
        <w:t>with “Number of bedrooms” towering above the rest, though</w:t>
      </w:r>
      <w:r>
        <w:t xml:space="preserve"> </w:t>
      </w:r>
      <w:proofErr w:type="gramStart"/>
      <w:r>
        <w:t>income’s</w:t>
      </w:r>
      <w:proofErr w:type="gramEnd"/>
      <w:r>
        <w:t xml:space="preserve"> and education’s order is switched. The direction of the relationship hasn’t changed either – positive for all including “Age”.</w:t>
      </w:r>
      <w:r w:rsidR="00ED3FD7">
        <w:t xml:space="preserve"> </w:t>
      </w:r>
      <w:r>
        <w:t xml:space="preserve">One thing to note here is that the age range is wider than the Young Adults age group. </w:t>
      </w:r>
      <w:r w:rsidR="00ED3FD7">
        <w:t>As a person grows older, they are more likely to own a home.</w:t>
      </w:r>
    </w:p>
    <w:p w14:paraId="7508E0BE" w14:textId="5AD68EC3" w:rsidR="00723B71" w:rsidRDefault="00723B71" w:rsidP="004D4723">
      <w:pPr>
        <w:pStyle w:val="Heading2"/>
        <w:spacing w:line="360" w:lineRule="auto"/>
      </w:pPr>
      <w:r>
        <w:lastRenderedPageBreak/>
        <w:t>Older Adults Home Ownership</w:t>
      </w:r>
    </w:p>
    <w:p w14:paraId="7EBA0A3C" w14:textId="4509C663" w:rsidR="00723B71" w:rsidRDefault="00ED3FD7" w:rsidP="004D4723">
      <w:pPr>
        <w:spacing w:line="360" w:lineRule="auto"/>
        <w:ind w:firstLine="720"/>
      </w:pPr>
      <w:r>
        <w:t xml:space="preserve">Older Adults are defined as adults aged 65+. All SVCs performed similarly regardless of kernel. By pure magnitude, the top 5 predictors to predict homeownership in order are: “Number of bedrooms”, “Number of rooms”, “Population-weighted density”, </w:t>
      </w:r>
      <w:r w:rsidR="003D3DEA">
        <w:t xml:space="preserve">“Educational attainment”, and “Age of structure”. </w:t>
      </w:r>
    </w:p>
    <w:p w14:paraId="041C28DF" w14:textId="27E4FFA5" w:rsidR="003D3DEA" w:rsidRDefault="003D3DEA" w:rsidP="004D4723">
      <w:pPr>
        <w:spacing w:line="360" w:lineRule="auto"/>
        <w:ind w:firstLine="720"/>
      </w:pPr>
      <w:r>
        <w:t xml:space="preserve">Here we see a major break from previous trends. “Number of bedrooms” and “Number of rooms” are almost equal in magnitude. “Population-weighted density” and “Age of structure” (older homes are more likely to be rented) are now more important, while “Educational attainment” and “Total personal income” took a backseat. The direction of the remaining relationships remains the same.  </w:t>
      </w:r>
    </w:p>
    <w:p w14:paraId="5EE9A574" w14:textId="4C52F461" w:rsidR="004C2564" w:rsidRDefault="004C2564" w:rsidP="004D4723">
      <w:pPr>
        <w:pStyle w:val="Heading1"/>
        <w:spacing w:line="360" w:lineRule="auto"/>
        <w:jc w:val="center"/>
      </w:pPr>
      <w:r>
        <w:t>Conclusion</w:t>
      </w:r>
    </w:p>
    <w:p w14:paraId="2C8F0D1D" w14:textId="47687BE4" w:rsidR="00483E04" w:rsidRDefault="0019756B" w:rsidP="004D4723">
      <w:pPr>
        <w:spacing w:line="360" w:lineRule="auto"/>
      </w:pPr>
      <w:r>
        <w:tab/>
      </w:r>
      <w:r w:rsidR="00483E04" w:rsidRPr="00483E04">
        <w:t xml:space="preserve">This </w:t>
      </w:r>
      <w:r w:rsidR="003B1A57">
        <w:t>analysis</w:t>
      </w:r>
      <w:r w:rsidR="00483E04" w:rsidRPr="00483E04">
        <w:t xml:space="preserve"> aimed to assess </w:t>
      </w:r>
      <w:r w:rsidR="00483E04">
        <w:t xml:space="preserve">the </w:t>
      </w:r>
      <w:r w:rsidR="001C7BB4">
        <w:t>shift</w:t>
      </w:r>
      <w:r w:rsidR="00483E04">
        <w:t xml:space="preserve"> in </w:t>
      </w:r>
      <w:r w:rsidR="001C7BB4">
        <w:t>feature</w:t>
      </w:r>
      <w:r w:rsidR="00483E04">
        <w:t xml:space="preserve"> </w:t>
      </w:r>
      <w:proofErr w:type="spellStart"/>
      <w:r w:rsidR="00483E04">
        <w:t>importance</w:t>
      </w:r>
      <w:r w:rsidR="001C7BB4">
        <w:t>s</w:t>
      </w:r>
      <w:proofErr w:type="spellEnd"/>
      <w:r w:rsidR="003B1A57">
        <w:t xml:space="preserve"> for predicting homeownership</w:t>
      </w:r>
      <w:r w:rsidR="00483E04">
        <w:t xml:space="preserve"> across various age brackets</w:t>
      </w:r>
      <w:r w:rsidR="00483E04" w:rsidRPr="00483E04">
        <w:t>: Young Adults, Middle-Aged Adults, and Older Adults</w:t>
      </w:r>
      <w:r w:rsidR="001C7BB4">
        <w:t xml:space="preserve">. By employing </w:t>
      </w:r>
      <w:r w:rsidR="00483E04" w:rsidRPr="00483E04">
        <w:t>Support Vector Classifiers with linear, radial, and polynomial kernels</w:t>
      </w:r>
      <w:r w:rsidR="001C7BB4">
        <w:t xml:space="preserve"> (tuned through 5-fold grid search cross validation)</w:t>
      </w:r>
      <w:r w:rsidR="003B1A57">
        <w:t>,</w:t>
      </w:r>
      <w:r w:rsidR="001C7BB4">
        <w:t xml:space="preserve"> clear trends were uncovered.</w:t>
      </w:r>
    </w:p>
    <w:p w14:paraId="615FDFD6" w14:textId="6F6BA22C" w:rsidR="0019756B" w:rsidRDefault="001C7BB4" w:rsidP="00483E04">
      <w:pPr>
        <w:spacing w:line="360" w:lineRule="auto"/>
        <w:ind w:firstLine="720"/>
      </w:pPr>
      <w:r>
        <w:t xml:space="preserve">For example, </w:t>
      </w:r>
      <w:r w:rsidR="003B1A57">
        <w:t xml:space="preserve">while </w:t>
      </w:r>
      <w:r w:rsidR="00A34804">
        <w:t>“Number of bedrooms” remain</w:t>
      </w:r>
      <w:r>
        <w:t>ed</w:t>
      </w:r>
      <w:r w:rsidR="00A34804">
        <w:t xml:space="preserve"> a staple across all groups, “Educational attainment” and “Total personal income” slowly bec</w:t>
      </w:r>
      <w:r>
        <w:t>a</w:t>
      </w:r>
      <w:r w:rsidR="00A34804">
        <w:t xml:space="preserve">me less important as a person grows older. </w:t>
      </w:r>
      <w:r w:rsidR="000738E6">
        <w:t xml:space="preserve">On the other hand, while </w:t>
      </w:r>
      <w:r w:rsidR="00BF18B2">
        <w:t>“Population-weighted density” is a strong predictor for Young and Older Adults, it is at its weakest when used to predict for Middle-Aged Adults (with “Marital Status” overtaking its spot).</w:t>
      </w:r>
      <w:r w:rsidR="00C75BC3">
        <w:t xml:space="preserve"> </w:t>
      </w:r>
    </w:p>
    <w:p w14:paraId="5A7F6993" w14:textId="3CA0C806" w:rsidR="00C75BC3" w:rsidRPr="0019756B" w:rsidRDefault="00C75BC3" w:rsidP="004D4723">
      <w:pPr>
        <w:spacing w:line="360" w:lineRule="auto"/>
      </w:pPr>
      <w:r>
        <w:tab/>
        <w:t xml:space="preserve">These are indicators of a changing time, homes were likely cheaper decades ago while income and purchasing power was comparatively higher, so personal income make less of a difference within the older generation. For the younger generation born in a more competitive housing market, “Educational attainment” and “Total personal income” (which are likely to have some correlation) become very important factors. Future analysis could attempt finer age group segmentations so that a smoother and more interpretable comparisons can be drawn. </w:t>
      </w:r>
    </w:p>
    <w:p w14:paraId="3DD1C6BA" w14:textId="63F6DAF6" w:rsidR="004C2564" w:rsidRDefault="004C2564" w:rsidP="004D4723">
      <w:pPr>
        <w:pStyle w:val="Heading1"/>
        <w:spacing w:line="360" w:lineRule="auto"/>
        <w:jc w:val="center"/>
      </w:pPr>
      <w:r>
        <w:lastRenderedPageBreak/>
        <w:t>References</w:t>
      </w:r>
    </w:p>
    <w:p w14:paraId="4CE78312" w14:textId="510D858E" w:rsidR="00785B0D" w:rsidRPr="00FA2AD3" w:rsidRDefault="00785B0D" w:rsidP="004D4723">
      <w:pPr>
        <w:pStyle w:val="NormalWeb"/>
        <w:numPr>
          <w:ilvl w:val="0"/>
          <w:numId w:val="2"/>
        </w:numPr>
        <w:spacing w:line="360" w:lineRule="auto"/>
        <w:rPr>
          <w:rFonts w:asciiTheme="minorHAnsi" w:hAnsiTheme="minorHAnsi"/>
        </w:rPr>
      </w:pPr>
      <w:r w:rsidRPr="00FA2AD3">
        <w:rPr>
          <w:rFonts w:asciiTheme="minorHAnsi" w:hAnsiTheme="minorHAnsi"/>
        </w:rPr>
        <w:t xml:space="preserve">Homeownership rate in the United States from 1990 to 2023 [Internet]. Statista Research Department; 2024 [cited 2024 Apr 29]. Available from: https://www.statista.com/statistics/184902/homeownership-rate-in-the-us-since-2003/ </w:t>
      </w:r>
    </w:p>
    <w:p w14:paraId="07F1E3D1" w14:textId="71E61D88" w:rsidR="00DD34FD" w:rsidRPr="00FA2AD3" w:rsidRDefault="00DD34FD" w:rsidP="004D4723">
      <w:pPr>
        <w:pStyle w:val="NormalWeb"/>
        <w:numPr>
          <w:ilvl w:val="0"/>
          <w:numId w:val="2"/>
        </w:numPr>
        <w:spacing w:line="360" w:lineRule="auto"/>
        <w:rPr>
          <w:rFonts w:asciiTheme="minorHAnsi" w:hAnsiTheme="minorHAnsi"/>
        </w:rPr>
      </w:pPr>
      <w:r w:rsidRPr="00FA2AD3">
        <w:rPr>
          <w:rFonts w:asciiTheme="minorHAnsi" w:hAnsiTheme="minorHAnsi"/>
        </w:rPr>
        <w:t xml:space="preserve">Goodman L, Choi JH, Zhu J. The “real” homeownership gap between today’s young adults and past generations is much larger than you think [Internet]. 2023 [cited 2024 Apr 29]. Available from: https://www.urban.org/urban-wire/real-homeownership-gap-between-todays-young-adults-and-past-generations-much-larger-you </w:t>
      </w:r>
    </w:p>
    <w:p w14:paraId="1B66C7D9" w14:textId="3AD4A6DB" w:rsidR="00DD34FD" w:rsidRDefault="00FA2AD3" w:rsidP="004D4723">
      <w:pPr>
        <w:pStyle w:val="NormalWeb"/>
        <w:numPr>
          <w:ilvl w:val="0"/>
          <w:numId w:val="2"/>
        </w:numPr>
        <w:spacing w:line="360" w:lineRule="auto"/>
        <w:rPr>
          <w:rFonts w:asciiTheme="minorHAnsi" w:hAnsiTheme="minorHAnsi"/>
        </w:rPr>
      </w:pPr>
      <w:r w:rsidRPr="00FA2AD3">
        <w:rPr>
          <w:rFonts w:asciiTheme="minorHAnsi" w:hAnsiTheme="minorHAnsi"/>
        </w:rPr>
        <w:t xml:space="preserve">Steven Ruggles, Sarah Flood, Matthew Sobek, Danika Brockman, Grace Cooper, Stephanie Richards, and Megan </w:t>
      </w:r>
      <w:proofErr w:type="spellStart"/>
      <w:r w:rsidRPr="00FA2AD3">
        <w:rPr>
          <w:rFonts w:asciiTheme="minorHAnsi" w:hAnsiTheme="minorHAnsi"/>
        </w:rPr>
        <w:t>Schouweiler</w:t>
      </w:r>
      <w:proofErr w:type="spellEnd"/>
      <w:r w:rsidRPr="00FA2AD3">
        <w:rPr>
          <w:rFonts w:asciiTheme="minorHAnsi" w:hAnsiTheme="minorHAnsi"/>
        </w:rPr>
        <w:t>. IPUMS USA: Version 13.0 [dataset]. Minneapolis, MN: IPUMS, 2023. </w:t>
      </w:r>
      <w:r w:rsidRPr="00731CAD">
        <w:rPr>
          <w:rFonts w:asciiTheme="minorHAnsi" w:hAnsiTheme="minorHAnsi"/>
        </w:rPr>
        <w:t>https://doi.org/10.18128/D010.V13.0</w:t>
      </w:r>
    </w:p>
    <w:p w14:paraId="047CD991" w14:textId="75DAA40C" w:rsidR="00731CAD" w:rsidRDefault="00731CAD" w:rsidP="004D4723">
      <w:pPr>
        <w:pStyle w:val="NormalWeb"/>
        <w:numPr>
          <w:ilvl w:val="0"/>
          <w:numId w:val="2"/>
        </w:numPr>
        <w:spacing w:line="360" w:lineRule="auto"/>
      </w:pPr>
      <w:r w:rsidRPr="00731CAD">
        <w:t xml:space="preserve">Choi J, Zhu J, Goodman L, Ganesh B, </w:t>
      </w:r>
      <w:proofErr w:type="spellStart"/>
      <w:r w:rsidRPr="00731CAD">
        <w:t>Strochak</w:t>
      </w:r>
      <w:proofErr w:type="spellEnd"/>
      <w:r w:rsidRPr="00731CAD">
        <w:t xml:space="preserve"> S. Millennial Homeownership [Internet]. 2018 [cited 2024 Apr 29]. Available from: https://www.urban.org/sites/default/files/publication/98729/millennial_homeownership_0.pdf </w:t>
      </w:r>
    </w:p>
    <w:p w14:paraId="4352D087" w14:textId="260E38B6" w:rsidR="004E6A96" w:rsidRDefault="004E6A96" w:rsidP="004D4723">
      <w:pPr>
        <w:pStyle w:val="NormalWeb"/>
        <w:numPr>
          <w:ilvl w:val="0"/>
          <w:numId w:val="2"/>
        </w:numPr>
        <w:spacing w:line="360" w:lineRule="auto"/>
      </w:pPr>
      <w:r w:rsidRPr="004E6A96">
        <w:t xml:space="preserve">Choi J, Zhu J, Goodman L, Ganesh B, </w:t>
      </w:r>
      <w:proofErr w:type="spellStart"/>
      <w:r w:rsidRPr="004E6A96">
        <w:t>Strochak</w:t>
      </w:r>
      <w:proofErr w:type="spellEnd"/>
      <w:r w:rsidRPr="004E6A96">
        <w:t xml:space="preserve"> S [Internet]. 2018 [cited 2024 Apr 29]. Available from: https://www.urban.org/sites/default/files/publication/98729/millennial_homeownership_0.pdf </w:t>
      </w:r>
    </w:p>
    <w:p w14:paraId="710A14B3" w14:textId="1C2F56D1" w:rsidR="00446619" w:rsidRDefault="00446619" w:rsidP="004D4723">
      <w:pPr>
        <w:pStyle w:val="NormalWeb"/>
        <w:numPr>
          <w:ilvl w:val="0"/>
          <w:numId w:val="2"/>
        </w:numPr>
        <w:spacing w:line="360" w:lineRule="auto"/>
      </w:pPr>
      <w:r w:rsidRPr="00446619">
        <w:t xml:space="preserve">Sotelo D. Effect of Feature Standardization on Linear Support Vector Machines [Internet]. Towards Data Science; 2017 [cited 2024 Apr 29]. Available from: https://towardsdatascience.com/effect-of-feature-standardization-on-linear-support-vector-machines-13213765b812 </w:t>
      </w:r>
    </w:p>
    <w:p w14:paraId="49E8631F" w14:textId="2C485B50" w:rsidR="002F37C2" w:rsidRDefault="0019756B" w:rsidP="004D4723">
      <w:pPr>
        <w:pStyle w:val="NormalWeb"/>
        <w:numPr>
          <w:ilvl w:val="0"/>
          <w:numId w:val="2"/>
        </w:numPr>
        <w:spacing w:line="360" w:lineRule="auto"/>
      </w:pPr>
      <w:r w:rsidRPr="0019756B">
        <w:t xml:space="preserve">Search for variables [Internet]. [cited 2024 Apr 29]. Available from: https://usa.ipums.org/usa-action/variables/live_search </w:t>
      </w:r>
    </w:p>
    <w:p w14:paraId="40356192" w14:textId="198A3C2E" w:rsidR="002664D1" w:rsidRPr="002F37C2" w:rsidRDefault="002F37C2" w:rsidP="004D4723">
      <w:pPr>
        <w:pStyle w:val="NormalWeb"/>
        <w:numPr>
          <w:ilvl w:val="0"/>
          <w:numId w:val="2"/>
        </w:numPr>
        <w:spacing w:line="360" w:lineRule="auto"/>
      </w:pPr>
      <w:r w:rsidRPr="002F37C2">
        <w:t xml:space="preserve">IPUMS USA: DESCR: INCTOT </w:t>
      </w:r>
      <w:r>
        <w:t xml:space="preserve">[Internet]. [cited 2024 Apr 29]. Available from: https://usa.ipums.org/usa-action/variables/INCTOT#codes_section </w:t>
      </w:r>
    </w:p>
    <w:p w14:paraId="3E4FC3BB" w14:textId="77777777" w:rsidR="00267A7D" w:rsidRDefault="00267A7D" w:rsidP="004D4723">
      <w:pPr>
        <w:pStyle w:val="Heading1"/>
        <w:spacing w:line="360" w:lineRule="auto"/>
        <w:jc w:val="center"/>
      </w:pPr>
    </w:p>
    <w:p w14:paraId="5758743B" w14:textId="77777777" w:rsidR="00267A7D" w:rsidRDefault="00267A7D" w:rsidP="004D4723">
      <w:pPr>
        <w:pStyle w:val="Heading1"/>
        <w:spacing w:line="360" w:lineRule="auto"/>
        <w:jc w:val="center"/>
      </w:pPr>
    </w:p>
    <w:p w14:paraId="178F5907" w14:textId="77777777" w:rsidR="00267A7D" w:rsidRDefault="00267A7D" w:rsidP="004D4723">
      <w:pPr>
        <w:pStyle w:val="Heading1"/>
        <w:spacing w:line="360" w:lineRule="auto"/>
        <w:jc w:val="center"/>
      </w:pPr>
    </w:p>
    <w:p w14:paraId="371E57D9" w14:textId="77777777" w:rsidR="00267A7D" w:rsidRDefault="00267A7D" w:rsidP="004D4723">
      <w:pPr>
        <w:pStyle w:val="Heading1"/>
        <w:spacing w:line="360" w:lineRule="auto"/>
        <w:jc w:val="center"/>
      </w:pPr>
    </w:p>
    <w:p w14:paraId="4BD41678" w14:textId="77777777" w:rsidR="00267A7D" w:rsidRDefault="00267A7D" w:rsidP="004D4723">
      <w:pPr>
        <w:pStyle w:val="Heading1"/>
        <w:spacing w:line="360" w:lineRule="auto"/>
        <w:jc w:val="center"/>
      </w:pPr>
    </w:p>
    <w:p w14:paraId="0F19ED5D" w14:textId="77777777" w:rsidR="00267A7D" w:rsidRDefault="00267A7D" w:rsidP="004D4723">
      <w:pPr>
        <w:pStyle w:val="Heading1"/>
        <w:spacing w:line="360" w:lineRule="auto"/>
        <w:jc w:val="center"/>
      </w:pPr>
    </w:p>
    <w:p w14:paraId="407E7780" w14:textId="226EC8CC" w:rsidR="004C2564" w:rsidRPr="004C2564" w:rsidRDefault="004C2564" w:rsidP="004D4723">
      <w:pPr>
        <w:pStyle w:val="Heading1"/>
        <w:spacing w:line="360" w:lineRule="auto"/>
        <w:jc w:val="center"/>
      </w:pPr>
      <w:r>
        <w:t>Appendix</w:t>
      </w:r>
    </w:p>
    <w:p w14:paraId="12BA5945" w14:textId="77777777" w:rsidR="004C2564" w:rsidRPr="004C2564" w:rsidRDefault="004C2564" w:rsidP="004D4723">
      <w:pPr>
        <w:spacing w:line="360" w:lineRule="auto"/>
      </w:pPr>
    </w:p>
    <w:p w14:paraId="71BA8C58" w14:textId="77777777" w:rsidR="00D72BC9" w:rsidRDefault="00D72BC9" w:rsidP="004D4723">
      <w:pPr>
        <w:spacing w:line="360" w:lineRule="auto"/>
      </w:pPr>
    </w:p>
    <w:p w14:paraId="3886ED4E" w14:textId="77777777" w:rsidR="00D72BC9" w:rsidRDefault="00D72BC9" w:rsidP="004D4723">
      <w:pPr>
        <w:spacing w:line="360" w:lineRule="auto"/>
      </w:pPr>
    </w:p>
    <w:p w14:paraId="4A65CC18" w14:textId="77777777" w:rsidR="00D72BC9" w:rsidRDefault="00D72BC9" w:rsidP="004D4723">
      <w:pPr>
        <w:spacing w:line="360" w:lineRule="auto"/>
      </w:pPr>
    </w:p>
    <w:p w14:paraId="3925C35B" w14:textId="77777777" w:rsidR="000A1721" w:rsidRDefault="000A1721" w:rsidP="004D4723">
      <w:pPr>
        <w:spacing w:line="360" w:lineRule="auto"/>
      </w:pPr>
    </w:p>
    <w:p w14:paraId="6D050498" w14:textId="77777777" w:rsidR="000A1721" w:rsidRDefault="000A1721" w:rsidP="004D4723">
      <w:pPr>
        <w:spacing w:line="360" w:lineRule="auto"/>
      </w:pPr>
    </w:p>
    <w:p w14:paraId="1FB3A624" w14:textId="77777777" w:rsidR="000A1721" w:rsidRDefault="000A1721" w:rsidP="004D4723">
      <w:pPr>
        <w:spacing w:line="360" w:lineRule="auto"/>
      </w:pPr>
    </w:p>
    <w:p w14:paraId="7A546130" w14:textId="77777777" w:rsidR="000A1721" w:rsidRDefault="000A1721" w:rsidP="004D4723">
      <w:pPr>
        <w:spacing w:line="360" w:lineRule="auto"/>
      </w:pPr>
    </w:p>
    <w:sectPr w:rsidR="000A1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471C9"/>
    <w:multiLevelType w:val="hybridMultilevel"/>
    <w:tmpl w:val="A9A6E8BE"/>
    <w:lvl w:ilvl="0" w:tplc="CCC2BC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47C69"/>
    <w:multiLevelType w:val="hybridMultilevel"/>
    <w:tmpl w:val="6428E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779347">
    <w:abstractNumId w:val="0"/>
  </w:num>
  <w:num w:numId="2" w16cid:durableId="1172791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BF"/>
    <w:rsid w:val="00004DE1"/>
    <w:rsid w:val="000125C0"/>
    <w:rsid w:val="0001578C"/>
    <w:rsid w:val="00021948"/>
    <w:rsid w:val="00061FA5"/>
    <w:rsid w:val="000738E6"/>
    <w:rsid w:val="0008360B"/>
    <w:rsid w:val="000A1239"/>
    <w:rsid w:val="000A1721"/>
    <w:rsid w:val="000B3951"/>
    <w:rsid w:val="000E5C3E"/>
    <w:rsid w:val="00181D1B"/>
    <w:rsid w:val="0019756B"/>
    <w:rsid w:val="001C7BB4"/>
    <w:rsid w:val="001D5A8F"/>
    <w:rsid w:val="00216845"/>
    <w:rsid w:val="00237D12"/>
    <w:rsid w:val="00242665"/>
    <w:rsid w:val="002573A3"/>
    <w:rsid w:val="002664D1"/>
    <w:rsid w:val="00267A7D"/>
    <w:rsid w:val="002E08EF"/>
    <w:rsid w:val="002F37C2"/>
    <w:rsid w:val="002F64BF"/>
    <w:rsid w:val="003426BA"/>
    <w:rsid w:val="00387367"/>
    <w:rsid w:val="00393D8F"/>
    <w:rsid w:val="003B0C07"/>
    <w:rsid w:val="003B1A57"/>
    <w:rsid w:val="003C475E"/>
    <w:rsid w:val="003D0AF7"/>
    <w:rsid w:val="003D3DEA"/>
    <w:rsid w:val="00435B90"/>
    <w:rsid w:val="00446619"/>
    <w:rsid w:val="00470549"/>
    <w:rsid w:val="00483E04"/>
    <w:rsid w:val="004A5A08"/>
    <w:rsid w:val="004C2564"/>
    <w:rsid w:val="004C6177"/>
    <w:rsid w:val="004D4723"/>
    <w:rsid w:val="004E6A96"/>
    <w:rsid w:val="004F40AD"/>
    <w:rsid w:val="00543312"/>
    <w:rsid w:val="005A3759"/>
    <w:rsid w:val="005A4A3A"/>
    <w:rsid w:val="005D6503"/>
    <w:rsid w:val="005E6BED"/>
    <w:rsid w:val="00631876"/>
    <w:rsid w:val="00660537"/>
    <w:rsid w:val="006901AD"/>
    <w:rsid w:val="00691322"/>
    <w:rsid w:val="006B0765"/>
    <w:rsid w:val="006C6E92"/>
    <w:rsid w:val="006F264D"/>
    <w:rsid w:val="00700FB1"/>
    <w:rsid w:val="00704533"/>
    <w:rsid w:val="00723B71"/>
    <w:rsid w:val="00731CAD"/>
    <w:rsid w:val="007336E7"/>
    <w:rsid w:val="00735B9F"/>
    <w:rsid w:val="00750FF4"/>
    <w:rsid w:val="00780CCD"/>
    <w:rsid w:val="00785B0D"/>
    <w:rsid w:val="007907DC"/>
    <w:rsid w:val="007C3CF8"/>
    <w:rsid w:val="007E1DB7"/>
    <w:rsid w:val="007F4C41"/>
    <w:rsid w:val="00813219"/>
    <w:rsid w:val="00852708"/>
    <w:rsid w:val="00864627"/>
    <w:rsid w:val="008D2820"/>
    <w:rsid w:val="00953055"/>
    <w:rsid w:val="00960B76"/>
    <w:rsid w:val="009A03D5"/>
    <w:rsid w:val="009A38A1"/>
    <w:rsid w:val="009B217C"/>
    <w:rsid w:val="009F7B11"/>
    <w:rsid w:val="00A34804"/>
    <w:rsid w:val="00A41370"/>
    <w:rsid w:val="00A53188"/>
    <w:rsid w:val="00A533E1"/>
    <w:rsid w:val="00A95B41"/>
    <w:rsid w:val="00AC63B6"/>
    <w:rsid w:val="00B17AFD"/>
    <w:rsid w:val="00B25A83"/>
    <w:rsid w:val="00BC566B"/>
    <w:rsid w:val="00BF18B2"/>
    <w:rsid w:val="00C0240F"/>
    <w:rsid w:val="00C310D9"/>
    <w:rsid w:val="00C32BA7"/>
    <w:rsid w:val="00C75BC3"/>
    <w:rsid w:val="00C76A24"/>
    <w:rsid w:val="00C90C71"/>
    <w:rsid w:val="00CA4FAD"/>
    <w:rsid w:val="00CE6F24"/>
    <w:rsid w:val="00D135CE"/>
    <w:rsid w:val="00D714DA"/>
    <w:rsid w:val="00D72BC9"/>
    <w:rsid w:val="00D777AE"/>
    <w:rsid w:val="00DC55F2"/>
    <w:rsid w:val="00DD34FD"/>
    <w:rsid w:val="00DF04E1"/>
    <w:rsid w:val="00E37825"/>
    <w:rsid w:val="00E854AF"/>
    <w:rsid w:val="00EB3580"/>
    <w:rsid w:val="00ED3FD7"/>
    <w:rsid w:val="00EE2232"/>
    <w:rsid w:val="00EE5159"/>
    <w:rsid w:val="00F51B27"/>
    <w:rsid w:val="00FA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0AE15"/>
  <w15:chartTrackingRefBased/>
  <w15:docId w15:val="{9E59DC76-D100-AE48-926F-2336AC97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239"/>
  </w:style>
  <w:style w:type="paragraph" w:styleId="Heading1">
    <w:name w:val="heading 1"/>
    <w:basedOn w:val="Normal"/>
    <w:next w:val="Normal"/>
    <w:link w:val="Heading1Char"/>
    <w:uiPriority w:val="9"/>
    <w:qFormat/>
    <w:rsid w:val="002F6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6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6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4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4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4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4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6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6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4BF"/>
    <w:rPr>
      <w:rFonts w:eastAsiaTheme="majorEastAsia" w:cstheme="majorBidi"/>
      <w:color w:val="272727" w:themeColor="text1" w:themeTint="D8"/>
    </w:rPr>
  </w:style>
  <w:style w:type="paragraph" w:styleId="Title">
    <w:name w:val="Title"/>
    <w:basedOn w:val="Normal"/>
    <w:next w:val="Normal"/>
    <w:link w:val="TitleChar"/>
    <w:uiPriority w:val="10"/>
    <w:qFormat/>
    <w:rsid w:val="002F64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4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4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64BF"/>
    <w:rPr>
      <w:i/>
      <w:iCs/>
      <w:color w:val="404040" w:themeColor="text1" w:themeTint="BF"/>
    </w:rPr>
  </w:style>
  <w:style w:type="paragraph" w:styleId="ListParagraph">
    <w:name w:val="List Paragraph"/>
    <w:basedOn w:val="Normal"/>
    <w:uiPriority w:val="34"/>
    <w:qFormat/>
    <w:rsid w:val="002F64BF"/>
    <w:pPr>
      <w:ind w:left="720"/>
      <w:contextualSpacing/>
    </w:pPr>
  </w:style>
  <w:style w:type="character" w:styleId="IntenseEmphasis">
    <w:name w:val="Intense Emphasis"/>
    <w:basedOn w:val="DefaultParagraphFont"/>
    <w:uiPriority w:val="21"/>
    <w:qFormat/>
    <w:rsid w:val="002F64BF"/>
    <w:rPr>
      <w:i/>
      <w:iCs/>
      <w:color w:val="0F4761" w:themeColor="accent1" w:themeShade="BF"/>
    </w:rPr>
  </w:style>
  <w:style w:type="paragraph" w:styleId="IntenseQuote">
    <w:name w:val="Intense Quote"/>
    <w:basedOn w:val="Normal"/>
    <w:next w:val="Normal"/>
    <w:link w:val="IntenseQuoteChar"/>
    <w:uiPriority w:val="30"/>
    <w:qFormat/>
    <w:rsid w:val="002F6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4BF"/>
    <w:rPr>
      <w:i/>
      <w:iCs/>
      <w:color w:val="0F4761" w:themeColor="accent1" w:themeShade="BF"/>
    </w:rPr>
  </w:style>
  <w:style w:type="character" w:styleId="IntenseReference">
    <w:name w:val="Intense Reference"/>
    <w:basedOn w:val="DefaultParagraphFont"/>
    <w:uiPriority w:val="32"/>
    <w:qFormat/>
    <w:rsid w:val="002F64BF"/>
    <w:rPr>
      <w:b/>
      <w:bCs/>
      <w:smallCaps/>
      <w:color w:val="0F4761" w:themeColor="accent1" w:themeShade="BF"/>
      <w:spacing w:val="5"/>
    </w:rPr>
  </w:style>
  <w:style w:type="character" w:styleId="Hyperlink">
    <w:name w:val="Hyperlink"/>
    <w:basedOn w:val="DefaultParagraphFont"/>
    <w:uiPriority w:val="99"/>
    <w:unhideWhenUsed/>
    <w:rsid w:val="00BC566B"/>
    <w:rPr>
      <w:color w:val="467886" w:themeColor="hyperlink"/>
      <w:u w:val="single"/>
    </w:rPr>
  </w:style>
  <w:style w:type="character" w:styleId="UnresolvedMention">
    <w:name w:val="Unresolved Mention"/>
    <w:basedOn w:val="DefaultParagraphFont"/>
    <w:uiPriority w:val="99"/>
    <w:semiHidden/>
    <w:unhideWhenUsed/>
    <w:rsid w:val="00BC566B"/>
    <w:rPr>
      <w:color w:val="605E5C"/>
      <w:shd w:val="clear" w:color="auto" w:fill="E1DFDD"/>
    </w:rPr>
  </w:style>
  <w:style w:type="table" w:styleId="TableGrid">
    <w:name w:val="Table Grid"/>
    <w:basedOn w:val="TableNormal"/>
    <w:uiPriority w:val="39"/>
    <w:rsid w:val="00750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64D1"/>
    <w:rPr>
      <w:color w:val="96607D" w:themeColor="followedHyperlink"/>
      <w:u w:val="single"/>
    </w:rPr>
  </w:style>
  <w:style w:type="paragraph" w:styleId="NormalWeb">
    <w:name w:val="Normal (Web)"/>
    <w:basedOn w:val="Normal"/>
    <w:uiPriority w:val="99"/>
    <w:unhideWhenUsed/>
    <w:rsid w:val="00785B0D"/>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393D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9684">
      <w:bodyDiv w:val="1"/>
      <w:marLeft w:val="0"/>
      <w:marRight w:val="0"/>
      <w:marTop w:val="0"/>
      <w:marBottom w:val="0"/>
      <w:divBdr>
        <w:top w:val="none" w:sz="0" w:space="0" w:color="auto"/>
        <w:left w:val="none" w:sz="0" w:space="0" w:color="auto"/>
        <w:bottom w:val="none" w:sz="0" w:space="0" w:color="auto"/>
        <w:right w:val="none" w:sz="0" w:space="0" w:color="auto"/>
      </w:divBdr>
    </w:div>
    <w:div w:id="95447753">
      <w:bodyDiv w:val="1"/>
      <w:marLeft w:val="0"/>
      <w:marRight w:val="0"/>
      <w:marTop w:val="0"/>
      <w:marBottom w:val="0"/>
      <w:divBdr>
        <w:top w:val="none" w:sz="0" w:space="0" w:color="auto"/>
        <w:left w:val="none" w:sz="0" w:space="0" w:color="auto"/>
        <w:bottom w:val="none" w:sz="0" w:space="0" w:color="auto"/>
        <w:right w:val="none" w:sz="0" w:space="0" w:color="auto"/>
      </w:divBdr>
    </w:div>
    <w:div w:id="249240192">
      <w:bodyDiv w:val="1"/>
      <w:marLeft w:val="0"/>
      <w:marRight w:val="0"/>
      <w:marTop w:val="0"/>
      <w:marBottom w:val="0"/>
      <w:divBdr>
        <w:top w:val="none" w:sz="0" w:space="0" w:color="auto"/>
        <w:left w:val="none" w:sz="0" w:space="0" w:color="auto"/>
        <w:bottom w:val="none" w:sz="0" w:space="0" w:color="auto"/>
        <w:right w:val="none" w:sz="0" w:space="0" w:color="auto"/>
      </w:divBdr>
    </w:div>
    <w:div w:id="404645083">
      <w:bodyDiv w:val="1"/>
      <w:marLeft w:val="0"/>
      <w:marRight w:val="0"/>
      <w:marTop w:val="0"/>
      <w:marBottom w:val="0"/>
      <w:divBdr>
        <w:top w:val="none" w:sz="0" w:space="0" w:color="auto"/>
        <w:left w:val="none" w:sz="0" w:space="0" w:color="auto"/>
        <w:bottom w:val="none" w:sz="0" w:space="0" w:color="auto"/>
        <w:right w:val="none" w:sz="0" w:space="0" w:color="auto"/>
      </w:divBdr>
    </w:div>
    <w:div w:id="882710125">
      <w:bodyDiv w:val="1"/>
      <w:marLeft w:val="0"/>
      <w:marRight w:val="0"/>
      <w:marTop w:val="0"/>
      <w:marBottom w:val="0"/>
      <w:divBdr>
        <w:top w:val="none" w:sz="0" w:space="0" w:color="auto"/>
        <w:left w:val="none" w:sz="0" w:space="0" w:color="auto"/>
        <w:bottom w:val="none" w:sz="0" w:space="0" w:color="auto"/>
        <w:right w:val="none" w:sz="0" w:space="0" w:color="auto"/>
      </w:divBdr>
    </w:div>
    <w:div w:id="924800416">
      <w:bodyDiv w:val="1"/>
      <w:marLeft w:val="0"/>
      <w:marRight w:val="0"/>
      <w:marTop w:val="0"/>
      <w:marBottom w:val="0"/>
      <w:divBdr>
        <w:top w:val="none" w:sz="0" w:space="0" w:color="auto"/>
        <w:left w:val="none" w:sz="0" w:space="0" w:color="auto"/>
        <w:bottom w:val="none" w:sz="0" w:space="0" w:color="auto"/>
        <w:right w:val="none" w:sz="0" w:space="0" w:color="auto"/>
      </w:divBdr>
    </w:div>
    <w:div w:id="950286154">
      <w:bodyDiv w:val="1"/>
      <w:marLeft w:val="0"/>
      <w:marRight w:val="0"/>
      <w:marTop w:val="0"/>
      <w:marBottom w:val="0"/>
      <w:divBdr>
        <w:top w:val="none" w:sz="0" w:space="0" w:color="auto"/>
        <w:left w:val="none" w:sz="0" w:space="0" w:color="auto"/>
        <w:bottom w:val="none" w:sz="0" w:space="0" w:color="auto"/>
        <w:right w:val="none" w:sz="0" w:space="0" w:color="auto"/>
      </w:divBdr>
    </w:div>
    <w:div w:id="1054964493">
      <w:bodyDiv w:val="1"/>
      <w:marLeft w:val="0"/>
      <w:marRight w:val="0"/>
      <w:marTop w:val="0"/>
      <w:marBottom w:val="0"/>
      <w:divBdr>
        <w:top w:val="none" w:sz="0" w:space="0" w:color="auto"/>
        <w:left w:val="none" w:sz="0" w:space="0" w:color="auto"/>
        <w:bottom w:val="none" w:sz="0" w:space="0" w:color="auto"/>
        <w:right w:val="none" w:sz="0" w:space="0" w:color="auto"/>
      </w:divBdr>
      <w:divsChild>
        <w:div w:id="2039577720">
          <w:marLeft w:val="0"/>
          <w:marRight w:val="0"/>
          <w:marTop w:val="0"/>
          <w:marBottom w:val="0"/>
          <w:divBdr>
            <w:top w:val="none" w:sz="0" w:space="0" w:color="auto"/>
            <w:left w:val="none" w:sz="0" w:space="0" w:color="auto"/>
            <w:bottom w:val="none" w:sz="0" w:space="0" w:color="auto"/>
            <w:right w:val="none" w:sz="0" w:space="0" w:color="auto"/>
          </w:divBdr>
          <w:divsChild>
            <w:div w:id="595989765">
              <w:marLeft w:val="0"/>
              <w:marRight w:val="0"/>
              <w:marTop w:val="0"/>
              <w:marBottom w:val="0"/>
              <w:divBdr>
                <w:top w:val="none" w:sz="0" w:space="0" w:color="auto"/>
                <w:left w:val="none" w:sz="0" w:space="0" w:color="auto"/>
                <w:bottom w:val="none" w:sz="0" w:space="0" w:color="auto"/>
                <w:right w:val="none" w:sz="0" w:space="0" w:color="auto"/>
              </w:divBdr>
              <w:divsChild>
                <w:div w:id="1802839684">
                  <w:marLeft w:val="0"/>
                  <w:marRight w:val="0"/>
                  <w:marTop w:val="0"/>
                  <w:marBottom w:val="0"/>
                  <w:divBdr>
                    <w:top w:val="none" w:sz="0" w:space="0" w:color="auto"/>
                    <w:left w:val="none" w:sz="0" w:space="0" w:color="auto"/>
                    <w:bottom w:val="none" w:sz="0" w:space="0" w:color="auto"/>
                    <w:right w:val="none" w:sz="0" w:space="0" w:color="auto"/>
                  </w:divBdr>
                  <w:divsChild>
                    <w:div w:id="16071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097566">
      <w:bodyDiv w:val="1"/>
      <w:marLeft w:val="0"/>
      <w:marRight w:val="0"/>
      <w:marTop w:val="0"/>
      <w:marBottom w:val="0"/>
      <w:divBdr>
        <w:top w:val="none" w:sz="0" w:space="0" w:color="auto"/>
        <w:left w:val="none" w:sz="0" w:space="0" w:color="auto"/>
        <w:bottom w:val="none" w:sz="0" w:space="0" w:color="auto"/>
        <w:right w:val="none" w:sz="0" w:space="0" w:color="auto"/>
      </w:divBdr>
    </w:div>
    <w:div w:id="1407678760">
      <w:bodyDiv w:val="1"/>
      <w:marLeft w:val="0"/>
      <w:marRight w:val="0"/>
      <w:marTop w:val="0"/>
      <w:marBottom w:val="0"/>
      <w:divBdr>
        <w:top w:val="none" w:sz="0" w:space="0" w:color="auto"/>
        <w:left w:val="none" w:sz="0" w:space="0" w:color="auto"/>
        <w:bottom w:val="none" w:sz="0" w:space="0" w:color="auto"/>
        <w:right w:val="none" w:sz="0" w:space="0" w:color="auto"/>
      </w:divBdr>
    </w:div>
    <w:div w:id="1622684911">
      <w:bodyDiv w:val="1"/>
      <w:marLeft w:val="0"/>
      <w:marRight w:val="0"/>
      <w:marTop w:val="0"/>
      <w:marBottom w:val="0"/>
      <w:divBdr>
        <w:top w:val="none" w:sz="0" w:space="0" w:color="auto"/>
        <w:left w:val="none" w:sz="0" w:space="0" w:color="auto"/>
        <w:bottom w:val="none" w:sz="0" w:space="0" w:color="auto"/>
        <w:right w:val="none" w:sz="0" w:space="0" w:color="auto"/>
      </w:divBdr>
    </w:div>
    <w:div w:id="1752197518">
      <w:bodyDiv w:val="1"/>
      <w:marLeft w:val="0"/>
      <w:marRight w:val="0"/>
      <w:marTop w:val="0"/>
      <w:marBottom w:val="0"/>
      <w:divBdr>
        <w:top w:val="none" w:sz="0" w:space="0" w:color="auto"/>
        <w:left w:val="none" w:sz="0" w:space="0" w:color="auto"/>
        <w:bottom w:val="none" w:sz="0" w:space="0" w:color="auto"/>
        <w:right w:val="none" w:sz="0" w:space="0" w:color="auto"/>
      </w:divBdr>
    </w:div>
    <w:div w:id="1805150243">
      <w:bodyDiv w:val="1"/>
      <w:marLeft w:val="0"/>
      <w:marRight w:val="0"/>
      <w:marTop w:val="0"/>
      <w:marBottom w:val="0"/>
      <w:divBdr>
        <w:top w:val="none" w:sz="0" w:space="0" w:color="auto"/>
        <w:left w:val="none" w:sz="0" w:space="0" w:color="auto"/>
        <w:bottom w:val="none" w:sz="0" w:space="0" w:color="auto"/>
        <w:right w:val="none" w:sz="0" w:space="0" w:color="auto"/>
      </w:divBdr>
    </w:div>
    <w:div w:id="1846747692">
      <w:bodyDiv w:val="1"/>
      <w:marLeft w:val="0"/>
      <w:marRight w:val="0"/>
      <w:marTop w:val="0"/>
      <w:marBottom w:val="0"/>
      <w:divBdr>
        <w:top w:val="none" w:sz="0" w:space="0" w:color="auto"/>
        <w:left w:val="none" w:sz="0" w:space="0" w:color="auto"/>
        <w:bottom w:val="none" w:sz="0" w:space="0" w:color="auto"/>
        <w:right w:val="none" w:sz="0" w:space="0" w:color="auto"/>
      </w:divBdr>
    </w:div>
    <w:div w:id="1949117147">
      <w:bodyDiv w:val="1"/>
      <w:marLeft w:val="0"/>
      <w:marRight w:val="0"/>
      <w:marTop w:val="0"/>
      <w:marBottom w:val="0"/>
      <w:divBdr>
        <w:top w:val="none" w:sz="0" w:space="0" w:color="auto"/>
        <w:left w:val="none" w:sz="0" w:space="0" w:color="auto"/>
        <w:bottom w:val="none" w:sz="0" w:space="0" w:color="auto"/>
        <w:right w:val="none" w:sz="0" w:space="0" w:color="auto"/>
      </w:divBdr>
    </w:div>
    <w:div w:id="2018997019">
      <w:bodyDiv w:val="1"/>
      <w:marLeft w:val="0"/>
      <w:marRight w:val="0"/>
      <w:marTop w:val="0"/>
      <w:marBottom w:val="0"/>
      <w:divBdr>
        <w:top w:val="none" w:sz="0" w:space="0" w:color="auto"/>
        <w:left w:val="none" w:sz="0" w:space="0" w:color="auto"/>
        <w:bottom w:val="none" w:sz="0" w:space="0" w:color="auto"/>
        <w:right w:val="none" w:sz="0" w:space="0" w:color="auto"/>
      </w:divBdr>
      <w:divsChild>
        <w:div w:id="420180826">
          <w:marLeft w:val="0"/>
          <w:marRight w:val="0"/>
          <w:marTop w:val="0"/>
          <w:marBottom w:val="0"/>
          <w:divBdr>
            <w:top w:val="none" w:sz="0" w:space="0" w:color="auto"/>
            <w:left w:val="none" w:sz="0" w:space="0" w:color="auto"/>
            <w:bottom w:val="none" w:sz="0" w:space="0" w:color="auto"/>
            <w:right w:val="none" w:sz="0" w:space="0" w:color="auto"/>
          </w:divBdr>
          <w:divsChild>
            <w:div w:id="358508929">
              <w:marLeft w:val="0"/>
              <w:marRight w:val="0"/>
              <w:marTop w:val="0"/>
              <w:marBottom w:val="0"/>
              <w:divBdr>
                <w:top w:val="none" w:sz="0" w:space="0" w:color="auto"/>
                <w:left w:val="none" w:sz="0" w:space="0" w:color="auto"/>
                <w:bottom w:val="none" w:sz="0" w:space="0" w:color="auto"/>
                <w:right w:val="none" w:sz="0" w:space="0" w:color="auto"/>
              </w:divBdr>
              <w:divsChild>
                <w:div w:id="1891261413">
                  <w:marLeft w:val="0"/>
                  <w:marRight w:val="0"/>
                  <w:marTop w:val="0"/>
                  <w:marBottom w:val="0"/>
                  <w:divBdr>
                    <w:top w:val="none" w:sz="0" w:space="0" w:color="auto"/>
                    <w:left w:val="none" w:sz="0" w:space="0" w:color="auto"/>
                    <w:bottom w:val="none" w:sz="0" w:space="0" w:color="auto"/>
                    <w:right w:val="none" w:sz="0" w:space="0" w:color="auto"/>
                  </w:divBdr>
                  <w:divsChild>
                    <w:div w:id="12787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00544">
      <w:bodyDiv w:val="1"/>
      <w:marLeft w:val="0"/>
      <w:marRight w:val="0"/>
      <w:marTop w:val="0"/>
      <w:marBottom w:val="0"/>
      <w:divBdr>
        <w:top w:val="none" w:sz="0" w:space="0" w:color="auto"/>
        <w:left w:val="none" w:sz="0" w:space="0" w:color="auto"/>
        <w:bottom w:val="none" w:sz="0" w:space="0" w:color="auto"/>
        <w:right w:val="none" w:sz="0" w:space="0" w:color="auto"/>
      </w:divBdr>
    </w:div>
    <w:div w:id="213905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Lim</dc:creator>
  <cp:keywords/>
  <dc:description/>
  <cp:lastModifiedBy>Devin Lim</cp:lastModifiedBy>
  <cp:revision>6</cp:revision>
  <dcterms:created xsi:type="dcterms:W3CDTF">2024-05-11T01:27:00Z</dcterms:created>
  <dcterms:modified xsi:type="dcterms:W3CDTF">2024-05-11T01:43:00Z</dcterms:modified>
</cp:coreProperties>
</file>