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FC931" w14:textId="77777777" w:rsidR="00505CB7" w:rsidRPr="00505CB7" w:rsidRDefault="00505CB7" w:rsidP="00505CB7">
      <w:pPr>
        <w:rPr>
          <w:b/>
          <w:bCs/>
        </w:rPr>
      </w:pPr>
      <w:r w:rsidRPr="00505CB7">
        <w:rPr>
          <w:b/>
          <w:bCs/>
        </w:rPr>
        <w:t>Recent Crypto Market Volatility: Sharp Falls and Subsequent Recovery</w:t>
      </w:r>
    </w:p>
    <w:p w14:paraId="23C648A0" w14:textId="77777777" w:rsidR="00505CB7" w:rsidRPr="00505CB7" w:rsidRDefault="00505CB7" w:rsidP="00505CB7">
      <w:r w:rsidRPr="00505CB7">
        <w:t>The cryptocurrency market has experienced significant volatility in early 2026, characterized by sharp price declines followed by a notable recovery and "pump" in early March </w:t>
      </w:r>
      <w:hyperlink r:id="rId5" w:tgtFrame="_blank" w:history="1">
        <w:r w:rsidRPr="00505CB7">
          <w:rPr>
            <w:rStyle w:val="Hyperlink"/>
          </w:rPr>
          <w:t>1</w:t>
        </w:r>
      </w:hyperlink>
      <w:hyperlink r:id="rId6" w:tgtFrame="_blank" w:history="1">
        <w:r w:rsidRPr="00505CB7">
          <w:rPr>
            <w:rStyle w:val="Hyperlink"/>
          </w:rPr>
          <w:t>2</w:t>
        </w:r>
      </w:hyperlink>
      <w:r w:rsidRPr="00505CB7">
        <w:t>. This price action was driven by a combination of macroeconomic shifts, geopolitical tensions, and institutional capital flows.</w:t>
      </w:r>
    </w:p>
    <w:p w14:paraId="08DCE437" w14:textId="77777777" w:rsidR="00505CB7" w:rsidRPr="00505CB7" w:rsidRDefault="00505CB7" w:rsidP="00505CB7">
      <w:pPr>
        <w:rPr>
          <w:b/>
          <w:bCs/>
        </w:rPr>
      </w:pPr>
      <w:r w:rsidRPr="00505CB7">
        <w:rPr>
          <w:b/>
          <w:bCs/>
        </w:rPr>
        <w:t>Reasons for the Sharp Market Decline</w:t>
      </w:r>
    </w:p>
    <w:p w14:paraId="1D2BCD67" w14:textId="77777777" w:rsidR="00505CB7" w:rsidRPr="00505CB7" w:rsidRDefault="00505CB7" w:rsidP="00505CB7">
      <w:r w:rsidRPr="00505CB7">
        <w:t>The "crypto winter" of early 2026 saw major assets fall by 25% or more </w:t>
      </w:r>
      <w:hyperlink r:id="rId7" w:tgtFrame="_blank" w:history="1">
        <w:r w:rsidRPr="00505CB7">
          <w:rPr>
            <w:rStyle w:val="Hyperlink"/>
          </w:rPr>
          <w:t>3</w:t>
        </w:r>
      </w:hyperlink>
      <w:r w:rsidRPr="00505CB7">
        <w:t>. Several factors contributed to this downward pressure:</w:t>
      </w:r>
    </w:p>
    <w:p w14:paraId="34739D78" w14:textId="77777777" w:rsidR="00505CB7" w:rsidRPr="00505CB7" w:rsidRDefault="00505CB7" w:rsidP="00505CB7">
      <w:pPr>
        <w:numPr>
          <w:ilvl w:val="0"/>
          <w:numId w:val="1"/>
        </w:numPr>
      </w:pPr>
      <w:r w:rsidRPr="00505CB7">
        <w:rPr>
          <w:b/>
          <w:bCs/>
        </w:rPr>
        <w:t>Macroeconomic Uncertainty and Fed Policy</w:t>
      </w:r>
      <w:r w:rsidRPr="00505CB7">
        <w:t>: Markets reacted negatively to the nomination of a hawkish Federal Reserve Chairman by the Trump administration </w:t>
      </w:r>
      <w:hyperlink r:id="rId8" w:tgtFrame="_blank" w:history="1">
        <w:r w:rsidRPr="00505CB7">
          <w:rPr>
            <w:rStyle w:val="Hyperlink"/>
          </w:rPr>
          <w:t>4</w:t>
        </w:r>
      </w:hyperlink>
      <w:r w:rsidRPr="00505CB7">
        <w:t>. Expectations that the Fed would delay interest rate cuts until at least June 2026 further dampened sentiment </w:t>
      </w:r>
      <w:hyperlink r:id="rId9" w:tgtFrame="_blank" w:history="1">
        <w:r w:rsidRPr="00505CB7">
          <w:rPr>
            <w:rStyle w:val="Hyperlink"/>
          </w:rPr>
          <w:t>5</w:t>
        </w:r>
      </w:hyperlink>
      <w:r w:rsidRPr="00505CB7">
        <w:t>.</w:t>
      </w:r>
    </w:p>
    <w:p w14:paraId="526CCF26" w14:textId="77777777" w:rsidR="00505CB7" w:rsidRPr="00505CB7" w:rsidRDefault="00505CB7" w:rsidP="00505CB7">
      <w:pPr>
        <w:numPr>
          <w:ilvl w:val="0"/>
          <w:numId w:val="1"/>
        </w:numPr>
      </w:pPr>
      <w:r w:rsidRPr="00505CB7">
        <w:rPr>
          <w:b/>
          <w:bCs/>
        </w:rPr>
        <w:t>Geopolitical Tensions and Trade Wars</w:t>
      </w:r>
      <w:r w:rsidRPr="00505CB7">
        <w:t>: Price drops in January and February were frequently linked to trade-war fears, specifically U.S. tariff threats against Greenland and the European Union's potential €93 billion retaliatory tariff response </w:t>
      </w:r>
      <w:hyperlink r:id="rId10" w:tgtFrame="_blank" w:history="1">
        <w:r w:rsidRPr="00505CB7">
          <w:rPr>
            <w:rStyle w:val="Hyperlink"/>
          </w:rPr>
          <w:t>6</w:t>
        </w:r>
      </w:hyperlink>
      <w:hyperlink r:id="rId11" w:tgtFrame="_blank" w:history="1">
        <w:r w:rsidRPr="00505CB7">
          <w:rPr>
            <w:rStyle w:val="Hyperlink"/>
          </w:rPr>
          <w:t>7</w:t>
        </w:r>
      </w:hyperlink>
      <w:r w:rsidRPr="00505CB7">
        <w:t>. Additionally, a 15% global tariff imposed by the Trump administration and elevated U.S.-Iran tensions caused Bitcoin to drop over $3,000 in a single morning in late February </w:t>
      </w:r>
      <w:hyperlink r:id="rId12" w:tgtFrame="_blank" w:history="1">
        <w:r w:rsidRPr="00505CB7">
          <w:rPr>
            <w:rStyle w:val="Hyperlink"/>
          </w:rPr>
          <w:t>8</w:t>
        </w:r>
      </w:hyperlink>
      <w:r w:rsidRPr="00505CB7">
        <w:t>.</w:t>
      </w:r>
    </w:p>
    <w:p w14:paraId="3353B461" w14:textId="77777777" w:rsidR="00505CB7" w:rsidRPr="00505CB7" w:rsidRDefault="00505CB7" w:rsidP="00505CB7">
      <w:pPr>
        <w:numPr>
          <w:ilvl w:val="0"/>
          <w:numId w:val="1"/>
        </w:numPr>
      </w:pPr>
      <w:r w:rsidRPr="00505CB7">
        <w:rPr>
          <w:b/>
          <w:bCs/>
        </w:rPr>
        <w:t>Institutional Outflows</w:t>
      </w:r>
      <w:r w:rsidRPr="00505CB7">
        <w:t>: The market faced a five-week streak of outflows from spot Bitcoin ETFs, totaling nearly $4 billion leading into late February </w:t>
      </w:r>
      <w:hyperlink r:id="rId13" w:tgtFrame="_blank" w:history="1">
        <w:r w:rsidRPr="00505CB7">
          <w:rPr>
            <w:rStyle w:val="Hyperlink"/>
          </w:rPr>
          <w:t>2</w:t>
        </w:r>
      </w:hyperlink>
      <w:r w:rsidRPr="00505CB7">
        <w:t>. In February alone, investors pulled $678 million from Bitcoin ETFs </w:t>
      </w:r>
      <w:hyperlink r:id="rId14" w:tgtFrame="_blank" w:history="1">
        <w:r w:rsidRPr="00505CB7">
          <w:rPr>
            <w:rStyle w:val="Hyperlink"/>
          </w:rPr>
          <w:t>9</w:t>
        </w:r>
      </w:hyperlink>
      <w:r w:rsidRPr="00505CB7">
        <w:t>.</w:t>
      </w:r>
    </w:p>
    <w:p w14:paraId="2D3BC355" w14:textId="77777777" w:rsidR="00505CB7" w:rsidRPr="00505CB7" w:rsidRDefault="00505CB7" w:rsidP="00505CB7">
      <w:pPr>
        <w:numPr>
          <w:ilvl w:val="0"/>
          <w:numId w:val="1"/>
        </w:numPr>
      </w:pPr>
      <w:r w:rsidRPr="00505CB7">
        <w:rPr>
          <w:b/>
          <w:bCs/>
        </w:rPr>
        <w:t>Mass Liquidations</w:t>
      </w:r>
      <w:r w:rsidRPr="00505CB7">
        <w:t>: Sharp price drops were often exacerbated by the liquidation of leveraged long positions. For instance, one 24-hour period in January saw over $713 million in liquidations as Bitcoin fell below $90,000 </w:t>
      </w:r>
      <w:hyperlink r:id="rId15" w:tgtFrame="_blank" w:history="1">
        <w:r w:rsidRPr="00505CB7">
          <w:rPr>
            <w:rStyle w:val="Hyperlink"/>
          </w:rPr>
          <w:t>6</w:t>
        </w:r>
      </w:hyperlink>
      <w:r w:rsidRPr="00505CB7">
        <w:t>.</w:t>
      </w:r>
    </w:p>
    <w:p w14:paraId="68C16267" w14:textId="77777777" w:rsidR="00505CB7" w:rsidRPr="00505CB7" w:rsidRDefault="00505CB7" w:rsidP="00505CB7">
      <w:pPr>
        <w:rPr>
          <w:b/>
          <w:bCs/>
        </w:rPr>
      </w:pPr>
      <w:r w:rsidRPr="00505CB7">
        <w:rPr>
          <w:b/>
          <w:bCs/>
        </w:rPr>
        <w:t>Factors Driving the Recent Recovery and Rise</w:t>
      </w:r>
    </w:p>
    <w:p w14:paraId="5DE8F10B" w14:textId="77777777" w:rsidR="00505CB7" w:rsidRPr="00505CB7" w:rsidRDefault="00505CB7" w:rsidP="00505CB7">
      <w:r w:rsidRPr="00505CB7">
        <w:t>Following the period of "extreme fear," where the Fear and Greed Index hit lows of 8 to 11, the market began to rebound sharply in early March 2026 </w:t>
      </w:r>
      <w:hyperlink r:id="rId16" w:tgtFrame="_blank" w:history="1">
        <w:r w:rsidRPr="00505CB7">
          <w:rPr>
            <w:rStyle w:val="Hyperlink"/>
          </w:rPr>
          <w:t>2</w:t>
        </w:r>
      </w:hyperlink>
      <w:r w:rsidRPr="00505CB7">
        <w:t>[</w:t>
      </w:r>
      <w:hyperlink r:id="rId17" w:tgtFrame="_blank" w:history="1">
        <w:r w:rsidRPr="00505CB7">
          <w:rPr>
            <w:rStyle w:val="Hyperlink"/>
          </w:rPr>
          <w:t>10</w:t>
        </w:r>
      </w:hyperlink>
      <w:hyperlink r:id="rId18" w:tgtFrame="_blank" w:history="1">
        <w:r w:rsidRPr="00505CB7">
          <w:rPr>
            <w:rStyle w:val="Hyperlink"/>
          </w:rPr>
          <w:t>11</w:t>
        </w:r>
      </w:hyperlink>
      <w:r w:rsidRPr="00505CB7">
        <w:t>.</w:t>
      </w:r>
    </w:p>
    <w:p w14:paraId="4C7414DA" w14:textId="77777777" w:rsidR="00505CB7" w:rsidRPr="00505CB7" w:rsidRDefault="00505CB7" w:rsidP="00505CB7">
      <w:pPr>
        <w:numPr>
          <w:ilvl w:val="0"/>
          <w:numId w:val="2"/>
        </w:numPr>
      </w:pPr>
      <w:r w:rsidRPr="00505CB7">
        <w:rPr>
          <w:b/>
          <w:bCs/>
        </w:rPr>
        <w:t>Surge in ETF Inflows</w:t>
      </w:r>
      <w:r w:rsidRPr="00505CB7">
        <w:t>: A critical turning point occurred on March 3-4, 2026, when U.S. spot Bitcoin ETFs recorded a massive $683.4 million in net inflows </w:t>
      </w:r>
      <w:hyperlink r:id="rId19" w:tgtFrame="_blank" w:history="1">
        <w:r w:rsidRPr="00505CB7">
          <w:rPr>
            <w:rStyle w:val="Hyperlink"/>
          </w:rPr>
          <w:t>2</w:t>
        </w:r>
      </w:hyperlink>
      <w:r w:rsidRPr="00505CB7">
        <w:t>. This reversed the previous five-week outflow trend and signaled renewed institutional confidence </w:t>
      </w:r>
      <w:hyperlink r:id="rId20" w:tgtFrame="_blank" w:history="1">
        <w:r w:rsidRPr="00505CB7">
          <w:rPr>
            <w:rStyle w:val="Hyperlink"/>
          </w:rPr>
          <w:t>2</w:t>
        </w:r>
      </w:hyperlink>
      <w:r w:rsidRPr="00505CB7">
        <w:t>.</w:t>
      </w:r>
    </w:p>
    <w:p w14:paraId="1C50D194" w14:textId="77777777" w:rsidR="00505CB7" w:rsidRPr="00505CB7" w:rsidRDefault="00505CB7" w:rsidP="00505CB7">
      <w:pPr>
        <w:numPr>
          <w:ilvl w:val="0"/>
          <w:numId w:val="2"/>
        </w:numPr>
      </w:pPr>
      <w:r w:rsidRPr="00505CB7">
        <w:rPr>
          <w:b/>
          <w:bCs/>
        </w:rPr>
        <w:t>Short Covering</w:t>
      </w:r>
      <w:r w:rsidRPr="00505CB7">
        <w:t>: As Middle East tensions stabilized, traders began covering short positions, helping Bitcoin break through the $68,000 resistance level and reach highs between $71,000 and $72,000 </w:t>
      </w:r>
      <w:hyperlink r:id="rId21" w:tgtFrame="_blank" w:history="1">
        <w:r w:rsidRPr="00505CB7">
          <w:rPr>
            <w:rStyle w:val="Hyperlink"/>
          </w:rPr>
          <w:t>2</w:t>
        </w:r>
      </w:hyperlink>
      <w:r w:rsidRPr="00505CB7">
        <w:t>.</w:t>
      </w:r>
    </w:p>
    <w:p w14:paraId="6384E132" w14:textId="77777777" w:rsidR="00505CB7" w:rsidRPr="00505CB7" w:rsidRDefault="00505CB7" w:rsidP="00505CB7">
      <w:pPr>
        <w:numPr>
          <w:ilvl w:val="0"/>
          <w:numId w:val="2"/>
        </w:numPr>
      </w:pPr>
      <w:r w:rsidRPr="00505CB7">
        <w:rPr>
          <w:b/>
          <w:bCs/>
        </w:rPr>
        <w:lastRenderedPageBreak/>
        <w:t>Platform Growth and Speculative Activity</w:t>
      </w:r>
      <w:r w:rsidRPr="00505CB7">
        <w:t>: The "pump" was also supported by high activity on token launch platforms. For example, the platform PumpFun approached $1 billion in revenue and expanded its capabilities, while specific tokens like $TRUMP saw explosive (though highly volatile) growth </w:t>
      </w:r>
      <w:hyperlink r:id="rId22" w:tgtFrame="_blank" w:history="1">
        <w:r w:rsidRPr="00505CB7">
          <w:rPr>
            <w:rStyle w:val="Hyperlink"/>
          </w:rPr>
          <w:t>1</w:t>
        </w:r>
      </w:hyperlink>
      <w:r w:rsidRPr="00505CB7">
        <w:t>.</w:t>
      </w:r>
    </w:p>
    <w:p w14:paraId="7BC03179" w14:textId="77777777" w:rsidR="00505CB7" w:rsidRPr="00505CB7" w:rsidRDefault="00505CB7" w:rsidP="00505CB7">
      <w:pPr>
        <w:numPr>
          <w:ilvl w:val="0"/>
          <w:numId w:val="2"/>
        </w:numPr>
      </w:pPr>
      <w:r w:rsidRPr="00505CB7">
        <w:rPr>
          <w:b/>
          <w:bCs/>
        </w:rPr>
        <w:t>Anticipation of Regulatory Clarity</w:t>
      </w:r>
      <w:r w:rsidRPr="00505CB7">
        <w:t>: Discussions around the "Clarity Act" in the U.S. Senate were viewed by some officials and analysts as a potential catalyst for boosting long-term investor confidence and market recovery </w:t>
      </w:r>
      <w:hyperlink r:id="rId23" w:tgtFrame="_blank" w:history="1">
        <w:r w:rsidRPr="00505CB7">
          <w:rPr>
            <w:rStyle w:val="Hyperlink"/>
          </w:rPr>
          <w:t>5</w:t>
        </w:r>
      </w:hyperlink>
      <w:hyperlink r:id="rId24" w:tgtFrame="_blank" w:history="1">
        <w:r w:rsidRPr="00505CB7">
          <w:rPr>
            <w:rStyle w:val="Hyperlink"/>
          </w:rPr>
          <w:t>9</w:t>
        </w:r>
      </w:hyperlink>
      <w:r w:rsidRPr="00505CB7">
        <w:t>.</w:t>
      </w:r>
    </w:p>
    <w:p w14:paraId="1736E7E5" w14:textId="77777777" w:rsidR="00505CB7" w:rsidRPr="00505CB7" w:rsidRDefault="00505CB7" w:rsidP="00505CB7">
      <w:pPr>
        <w:rPr>
          <w:b/>
          <w:bCs/>
        </w:rPr>
      </w:pPr>
      <w:r w:rsidRPr="00505CB7">
        <w:rPr>
          <w:b/>
          <w:bCs/>
        </w:rPr>
        <w:t>Market Sentiment and Outlook</w:t>
      </w:r>
    </w:p>
    <w:p w14:paraId="306AF643" w14:textId="77777777" w:rsidR="00505CB7" w:rsidRPr="00505CB7" w:rsidRDefault="00505CB7" w:rsidP="00505CB7">
      <w:r w:rsidRPr="00505CB7">
        <w:t>Despite the recovery, sentiment remains divided. While some traders view the recent rise as the start of a new bullish trend, others remain skeptical, labeling it a "fake pump" or "bull trap" </w:t>
      </w:r>
      <w:hyperlink r:id="rId25" w:tgtFrame="_blank" w:history="1">
        <w:r w:rsidRPr="00505CB7">
          <w:rPr>
            <w:rStyle w:val="Hyperlink"/>
          </w:rPr>
          <w:t>1</w:t>
        </w:r>
      </w:hyperlink>
      <w:r w:rsidRPr="00505CB7">
        <w:t>. In South Korea, a significant portion of investors (60.9%) viewed the recent market weakness as a buying opportunity, even while reporting feelings of fear </w:t>
      </w:r>
      <w:hyperlink r:id="rId26" w:tgtFrame="_blank" w:history="1">
        <w:r w:rsidRPr="00505CB7">
          <w:rPr>
            <w:rStyle w:val="Hyperlink"/>
          </w:rPr>
          <w:t>12</w:t>
        </w:r>
      </w:hyperlink>
      <w:r w:rsidRPr="00505CB7">
        <w:t>. Analysts from Standard Chartered maintain a long-term bullish outlook for Ethereum, targeting $4,000 by year-end, despite predicting potential near-term dips as low as $1,400 before a full recovery</w:t>
      </w:r>
    </w:p>
    <w:p w14:paraId="1189B82C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33490"/>
    <w:multiLevelType w:val="multilevel"/>
    <w:tmpl w:val="81F0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D27C31"/>
    <w:multiLevelType w:val="multilevel"/>
    <w:tmpl w:val="4DB2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822425">
    <w:abstractNumId w:val="1"/>
  </w:num>
  <w:num w:numId="2" w16cid:durableId="121944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CB7"/>
    <w:rsid w:val="00031437"/>
    <w:rsid w:val="002455D2"/>
    <w:rsid w:val="002F4B4F"/>
    <w:rsid w:val="00505CB7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A81F5"/>
  <w15:chartTrackingRefBased/>
  <w15:docId w15:val="{220598F8-B003-4048-BF27-9619F3CAF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C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5C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C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ssari.io/news?id=45cc745c-88a7-4ddd-a2e1-6d4daa2e9e49" TargetMode="External"/><Relationship Id="rId13" Type="http://schemas.openxmlformats.org/officeDocument/2006/relationships/hyperlink" Target="https://messari.io/signals?topicId=c528ec22-258f-54c1-b08c-21b891b8ec9c-2026-03-05" TargetMode="External"/><Relationship Id="rId18" Type="http://schemas.openxmlformats.org/officeDocument/2006/relationships/hyperlink" Target="https://messari.io/news?id=0757a910-2bde-47cd-835c-3664473dc79b" TargetMode="External"/><Relationship Id="rId26" Type="http://schemas.openxmlformats.org/officeDocument/2006/relationships/hyperlink" Target="https://messari.io/news?id=8616d2a7-2fc9-4285-b188-98278dec882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ssari.io/signals?topicId=c528ec22-258f-54c1-b08c-21b891b8ec9c-2026-03-05" TargetMode="External"/><Relationship Id="rId7" Type="http://schemas.openxmlformats.org/officeDocument/2006/relationships/hyperlink" Target="https://messari.io/news?id=6d461660-77a5-452a-8d02-edbca22f58db" TargetMode="External"/><Relationship Id="rId12" Type="http://schemas.openxmlformats.org/officeDocument/2006/relationships/hyperlink" Target="https://messari.io/news?id=0873514a-fc83-4d00-9a27-ac05aed3b140" TargetMode="External"/><Relationship Id="rId17" Type="http://schemas.openxmlformats.org/officeDocument/2006/relationships/hyperlink" Target="https://messari.io/news?id=40d24fba-6615-4f47-8515-c3247e53a370" TargetMode="External"/><Relationship Id="rId25" Type="http://schemas.openxmlformats.org/officeDocument/2006/relationships/hyperlink" Target="https://messari.io/signals?topicId=1d62b194-c044-5661-9053-e125e38c01d3-2026-03-05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ssari.io/signals?topicId=c528ec22-258f-54c1-b08c-21b891b8ec9c-2026-03-05" TargetMode="External"/><Relationship Id="rId20" Type="http://schemas.openxmlformats.org/officeDocument/2006/relationships/hyperlink" Target="https://messari.io/signals?topicId=c528ec22-258f-54c1-b08c-21b891b8ec9c-2026-03-0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essari.io/signals?topicId=c528ec22-258f-54c1-b08c-21b891b8ec9c-2026-03-05" TargetMode="External"/><Relationship Id="rId11" Type="http://schemas.openxmlformats.org/officeDocument/2006/relationships/hyperlink" Target="https://messari.io/news?id=d8ba13e8-88e2-4dcd-86f6-8d0aa9d295b8" TargetMode="External"/><Relationship Id="rId24" Type="http://schemas.openxmlformats.org/officeDocument/2006/relationships/hyperlink" Target="https://messari.io/news?id=0e2c128b-3ec7-453b-a88e-701b4dedd3fe" TargetMode="External"/><Relationship Id="rId5" Type="http://schemas.openxmlformats.org/officeDocument/2006/relationships/hyperlink" Target="https://messari.io/signals?topicId=1d62b194-c044-5661-9053-e125e38c01d3-2026-03-05" TargetMode="External"/><Relationship Id="rId15" Type="http://schemas.openxmlformats.org/officeDocument/2006/relationships/hyperlink" Target="https://messari.io/news?id=7f3d25ef-b058-4947-97a6-8ae4fb1bb3b8" TargetMode="External"/><Relationship Id="rId23" Type="http://schemas.openxmlformats.org/officeDocument/2006/relationships/hyperlink" Target="https://messari.io/news?id=9817bf08-31c4-43b6-a003-f6f46b0ea620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messari.io/news?id=7f3d25ef-b058-4947-97a6-8ae4fb1bb3b8" TargetMode="External"/><Relationship Id="rId19" Type="http://schemas.openxmlformats.org/officeDocument/2006/relationships/hyperlink" Target="https://messari.io/signals?topicId=c528ec22-258f-54c1-b08c-21b891b8ec9c-2026-03-0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ssari.io/news?id=9817bf08-31c4-43b6-a003-f6f46b0ea620" TargetMode="External"/><Relationship Id="rId14" Type="http://schemas.openxmlformats.org/officeDocument/2006/relationships/hyperlink" Target="https://messari.io/news?id=0e2c128b-3ec7-453b-a88e-701b4dedd3fe" TargetMode="External"/><Relationship Id="rId22" Type="http://schemas.openxmlformats.org/officeDocument/2006/relationships/hyperlink" Target="https://messari.io/signals?topicId=1d62b194-c044-5661-9053-e125e38c01d3-2026-03-05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837</Words>
  <Characters>4776</Characters>
  <Application>Microsoft Office Word</Application>
  <DocSecurity>0</DocSecurity>
  <Lines>39</Lines>
  <Paragraphs>11</Paragraphs>
  <ScaleCrop>false</ScaleCrop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2026-03-05T12:48:00Z</dcterms:created>
  <dcterms:modified xsi:type="dcterms:W3CDTF">2026-03-05T12:48:00Z</dcterms:modified>
</cp:coreProperties>
</file>