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document xmlns="http://schemas.openxmlformats.org/wordprocessingml/2006/main" xmlns:ns1="urn:schemas-microsoft-com:vml" xmlns:ns2="urn:schemas-microsoft-com:office:office">
  <body>
    <bookmarkStart id="28" name="X4d905f71b09912f46252f2af3229ad2755255e1"/>
    <p>
      <pPr>
        <pStyle val="Heading1"/>
      </pPr>
      <r>
        <t xml:space="preserve">Differences Between Causal.v042826.v6.docx and Current Manuscript/Simulation</t>
      </r>
    </p>
    <p>
      <pPr>
        <pStyle val="FirstParagraph"/>
      </pPr>
      <r>
        <t xml:space="preserve">This document identifies discrepancies between Causal.v042826.v6.docx and the current state of the manuscript, code, and simulation results.</t>
      </r>
      <r>
        <t xml:space="preserve"> </t>
      </r>
      <r>
        <rPr>
          <b/>
          <bCs/>
          <highlight val="yellow"/>
        </rPr>
        <t xml:space="preserve">Items marked with [HIGHLIGHT] should be highlighted yellow</t>
      </r>
      <r>
        <t xml:space="preserve"> </t>
      </r>
      <r>
        <t xml:space="preserve">as they represent corrections needed from v6.</t>
      </r>
    </p>
    <p>
      <r>
        <pict>
          <ns1:rect style="width:0;height:1.5pt" ns2:hralign="center" ns2:hrstd="t" ns2:hr="t"/>
        </pict>
      </r>
    </p>
    <bookmarkStart id="15" name="structural-equation-parameters"/>
    <p>
      <pPr>
        <pStyle val="Heading2"/>
      </pPr>
      <r>
        <t xml:space="preserve">1. Structural Equation Parameters</t>
      </r>
    </p>
    <bookmarkStart id="9" name="gene-dosage-z-x"/>
    <p>
      <pPr>
        <pStyle val="Heading3"/>
      </pPr>
      <r>
        <t xml:space="preserve">Gene Dosage (Z → X)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 X_base = 1.0</t>
      </r>
      <r>
        <t xml:space="preserve"> </t>
      </r>
      <r>
        <t xml:space="preserve">- κ = 0.5</t>
      </r>
      <r>
        <t xml:space="preserve"> </t>
      </r>
      <r>
        <t xml:space="preserve">- Formula:</t>
      </r>
      <r>
        <t xml:space="preserve"> </t>
      </r>
      <r>
        <rPr>
          <rStyle val="VerbatimChar"/>
        </rPr>
        <t xml:space="preserve">X := X_base + κ · min(Z, Z_max) + ε_X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X_base = 2.89</t>
      </r>
      <r>
        <t xml:space="preserve"> </t>
      </r>
      <r>
        <t xml:space="preserve">(reflects population-level effects including hypoxia)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κ = 1.21</t>
      </r>
      <r>
        <t xml:space="preserve"> </t>
      </r>
      <r>
        <t xml:space="preserve">(expression contribution per ecDNA copy)</t>
      </r>
      <r>
        <t xml:space="preserve"> </t>
      </r>
      <r>
        <t xml:space="preserve">- Formula:</t>
      </r>
      <r>
        <t xml:space="preserve"> </t>
      </r>
      <r>
        <rPr>
          <rStyle val="VerbatimChar"/>
          <highlight val="yellow"/>
        </rPr>
        <t xml:space="preserve">X := 2.89 + 1.21 · min(Z, Z_max) + ε_X</t>
      </r>
    </p>
    <p>
      <pPr>
        <pStyle val="BodyText"/>
      </pPr>
      <r>
        <rPr>
          <i/>
          <iCs/>
        </rPr>
        <t xml:space="preserve">Rationale:</t>
      </r>
      <r>
        <t xml:space="preserve"> </t>
      </r>
      <r>
        <rPr>
          <highlight val="yellow"/>
        </rPr>
        <t xml:space="preserve">Parameters calibrated to match first-stage regression results from simulation. The normoxic cell regression confirms slope of 1.21.</t>
        <rPr>
          <highlight val="yellow"/>
        </rPr>
      </r>
    </p>
    <p>
      <r>
        <pict>
          <ns1:rect style="width:0;height:1.5pt" ns2:hralign="center" ns2:hrstd="t" ns2:hr="t"/>
        </pict>
      </r>
    </p>
    <bookmarkEnd id="9"/>
    <bookmarkStart id="10" name="hypoxia-threshold"/>
    <p>
      <pPr>
        <pStyle val="Heading3"/>
      </pPr>
      <r>
        <t xml:space="preserve">Hypoxia Threshold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 τ_hypoxia = 10 mmHg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τ_hypoxia = 18 mmHg</t>
      </r>
    </p>
    <p>
      <pPr>
        <pStyle val="BodyText"/>
      </pPr>
      <r>
        <rPr>
          <i/>
          <iCs/>
        </rPr>
        <t xml:space="preserve">Rationale:</t>
      </r>
      <r>
        <t xml:space="preserve"> </t>
      </r>
      <r>
        <t xml:space="preserve">Configured in paper_config_6mm.json as</t>
      </r>
      <r>
        <t xml:space="preserve"> </t>
      </r>
      <r>
        <rPr>
          <rStyle val="VerbatimChar"/>
        </rPr>
        <t xml:space="preserve">hypoxia_threshold_mmHg: 18</t>
      </r>
      <r>
        <t xml:space="preserve">.</t>
      </r>
    </p>
    <p>
      <r>
        <pict>
          <ns1:rect style="width:0;height:1.5pt" ns2:hralign="center" ns2:hrstd="t" ns2:hr="t"/>
        </pict>
      </r>
    </p>
    <bookmarkEnd id="10"/>
    <bookmarkStart id="11" name="cell-cycle-duration-division-time"/>
    <p>
      <pPr>
        <pStyle val="Heading3"/>
      </pPr>
      <r>
        <t xml:space="preserve">Cell Cycle Duration / Division Time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 T_base = 36 hours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T_base = 24 hours</t>
      </r>
    </p>
    <p>
      <pPr>
        <pStyle val="BodyText"/>
      </pPr>
      <r>
        <rPr>
          <i/>
          <iCs/>
        </rPr>
        <t xml:space="preserve">Rationale:</t>
      </r>
      <r>
        <t xml:space="preserve"> </t>
      </r>
      <r>
        <t xml:space="preserve">Configured in paper_config_6mm.json as</t>
      </r>
      <r>
        <t xml:space="preserve"> </t>
      </r>
      <r>
        <rPr>
          <rStyle val="VerbatimChar"/>
        </rPr>
        <t xml:space="preserve">division_time_mean_hr: 24</t>
      </r>
      <r>
        <t xml:space="preserve">.</t>
      </r>
    </p>
    <p>
      <r>
        <pict>
          <ns1:rect style="width:0;height:1.5pt" ns2:hralign="center" ns2:hrstd="t" ns2:hr="t"/>
        </pict>
      </r>
    </p>
    <bookmarkEnd id="11"/>
    <bookmarkStart id="12" name="apoptosis-effect-γ"/>
    <p>
      <pPr>
        <pStyle val="Heading3"/>
      </pPr>
      <r>
        <t xml:space="preserve">Apoptosis Effect (γ)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 γ = 0.2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γ = 0.5</t>
      </r>
    </p>
    <p>
      <pPr>
        <pStyle val="BodyText"/>
      </pPr>
      <r>
        <rPr>
          <i/>
          <iCs/>
        </rPr>
        <t xml:space="preserve">Rationale:</t>
      </r>
      <r>
        <t xml:space="preserve"> </t>
      </r>
      <r>
        <t xml:space="preserve">Configured in paper_config_6mm.json as</t>
      </r>
      <r>
        <t xml:space="preserve"> </t>
      </r>
      <r>
        <rPr>
          <rStyle val="VerbatimChar"/>
        </rPr>
        <t xml:space="preserve">ecDNA_effect_on_survival: 0.5</t>
      </r>
      <r>
        <t xml:space="preserve">.</t>
      </r>
    </p>
    <p>
      <r>
        <pict>
          <ns1:rect style="width:0;height:1.5pt" ns2:hralign="center" ns2:hrstd="t" ns2:hr="t"/>
        </pict>
      </r>
    </p>
    <bookmarkEnd id="12"/>
    <bookmarkStart id="13" name="oxygen-supply-parameters"/>
    <p>
      <pPr>
        <pStyle val="Heading3"/>
      </pPr>
      <r>
        <t xml:space="preserve">Oxygen Supply Parameters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 q = 5 h⁻¹</t>
      </r>
      <r>
        <t xml:space="preserve"> </t>
      </r>
      <r>
        <t xml:space="preserve">- O2_blood = 60 mmHg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</t>
      </r>
      <r>
        <t xml:space="preserve"> </t>
      </r>
      <r>
        <rPr>
          <b/>
          <bCs/>
        </rPr>
        <t xml:space="preserve">q = 2 h⁻¹</t>
      </r>
      <r>
        <t xml:space="preserve"> </t>
      </r>
      <r>
        <t xml:space="preserve">-</t>
      </r>
      <r>
        <t xml:space="preserve"> </t>
      </r>
      <r>
        <rPr>
          <b/>
          <bCs/>
        </rPr>
        <t xml:space="preserve">O2_blood = 40 mmHg</t>
      </r>
    </p>
    <p>
      <pPr>
        <pStyle val="BodyText"/>
      </pPr>
      <r>
        <rPr>
          <i/>
          <iCs/>
        </rPr>
        <t xml:space="preserve">Rationale:</t>
      </r>
      <r>
        <t xml:space="preserve"> </t>
      </r>
      <r>
        <t xml:space="preserve">Configured in paper_config_6mm.json.</t>
      </r>
    </p>
    <p>
      <r>
        <pict>
          <ns1:rect style="width:0;height:1.5pt" ns2:hralign="center" ns2:hrstd="t" ns2:hr="t"/>
        </pict>
      </r>
    </p>
    <bookmarkEnd id="13"/>
    <bookmarkStart id="14" name="vegf-secretion-equation"/>
    <p>
      <pPr>
        <pStyle val="Heading3"/>
      </pPr>
      <r>
        <t xml:space="preserve">VEGF Secretion Equation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 Uses linear form:</t>
      </r>
      <r>
        <t xml:space="preserve"> </t>
      </r>
      <r>
        <rPr>
          <rStyle val="VerbatimChar"/>
        </rPr>
        <t xml:space="preserve">(1 + β · X)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 Uses square-root form:</t>
      </r>
      <r>
        <t xml:space="preserve"> </t>
      </r>
      <r>
        <rPr>
          <rStyle val="VerbatimChar"/>
        </rPr>
        <t xml:space="preserve">(1 + β · √X)</t>
      </r>
    </p>
    <p>
      <pPr>
        <pStyle val="BodyText"/>
      </pPr>
      <r>
        <rPr>
          <i/>
          <iCs/>
        </rPr>
        <t xml:space="preserve">Rationale:</t>
      </r>
      <r>
        <t xml:space="preserve"> </t>
      </r>
      <r>
        <t xml:space="preserve">Square-root form reflects receptor saturation kinetics. See ecdna.py</t>
      </r>
      <r>
        <t xml:space="preserve"> </t>
      </r>
      <r>
        <rPr>
          <rStyle val="VerbatimChar"/>
        </rPr>
        <t xml:space="preserve">modulate_vegf_secretion()</t>
      </r>
      <r>
        <t xml:space="preserve">.</t>
      </r>
    </p>
    <p>
      <r>
        <pict>
          <ns1:rect style="width:0;height:1.5pt" ns2:hralign="center" ns2:hrstd="t" ns2:hr="t"/>
        </pict>
      </r>
    </p>
    <bookmarkEnd id="14"/>
    <bookmarkEnd id="15"/>
    <bookmarkStart id="16" name="table-2-cell-type-parameters"/>
    <p>
      <pPr>
        <pStyle val="Heading2"/>
      </pPr>
      <r>
        <t xml:space="preserve">2. Table 2: Cell Type Parameters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 Tumor division time: 36h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</t>
      </r>
      <r>
        <t xml:space="preserve"> </t>
      </r>
      <r>
        <rPr>
          <b/>
          <bCs/>
        </rPr>
        <t xml:space="preserve">Tumor division time: 24h</t>
      </r>
    </p>
    <p>
      <r>
        <pict>
          <ns1:rect style="width:0;height:1.5pt" ns2:hralign="center" ns2:hrstd="t" ns2:hr="t"/>
        </pict>
      </r>
    </p>
    <bookmarkEnd id="16"/>
    <bookmarkStart id="21" name="simulation-statistics"/>
    <p>
      <pPr>
        <pStyle val="Heading2"/>
      </pPr>
      <r>
        <t xml:space="preserve">3. Simulation Statistics</t>
      </r>
    </p>
    <bookmarkStart id="17" name="division-events"/>
    <p>
      <pPr>
        <pStyle val="Heading3"/>
      </pPr>
      <r>
        <t xml:space="preserve">Division Events</t>
      </r>
    </p>
    <p>
      <pPr>
        <pStyle val="FirstParagraph"/>
      </pPr>
      <r>
        <rPr>
          <b/>
          <bCs/>
        </rPr>
        <t xml:space="preserve">v6.docx:</t>
      </r>
      <r>
        <t xml:space="preserve"> </t>
      </r>
      <r>
        <t xml:space="preserve">- 51,568 division events from 168-hour simulation</t>
      </r>
    </p>
    <p>
      <pPr>
        <pStyle val="BodyText"/>
      </pPr>
      <r>
        <rPr>
          <b/>
          <bCs/>
          <highlight val="yellow"/>
        </rPr>
        <t xml:space="preserve">[HIGHLIGHT] Current Simulation: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51,658 division events from 300-hour simulation on 6mm × 6mm domain</t>
      </r>
    </p>
    <p>
      <r>
        <pict>
          <ns1:rect style="width:0;height:1.5pt" ns2:hralign="center" ns2:hrstd="t" ns2:hr="t"/>
        </pict>
      </r>
    </p>
    <bookmarkEnd id="17"/>
    <bookmarkStart id="18" name="tumor-cell-count-at-final-timepoint"/>
    <p>
      <pPr>
        <pStyle val="Heading3"/>
      </pPr>
      <r>
        <t xml:space="preserve">Tumor Cell Count at Final Timepoint</t>
      </r>
    </p>
    <p>
      <pPr>
        <pStyle val="FirstParagraph"/>
      </pPr>
      <r>
        <rPr>
          <b/>
          <bCs/>
        </rPr>
        <t xml:space="preserve">v6.docx:</t>
      </r>
      <r>
        <t xml:space="preserve"> </t>
      </r>
      <r>
        <t xml:space="preserve">- 4,823 tumor cells</t>
      </r>
    </p>
    <p>
      <pPr>
        <pStyle val="BodyText"/>
      </pPr>
      <r>
        <rPr>
          <b/>
          <bCs/>
          <highlight val="yellow"/>
        </rPr>
        <t xml:space="preserve">[HIGHLIGHT] Current Simulation: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44,400 tumor cells at t = 300h</t>
      </r>
    </p>
    <p>
      <r>
        <pict>
          <ns1:rect style="width:0;height:1.5pt" ns2:hralign="center" ns2:hrstd="t" ns2:hr="t"/>
        </pict>
      </r>
    </p>
    <bookmarkEnd id="18"/>
    <bookmarkStart id="19" name="first-stage-regression"/>
    <p>
      <pPr>
        <pStyle val="Heading3"/>
      </pPr>
      <r>
        <t xml:space="preserve">First-Stage Regression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 EGFR = 1.02 + 0.49 · ecDNA</t>
      </r>
      <r>
        <t xml:space="preserve"> </t>
      </r>
      <r>
        <t xml:space="preserve">- R² = 0.87</t>
      </r>
      <r>
        <t xml:space="preserve"> </t>
      </r>
      <r>
        <t xml:space="preserve">- F-statistic = 3,420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EGFR = 2.89 + 1.21 · ecDNA</t>
      </r>
      <r>
        <t xml:space="preserve"> </t>
      </r>
      <r>
        <t xml:space="preserve">(for normoxic cells; hypoxic cells show 2.5× HIF-1α upregulation)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R² = 0.851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F-statistic = 253,699</t>
      </r>
      <r>
        <t xml:space="preserve"> </t>
      </r>
      <r>
        <rPr>
          <highlight val="yellow"/>
        </rPr>
        <t xml:space="preserve">(exceeds threshold by &gt;25,000-fold)</t>
        <rPr>
          <highlight val="yellow"/>
        </rPr>
      </r>
    </p>
    <p>
      <r>
        <pict>
          <ns1:rect style="width:0;height:1.5pt" ns2:hralign="center" ns2:hrstd="t" ns2:hr="t"/>
        </pict>
      </r>
    </p>
    <bookmarkEnd id="19"/>
    <bookmarkStart id="20" name="text-describing-κ"/>
    <p>
      <pPr>
        <pStyle val="Heading3"/>
      </pPr>
      <r>
        <t xml:space="preserve">Text Describing κ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</t>
      </r>
      <r>
        <t xml:space="preserve"> </t>
      </r>
      <r>
        <t xml:space="preserve">“each additional ecDNA copy increases expression by approximately κ=0.5 units”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“each additional ecDNA copy increases expression by approximately κ=1.21 units”</t>
      </r>
    </p>
    <p>
      <r>
        <pict>
          <ns1:rect style="width:0;height:1.5pt" ns2:hralign="center" ns2:hrstd="t" ns2:hr="t"/>
        </pict>
      </r>
    </p>
    <bookmarkEnd id="20"/>
    <bookmarkEnd id="21"/>
    <bookmarkStart id="22" name="ols-bias-claims"/>
    <p>
      <pPr>
        <pStyle val="Heading2"/>
      </pPr>
      <r>
        <t xml:space="preserve">4. OLS Bias Claims</t>
      </r>
    </p>
    <p>
      <pPr>
        <pStyle val="FirstParagraph"/>
      </pPr>
      <r>
        <rPr>
          <b/>
          <bCs/>
        </rPr>
        <t xml:space="preserve">v6.docx:</t>
      </r>
      <r>
        <t xml:space="preserve"> </t>
      </r>
      <r>
        <t xml:space="preserve">-</t>
      </r>
      <r>
        <t xml:space="preserve"> </t>
      </r>
      <r>
        <t xml:space="preserve">“OLS overestimates the true causal effect by 140%”</t>
      </r>
      <r>
        <t xml:space="preserve"> </t>
      </r>
      <r>
        <t xml:space="preserve">- Reports 4 parameters (α, β, δ, γ) with specific estimates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</t>
      </r>
      <r>
        <t xml:space="preserve"> </t>
      </r>
      <r>
        <rPr>
          <b/>
          <bCs/>
        </rPr>
        <t xml:space="preserve">“OLS overestimates the true causal effect on VEGF secretion by 117% and on migration by 27%”</t>
      </r>
      <r>
        <t xml:space="preserve"> </t>
      </r>
      <r>
        <t xml:space="preserve">- Focus on 2 parameters (β for VEGF, δ for migration) with updated estimates</t>
      </r>
    </p>
    <p>
      <r>
        <pict>
          <ns1:rect style="width:0;height:1.5pt" ns2:hralign="center" ns2:hrstd="t" ns2:hr="t"/>
        </pict>
      </r>
    </p>
    <bookmarkEnd id="22"/>
    <bookmarkStart id="23" name="figure-3-dag-diagram"/>
    <p>
      <pPr>
        <pStyle val="Heading2"/>
      </pPr>
      <r>
        <t xml:space="preserve">5. Figure 3 / DAG Diagram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 Shows κ=0.5 in diagram</t>
      </r>
      <r>
        <t xml:space="preserve"> </t>
      </r>
      <r>
        <t xml:space="preserve">- Shows γ=0.2 in diagram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</t>
      </r>
      <r>
        <t xml:space="preserve"> </t>
      </r>
      <r>
        <rPr>
          <b/>
          <bCs/>
          <highlight val="yellow"/>
        </rPr>
        <t xml:space="preserve">κ=1.21</t>
      </r>
      <r>
        <t xml:space="preserve"> </t>
      </r>
      <r>
        <t xml:space="preserve">in diagram</t>
      </r>
      <r>
        <t xml:space="preserve"> </t>
      </r>
      <r>
        <t xml:space="preserve">-</t>
      </r>
      <r>
        <t xml:space="preserve"> </t>
      </r>
      <r>
        <rPr>
          <b/>
          <bCs/>
        </rPr>
        <t xml:space="preserve">γ=0.5</t>
      </r>
      <r>
        <t xml:space="preserve"> </t>
      </r>
      <r>
        <t xml:space="preserve">in diagram</t>
      </r>
    </p>
    <p>
      <r>
        <pict>
          <ns1:rect style="width:0;height:1.5pt" ns2:hralign="center" ns2:hrstd="t" ns2:hr="t"/>
        </pict>
      </r>
    </p>
    <bookmarkEnd id="23"/>
    <bookmarkStart id="24" name="figure-1-legend"/>
    <p>
      <pPr>
        <pStyle val="Heading2"/>
      </pPr>
      <r>
        <t xml:space="preserve">6. Figure 1 Legend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</t>
      </r>
      <r>
        <t xml:space="preserve"> </t>
      </r>
      <r>
        <rPr>
          <highlight val="yellow"/>
        </rPr>
        <t xml:space="preserve">“51,658 division events from a 300-hour CAUSANTA simulation”</t>
        <rPr>
          <highlight val="yellow"/>
        </rPr>
      </r>
      <r>
        <t xml:space="preserve"> </t>
      </r>
      <r>
        <t xml:space="preserve">(correct number, but variance = 0.0124)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 Variance =</t>
      </r>
      <r>
        <t xml:space="preserve"> </t>
      </r>
      <r>
        <rPr>
          <b/>
          <bCs/>
          <highlight val="yellow"/>
        </rPr>
        <t xml:space="preserve">0.0071</t>
      </r>
      <r>
        <t xml:space="preserve"> </t>
      </r>
      <r>
        <t xml:space="preserve">(matches theoretical for Binomial(N, 0.5))</t>
      </r>
    </p>
    <p>
      <r>
        <pict>
          <ns1:rect style="width:0;height:1.5pt" ns2:hralign="center" ns2:hrstd="t" ns2:hr="t"/>
        </pict>
      </r>
    </p>
    <bookmarkEnd id="24"/>
    <bookmarkStart id="26" name="minor-text-corrections"/>
    <p>
      <pPr>
        <pStyle val="Heading2"/>
      </pPr>
      <r>
        <t xml:space="preserve">7. Minor Text Corrections</t>
      </r>
    </p>
    <bookmarkStart id="25" name="X528a9e04d3dfb7589878d3e83a3f560f5dcdd7c"/>
    <p>
      <pPr>
        <pStyle val="Heading3"/>
      </pPr>
      <r>
        <t xml:space="preserve">Section:</t>
      </r>
      <r>
        <t xml:space="preserve"> </t>
      </r>
      <r>
        <t xml:space="preserve">“Two-Stage Least Squares Estimation”</t>
      </r>
    </p>
    <p>
      <pPr>
        <pStyle val="FirstParagraph"/>
      </pPr>
      <r>
        <rPr>
          <b/>
          <bCs/>
        </rPr>
        <t xml:space="preserve">v6.docx (INCORRECT):</t>
      </r>
      <r>
        <t xml:space="preserve"> </t>
      </r>
      <r>
        <t xml:space="preserve">- Contains</t>
      </r>
      <r>
        <t xml:space="preserve"> </t>
      </r>
      <r>
        <t xml:space="preserve">“wheretThe”</t>
      </r>
      <r>
        <t xml:space="preserve"> </t>
      </r>
      <r>
        <t xml:space="preserve">(typo)</t>
      </r>
    </p>
    <p>
      <pPr>
        <pStyle val="BodyText"/>
      </pPr>
      <r>
        <rPr>
          <b/>
          <bCs/>
          <highlight val="yellow"/>
        </rPr>
        <t xml:space="preserve">[HIGHLIGHT] Current/Correct:</t>
      </r>
      <r>
        <t xml:space="preserve"> </t>
      </r>
      <r>
        <t xml:space="preserve">-</t>
      </r>
      <r>
        <t xml:space="preserve"> </t>
      </r>
      <r>
        <rPr>
          <b/>
          <bCs/>
        </rPr>
        <t xml:space="preserve">“where the”</t>
      </r>
      <r>
        <t xml:space="preserve"> </t>
      </r>
      <r>
        <t xml:space="preserve">(corrected)</t>
      </r>
    </p>
    <p>
      <r>
        <pict>
          <ns1:rect style="width:0;height:1.5pt" ns2:hralign="center" ns2:hrstd="t" ns2:hr="t"/>
        </pict>
      </r>
    </p>
    <bookmarkEnd id="25"/>
    <bookmarkEnd id="26"/>
    <bookmarkStart id="27" name="summary-of-all-yellow-highlights-needed"/>
    <p>
      <pPr>
        <pStyle val="Heading2"/>
      </pPr>
      <r>
        <t xml:space="preserve">Summary of All Yellow Highlights Needed</t>
      </r>
    </p>
    <p>
      <pPr>
        <pStyle val="Compact"/>
        <numPr>
          <ilvl val="0"/>
          <numId val="1001"/>
        </numPr>
      </pPr>
      <r>
        <rPr>
          <b/>
          <bCs/>
        </rPr>
        <t xml:space="preserve">Gene dosage equation:</t>
      </r>
      <r>
        <t xml:space="preserve"> </t>
      </r>
      <r>
        <rPr>
          <highlight val="yellow"/>
        </rPr>
        <t xml:space="preserve">Change X_base=1.0→2.89, κ=0.5→1.21</t>
        <rPr>
          <highlight val="yellow"/>
        </rPr>
      </r>
    </p>
    <p>
      <pPr>
        <pStyle val="Compact"/>
        <numPr>
          <ilvl val="0"/>
          <numId val="1001"/>
        </numPr>
      </pPr>
      <r>
        <rPr>
          <b/>
          <bCs/>
        </rPr>
        <t xml:space="preserve">Hypoxia threshold:</t>
      </r>
      <r>
        <t xml:space="preserve"> </t>
      </r>
      <r>
        <rPr>
          <highlight val="yellow"/>
        </rPr>
        <t xml:space="preserve">Change τ_hypoxia=10→18 mmHg</t>
        <rPr>
          <highlight val="yellow"/>
        </rPr>
      </r>
    </p>
    <p>
      <pPr>
        <pStyle val="Compact"/>
        <numPr>
          <ilvl val="0"/>
          <numId val="1001"/>
        </numPr>
      </pPr>
      <r>
        <rPr>
          <b/>
          <bCs/>
        </rPr>
        <t xml:space="preserve">Division time:</t>
      </r>
      <r>
        <t xml:space="preserve"> </t>
      </r>
      <r>
        <rPr>
          <highlight val="yellow"/>
        </rPr>
        <t xml:space="preserve">Change T_base=36→24 hours</t>
        <rPr>
          <highlight val="yellow"/>
        </rPr>
      </r>
    </p>
    <p>
      <pPr>
        <pStyle val="Compact"/>
        <numPr>
          <ilvl val="0"/>
          <numId val="1001"/>
        </numPr>
      </pPr>
      <r>
        <rPr>
          <b/>
          <bCs/>
        </rPr>
        <t xml:space="preserve">Apoptosis effect:</t>
      </r>
      <r>
        <t xml:space="preserve"> </t>
      </r>
      <r>
        <t xml:space="preserve">Change γ=0.2→0.5</t>
      </r>
    </p>
    <p>
      <pPr>
        <pStyle val="Compact"/>
        <numPr>
          <ilvl val="0"/>
          <numId val="1001"/>
        </numPr>
      </pPr>
      <r>
        <rPr>
          <b/>
          <bCs/>
        </rPr>
        <t xml:space="preserve">Oxygen supply:</t>
      </r>
      <r>
        <t xml:space="preserve"> </t>
      </r>
      <r>
        <t xml:space="preserve">Change q=5→2 h⁻¹, O2_blood=60→40 mmHg</t>
      </r>
    </p>
    <p>
      <pPr>
        <pStyle val="Compact"/>
        <numPr>
          <ilvl val="0"/>
          <numId val="1001"/>
        </numPr>
      </pPr>
      <r>
        <rPr>
          <b/>
          <bCs/>
        </rPr>
        <t xml:space="preserve">VEGF equation:</t>
      </r>
      <r>
        <t xml:space="preserve"> </t>
      </r>
      <r>
        <t xml:space="preserve">Change linear to sqrt form</t>
      </r>
    </p>
    <p>
      <pPr>
        <pStyle val="Compact"/>
        <numPr>
          <ilvl val="0"/>
          <numId val="1001"/>
        </numPr>
      </pPr>
      <r>
        <rPr>
          <b/>
          <bCs/>
        </rPr>
        <t xml:space="preserve">Table 2 Tumor division:</t>
      </r>
      <r>
        <t xml:space="preserve"> </t>
      </r>
      <r>
        <t xml:space="preserve">Change 36h→24h</t>
      </r>
    </p>
    <p>
      <pPr>
        <pStyle val="Compact"/>
        <numPr>
          <ilvl val="0"/>
          <numId val="1001"/>
        </numPr>
      </pPr>
      <r>
        <rPr>
          <b/>
          <bCs/>
        </rPr>
        <t xml:space="preserve">Division events:</t>
      </r>
      <r>
        <t xml:space="preserve"> </t>
      </r>
      <r>
        <rPr>
          <highlight val="yellow"/>
        </rPr>
        <t xml:space="preserve">Update to 51,658 from 300h simulation</t>
        <rPr>
          <highlight val="yellow"/>
        </rPr>
      </r>
    </p>
    <p>
      <pPr>
        <pStyle val="Compact"/>
        <numPr>
          <ilvl val="0"/>
          <numId val="1001"/>
        </numPr>
      </pPr>
      <r>
        <rPr>
          <b/>
          <bCs/>
        </rPr>
        <t xml:space="preserve">Tumor cells:</t>
      </r>
      <r>
        <t xml:space="preserve"> </t>
      </r>
      <r>
        <rPr>
          <highlight val="yellow"/>
        </rPr>
        <t xml:space="preserve">Update to 44,400</t>
        <rPr>
          <highlight val="yellow"/>
        </rPr>
      </r>
    </p>
    <p>
      <pPr>
        <pStyle val="Compact"/>
        <numPr>
          <ilvl val="0"/>
          <numId val="1001"/>
        </numPr>
      </pPr>
      <r>
        <rPr>
          <b/>
          <bCs/>
        </rPr>
        <t xml:space="preserve">First-stage regression:</t>
      </r>
      <r>
        <t xml:space="preserve"> </t>
      </r>
      <r>
        <rPr>
          <highlight val="yellow"/>
        </rPr>
        <t xml:space="preserve">Update to EGFR=2.89+1.21·ecDNA, R²=0.851, F=253,699</t>
        <rPr>
          <highlight val="yellow"/>
        </rPr>
      </r>
    </p>
    <p>
      <pPr>
        <pStyle val="Compact"/>
        <numPr>
          <ilvl val="0"/>
          <numId val="1001"/>
        </numPr>
      </pPr>
      <r>
        <rPr>
          <b/>
          <bCs/>
        </rPr>
        <t xml:space="preserve">κ in text:</t>
      </r>
      <r>
        <t xml:space="preserve"> </t>
      </r>
      <r>
        <rPr>
          <highlight val="yellow"/>
        </rPr>
        <t xml:space="preserve">Multiple locations, change 0.5→1.21</t>
        <rPr>
          <highlight val="yellow"/>
        </rPr>
      </r>
    </p>
    <p>
      <pPr>
        <pStyle val="Compact"/>
        <numPr>
          <ilvl val="0"/>
          <numId val="1001"/>
        </numPr>
      </pPr>
      <r>
        <rPr>
          <b/>
          <bCs/>
        </rPr>
        <t xml:space="preserve">DAG diagram:</t>
      </r>
      <r>
        <t xml:space="preserve"> </t>
      </r>
      <r>
        <rPr>
          <highlight val="yellow"/>
        </rPr>
        <t xml:space="preserve">Update κ=1.21, γ=0.5</t>
        <rPr>
          <highlight val="yellow"/>
        </rPr>
      </r>
    </p>
    <p>
      <pPr>
        <pStyle val="Compact"/>
        <numPr>
          <ilvl val="0"/>
          <numId val="1001"/>
        </numPr>
      </pPr>
      <r>
        <rPr>
          <b/>
          <bCs/>
        </rPr>
        <t xml:space="preserve">OLS bias claims:</t>
      </r>
      <r>
        <t xml:space="preserve"> </t>
      </r>
      <r>
        <t xml:space="preserve">Update percentages</t>
      </r>
    </p>
    <p>
      <pPr>
        <pStyle val="Compact"/>
        <numPr>
          <ilvl val="0"/>
          <numId val="1001"/>
        </numPr>
      </pPr>
      <r>
        <rPr>
          <b/>
          <bCs/>
        </rPr>
        <t xml:space="preserve">Segregation variance:</t>
      </r>
      <r>
        <t xml:space="preserve"> </t>
      </r>
      <r>
        <rPr>
          <highlight val="yellow"/>
        </rPr>
        <t xml:space="preserve">Update to 0.0071</t>
        <rPr>
          <highlight val="yellow"/>
        </rPr>
      </r>
    </p>
    <p>
      <pPr>
        <pStyle val="Compact"/>
        <numPr>
          <ilvl val="0"/>
          <numId val="1001"/>
        </numPr>
      </pPr>
      <r>
        <rPr>
          <b/>
          <bCs/>
        </rPr>
        <t xml:space="preserve">“wheretThe”</t>
      </r>
      <r>
        <rPr>
          <b/>
          <bCs/>
        </rPr>
        <t xml:space="preserve"> </t>
      </r>
      <r>
        <rPr>
          <b/>
          <bCs/>
        </rPr>
        <t xml:space="preserve">typo:</t>
      </r>
      <r>
        <t xml:space="preserve"> </t>
      </r>
      <r>
        <t xml:space="preserve">Fix to</t>
      </r>
      <r>
        <t xml:space="preserve"> </t>
      </r>
      <r>
        <t xml:space="preserve">“where the”</t>
      </r>
    </p>
    <p>
      <r>
        <pict>
          <ns1:rect style="width:0;height:1.5pt" ns2:hralign="center" ns2:hrstd="t" ns2:hr="t"/>
        </pict>
      </r>
    </p>
    <p>
      <pPr>
        <pStyle val="FirstParagraph"/>
      </pPr>
      <r>
        <rPr>
          <i/>
          <iCs/>
        </rPr>
        <t xml:space="preserve">Document generated by comparing Causal.v042826.v6.docx against current manuscript.md, ecdna.py, and paper_config_6mm.json.</t>
      </r>
    </p>
    <bookmarkEnd id="27"/>
    <bookmarkEnd id="28"/>
    <sectPr>
      <footnotePr>
        <numRestart val="eachSect"/>
      </footnotePr>
    </sectPr>
  </body>
</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2026-04-28T19:57:16Z</dcterms:created>
  <dcterms:modified xsi:type="dcterms:W3CDTF">2026-04-28T19:57:16Z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