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causanta-supplementary-materials"/>
    <w:p>
      <w:pPr>
        <w:pStyle w:val="Heading1"/>
      </w:pPr>
      <w:r>
        <w:t xml:space="preserve">CAUSANTA Supplementary Materials</w:t>
      </w:r>
    </w:p>
    <w:bookmarkStart w:id="20" w:name="Xc46059cecb4e7966745bdb282fc6e5c1a462efd"/>
    <w:p>
      <w:pPr>
        <w:pStyle w:val="Heading2"/>
      </w:pPr>
      <w:r>
        <w:t xml:space="preserve">Statistical Methods for Nature Methods Publication</w:t>
      </w:r>
    </w:p>
    <w:p>
      <w:pPr>
        <w:pStyle w:val="FirstParagraph"/>
      </w:pPr>
      <w:r>
        <w:t xml:space="preserve">This document provides detailed methodological specifications for the CAUSANTA framework, suitable for peer review and reproducibility.</w:t>
      </w:r>
    </w:p>
    <w:p>
      <w:r>
        <w:pict>
          <v:rect style="width:0;height:1.5pt" o:hralign="center" o:hrstd="t" o:hr="t"/>
        </w:pict>
      </w:r>
    </w:p>
    <w:bookmarkEnd w:id="20"/>
    <w:bookmarkStart w:id="21" w:name="plain-language-reading-guide"/>
    <w:p>
      <w:pPr>
        <w:pStyle w:val="Heading2"/>
      </w:pPr>
      <w:r>
        <w:t xml:space="preserve">Plain-language reading guide</w:t>
      </w:r>
    </w:p>
    <w:p>
      <w:pPr>
        <w:pStyle w:val="FirstParagraph"/>
      </w:pPr>
      <w:r>
        <w:t xml:space="preserve">The main manuscript describes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we did and</w:t>
      </w:r>
      <w:r>
        <w:t xml:space="preserve"> </w:t>
      </w:r>
      <w:r>
        <w:rPr>
          <w:i/>
          <w:iCs/>
        </w:rPr>
        <w:t xml:space="preserve">what we found</w:t>
      </w:r>
      <w:r>
        <w:t xml:space="preserve">; this supplement describes the</w:t>
      </w:r>
      <w:r>
        <w:t xml:space="preserve"> </w:t>
      </w:r>
      <w:r>
        <w:rPr>
          <w:i/>
          <w:iCs/>
        </w:rPr>
        <w:t xml:space="preserve">mathematical machinery</w:t>
      </w:r>
      <w:r>
        <w:t xml:space="preserve"> </w:t>
      </w:r>
      <w:r>
        <w:t xml:space="preserve">underneath each result so that a statistician or computational biologist can reproduce it from scratch. For a biological reader who wants to understand a particular result without going through the full derivation, the relevant sections map onto the main-text claims as follows.</w:t>
      </w:r>
    </w:p>
    <w:p>
      <w:pPr>
        <w:pStyle w:val="BodyText"/>
      </w:pPr>
      <w:r>
        <w:t xml:space="preserve">If you want to know how we</w:t>
      </w:r>
      <w:r>
        <w:t xml:space="preserve"> </w:t>
      </w:r>
      <w:r>
        <w:rPr>
          <w:b/>
          <w:bCs/>
        </w:rPr>
        <w:t xml:space="preserve">estimate causal effects</w:t>
      </w:r>
      <w:r>
        <w:t xml:space="preserve"> </w:t>
      </w:r>
      <w:r>
        <w:t xml:space="preserve">(the OLS-vs-IV comparison in §Causal Effect Recovery): start with §2.1 (Two-Stage Least Squares — the actual two-step regression we run) and then §2.3 (Instrument Strength Diagnostics — what the F-statistic is and what threshold matters). §2.2 (Standard Errors) explains why the reported error bars are larger than you might expect from the point estimates alone.</w:t>
      </w:r>
    </w:p>
    <w:p>
      <w:pPr>
        <w:pStyle w:val="BodyText"/>
      </w:pPr>
      <w:r>
        <w:t xml:space="preserve">If you want to know how we</w:t>
      </w:r>
      <w:r>
        <w:t xml:space="preserve"> </w:t>
      </w:r>
      <w:r>
        <w:rPr>
          <w:b/>
          <w:bCs/>
        </w:rPr>
        <w:t xml:space="preserve">test robustness</w:t>
      </w:r>
      <w:r>
        <w:t xml:space="preserve"> </w:t>
      </w:r>
      <w:r>
        <w:t xml:space="preserve">(the Rosenbaum bounds and E-values in §Sensitivity Analysis): jump to §6. The intuition is the same one the main text uses — Γ* is the critical confounder strength that would overturn the result, E-value is the same idea on a risk-ratio scale, and placebo tests check that the instrument fails on outcomes it should not predict. The math is here.</w:t>
      </w:r>
    </w:p>
    <w:p>
      <w:pPr>
        <w:pStyle w:val="BodyText"/>
      </w:pPr>
      <w:r>
        <w:t xml:space="preserve">If you want to know how we</w:t>
      </w:r>
      <w:r>
        <w:t xml:space="preserve"> </w:t>
      </w:r>
      <w:r>
        <w:rPr>
          <w:b/>
          <w:bCs/>
        </w:rPr>
        <w:t xml:space="preserve">score graph recovery</w:t>
      </w:r>
      <w:r>
        <w:t xml:space="preserve"> </w:t>
      </w:r>
      <w:r>
        <w:t xml:space="preserve">(the F1 scores in §Causal Discovery): §7 specifies the PC and GES algorithms with their parameter choices (α, BIC penalty), how we compute precision/recall/F1, and how the bootstrap stability test (§7.3) handles seed-to-seed variation.</w:t>
      </w:r>
    </w:p>
    <w:p>
      <w:pPr>
        <w:pStyle w:val="BodyText"/>
      </w:pPr>
      <w:r>
        <w:t xml:space="preserve">Sections 3 (Bootstrap CIs), 4 (Power Analysis), and 5 (Heterogeneity) cover three things that come up only briefly in the main text but matter for any future application to real data — how we get confidence intervals when the IV estimator’s sampling distribution is non-Gaussian, how to compute the sample size needed for a target effect size, and how we stratify estimates spatially across tumor regions (the Cochran’s Q and I² statistics).</w:t>
      </w:r>
    </w:p>
    <w:p>
      <w:pPr>
        <w:pStyle w:val="BodyText"/>
      </w:pPr>
      <w:r>
        <w:t xml:space="preserve">Section 8 lists every numerical parameter used in the canonical 6 mm publication run so that the entire dataset and analysis is reproducible from the configuration file alone.</w:t>
      </w:r>
    </w:p>
    <w:p>
      <w:r>
        <w:pict>
          <v:rect style="width:0;height:1.5pt" o:hralign="center" o:hrstd="t" o:hr="t"/>
        </w:pict>
      </w:r>
    </w:p>
    <w:bookmarkEnd w:id="21"/>
    <w:bookmarkStart w:id="2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58779517a5c25a74c34efcff26ae73263935e1a">
        <w:r>
          <w:rPr>
            <w:rStyle w:val="Hyperlink"/>
          </w:rPr>
          <w:t xml:space="preserve">Mathematical Framework</w:t>
        </w:r>
      </w:hyperlink>
    </w:p>
    <w:p>
      <w:pPr>
        <w:pStyle w:val="Compact"/>
        <w:numPr>
          <w:ilvl w:val="0"/>
          <w:numId w:val="1001"/>
        </w:numPr>
      </w:pPr>
      <w:hyperlink w:anchor="X954fa07565f95d960ba495405f692e0e389c269">
        <w:r>
          <w:rPr>
            <w:rStyle w:val="Hyperlink"/>
          </w:rPr>
          <w:t xml:space="preserve">Instrumental Variable Estimation</w:t>
        </w:r>
      </w:hyperlink>
    </w:p>
    <w:p>
      <w:pPr>
        <w:pStyle w:val="Compact"/>
        <w:numPr>
          <w:ilvl w:val="0"/>
          <w:numId w:val="1001"/>
        </w:numPr>
      </w:pPr>
      <w:hyperlink w:anchor="X09c355a0139d74670869b8122d6285ab93abbff">
        <w:r>
          <w:rPr>
            <w:rStyle w:val="Hyperlink"/>
          </w:rPr>
          <w:t xml:space="preserve">Bootstrap Confidence Intervals</w:t>
        </w:r>
      </w:hyperlink>
    </w:p>
    <w:p>
      <w:pPr>
        <w:pStyle w:val="Compact"/>
        <w:numPr>
          <w:ilvl w:val="0"/>
          <w:numId w:val="1001"/>
        </w:numPr>
      </w:pPr>
      <w:hyperlink w:anchor="Xde76deac20e4d927cb4564037c9c612461682c1">
        <w:r>
          <w:rPr>
            <w:rStyle w:val="Hyperlink"/>
          </w:rPr>
          <w:t xml:space="preserve">Power Analysis</w:t>
        </w:r>
      </w:hyperlink>
    </w:p>
    <w:p>
      <w:pPr>
        <w:pStyle w:val="Compact"/>
        <w:numPr>
          <w:ilvl w:val="0"/>
          <w:numId w:val="1001"/>
        </w:numPr>
      </w:pPr>
      <w:hyperlink w:anchor="X3f918dbcf8fd72f75fb96839e6ba81323d94333">
        <w:r>
          <w:rPr>
            <w:rStyle w:val="Hyperlink"/>
          </w:rPr>
          <w:t xml:space="preserve">Heterogeneity Analysis</w:t>
        </w:r>
      </w:hyperlink>
    </w:p>
    <w:p>
      <w:pPr>
        <w:pStyle w:val="Compact"/>
        <w:numPr>
          <w:ilvl w:val="0"/>
          <w:numId w:val="1001"/>
        </w:numPr>
      </w:pPr>
      <w:hyperlink w:anchor="X25df56e548fae57f8d358905e635feef45a8013">
        <w:r>
          <w:rPr>
            <w:rStyle w:val="Hyperlink"/>
          </w:rPr>
          <w:t xml:space="preserve">Sensitivity Analysis</w:t>
        </w:r>
      </w:hyperlink>
    </w:p>
    <w:p>
      <w:pPr>
        <w:pStyle w:val="Compact"/>
        <w:numPr>
          <w:ilvl w:val="0"/>
          <w:numId w:val="1001"/>
        </w:numPr>
      </w:pPr>
      <w:hyperlink w:anchor="X8ef8372ceca286256df28eff0efd83673465f89">
        <w:r>
          <w:rPr>
            <w:rStyle w:val="Hyperlink"/>
          </w:rPr>
          <w:t xml:space="preserve">Causal Discovery</w:t>
        </w:r>
      </w:hyperlink>
    </w:p>
    <w:p>
      <w:pPr>
        <w:pStyle w:val="Compact"/>
        <w:numPr>
          <w:ilvl w:val="0"/>
          <w:numId w:val="1001"/>
        </w:numPr>
      </w:pPr>
      <w:hyperlink w:anchor="X77a6d6b6c3bba56e65c164137ced5e84a89625b">
        <w:r>
          <w:rPr>
            <w:rStyle w:val="Hyperlink"/>
          </w:rPr>
          <w:t xml:space="preserve">Simulation Parameters</w:t>
        </w:r>
      </w:hyperlink>
    </w:p>
    <w:p>
      <w:pPr>
        <w:pStyle w:val="Compact"/>
        <w:numPr>
          <w:ilvl w:val="0"/>
          <w:numId w:val="1001"/>
        </w:numPr>
      </w:pPr>
      <w:hyperlink w:anchor="Xe747b7bfa506a0a1bedcedaea5ee5def435ae66">
        <w:r>
          <w:rPr>
            <w:rStyle w:val="Hyperlink"/>
          </w:rPr>
          <w:t xml:space="preserve">Success Criteria</w:t>
        </w:r>
      </w:hyperlink>
    </w:p>
    <w:p>
      <w:pPr>
        <w:pStyle w:val="Compact"/>
        <w:numPr>
          <w:ilvl w:val="0"/>
          <w:numId w:val="1001"/>
        </w:numPr>
      </w:pPr>
      <w:hyperlink w:anchor="X3263a78344c0763e4334b38aabafc3f0fc2ce03">
        <w:r>
          <w:rPr>
            <w:rStyle w:val="Hyperlink"/>
          </w:rPr>
          <w:t xml:space="preserve">Software Implementation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6" w:name="mathematical-framework"/>
    <w:p>
      <w:pPr>
        <w:pStyle w:val="Heading2"/>
      </w:pPr>
      <w:r>
        <w:t xml:space="preserve">1. Mathematical Framework</w:t>
      </w:r>
    </w:p>
    <w:bookmarkStart w:id="23" w:name="structural-causal-model"/>
    <w:p>
      <w:pPr>
        <w:pStyle w:val="Heading3"/>
      </w:pPr>
      <w:r>
        <w:t xml:space="preserve">1.1 Structural Causal Model</w:t>
      </w:r>
    </w:p>
    <w:p>
      <w:pPr>
        <w:pStyle w:val="FirstParagraph"/>
      </w:pPr>
      <w:r>
        <w:t xml:space="preserve">The CAUSANTA simulator implements the following structural equations:</w:t>
      </w:r>
    </w:p>
    <w:p>
      <w:pPr>
        <w:pStyle w:val="BodyText"/>
      </w:pPr>
      <w:r>
        <w:rPr>
          <w:b/>
          <w:bCs/>
        </w:rPr>
        <w:t xml:space="preserve">ecDNA Segregation (Instrument Generation)</w:t>
      </w:r>
    </w:p>
    <w:p>
      <w:pPr>
        <w:pStyle w:val="SourceCode"/>
      </w:pPr>
      <w:r>
        <w:rPr>
          <w:rStyle w:val="VerbatimChar"/>
        </w:rPr>
        <w:t xml:space="preserve">N_daughter ~ Binomial(N_parent, 0.5)</w:t>
      </w:r>
    </w:p>
    <w:p>
      <w:pPr>
        <w:pStyle w:val="FirstParagraph"/>
      </w:pPr>
      <w:r>
        <w:rPr>
          <w:b/>
          <w:bCs/>
        </w:rPr>
        <w:t xml:space="preserve">Gene Expression (First Stage; gene-dosage + HIF-2α coupling)</w:t>
      </w:r>
    </w:p>
    <w:p>
      <w:pPr>
        <w:pStyle w:val="SourceCode"/>
      </w:pPr>
      <w:r>
        <w:rPr>
          <w:rStyle w:val="VerbatimChar"/>
        </w:rPr>
        <w:t xml:space="preserve">EGFR_i = [base + κ · ecDNA_i] · [1 + κ_hyp · is_hypoxic_i] · exp(ε_i)</w:t>
      </w:r>
      <w:r>
        <w:br/>
      </w:r>
      <w:r>
        <w:rPr>
          <w:rStyle w:val="VerbatimChar"/>
        </w:rPr>
        <w:t xml:space="preserve">       base = 2.89, κ = 1.21, κ_hyp ∈ {1.5, 0.5, 0.0} (baseline/reduced/removed),</w:t>
      </w:r>
      <w:r>
        <w:br/>
      </w:r>
      <w:r>
        <w:rPr>
          <w:rStyle w:val="VerbatimChar"/>
        </w:rPr>
        <w:t xml:space="preserve">       ε_i ~ N(0, 0.1²)</w:t>
      </w:r>
    </w:p>
    <w:p>
      <w:pPr>
        <w:pStyle w:val="FirstParagraph"/>
      </w:pPr>
      <w:r>
        <w:rPr>
          <w:b/>
          <w:bCs/>
        </w:rPr>
        <w:t xml:space="preserve">Phenotypic Effects (Structural Equations; ecDNA → phenotype via EGFR)</w:t>
      </w:r>
    </w:p>
    <w:p>
      <w:pPr>
        <w:pStyle w:val="SourceCode"/>
      </w:pPr>
      <w:r>
        <w:rPr>
          <w:rStyle w:val="VerbatimChar"/>
        </w:rPr>
        <w:t xml:space="preserve">T_div_eff_i = T_base / (1 + α · log2(1 + ecDNA_i))</w:t>
      </w:r>
      <w:r>
        <w:br/>
      </w:r>
      <w:r>
        <w:rPr>
          <w:rStyle w:val="VerbatimChar"/>
        </w:rPr>
        <w:t xml:space="preserve">VEGF_i      = VEGF_base · (1 + β · ecDNA_i) · 1[is_hypoxic_i]   (gated secretion)</w:t>
      </w:r>
      <w:r>
        <w:br/>
      </w:r>
      <w:r>
        <w:rPr>
          <w:rStyle w:val="VerbatimChar"/>
        </w:rPr>
        <w:t xml:space="preserve">Migration_i = v_base · (1 + δ · ecDNA_i)</w:t>
      </w:r>
      <w:r>
        <w:br/>
      </w:r>
      <w:r>
        <w:rPr>
          <w:rStyle w:val="VerbatimChar"/>
        </w:rPr>
        <w:t xml:space="preserve">Apoptosis_i = a_base / (1 + γ · ecDNA_i)</w:t>
      </w:r>
    </w:p>
    <w:p>
      <w:pPr>
        <w:pStyle w:val="FirstParagraph"/>
      </w:pPr>
      <w:r>
        <w:rPr>
          <w:b/>
          <w:bCs/>
        </w:rPr>
        <w:t xml:space="preserve">Confounding Structure (matches simulator exactly)</w:t>
      </w:r>
    </w:p>
    <w:p>
      <w:pPr>
        <w:pStyle w:val="SourceCode"/>
      </w:pPr>
      <w:r>
        <w:rPr>
          <w:rStyle w:val="VerbatimChar"/>
        </w:rPr>
        <w:t xml:space="preserve">is_hypoxic_i (binary HIF threshold indicator) → EGFR_i      via HIF-2α translation</w:t>
      </w:r>
      <w:r>
        <w:br/>
      </w:r>
      <w:r>
        <w:rPr>
          <w:rStyle w:val="VerbatimChar"/>
        </w:rPr>
        <w:t xml:space="preserve">is_hypoxic_i → VEGF_i                                       via hypoxia-gated secretion</w:t>
      </w:r>
      <w:r>
        <w:br/>
      </w:r>
      <w:r>
        <w:rPr>
          <w:rStyle w:val="VerbatimChar"/>
        </w:rPr>
        <w:t xml:space="preserve">O2_local_i (continuous; &lt; 18 mmHg ⇒ is_hypoxic_i = 1)</w:t>
      </w:r>
    </w:p>
    <w:p>
      <w:pPr>
        <w:pStyle w:val="FirstParagraph"/>
      </w:pPr>
      <w:r>
        <w:t xml:space="preserve">The simulator’s coupling to oxygen is threshold-mediated (step function at 18 mmHg), so the structural causal signal lives in the binary</w:t>
      </w:r>
      <w:r>
        <w:t xml:space="preserve"> </w:t>
      </w:r>
      <w:r>
        <w:rPr>
          <w:rStyle w:val="VerbatimChar"/>
        </w:rPr>
        <w:t xml:space="preserve">is_hypoxic</w:t>
      </w:r>
      <w:r>
        <w:t xml:space="preserve"> </w:t>
      </w:r>
      <w:r>
        <w:t xml:space="preserve">indicator, not the continuous</w:t>
      </w:r>
      <w:r>
        <w:t xml:space="preserve"> </w:t>
      </w:r>
      <w:r>
        <w:rPr>
          <w:rStyle w:val="VerbatimChar"/>
        </w:rPr>
        <w:t xml:space="preserve">O2_local</w:t>
      </w:r>
      <w:r>
        <w:t xml:space="preserve"> </w:t>
      </w:r>
      <w:r>
        <w:t xml:space="preserve">field. Causal discovery in this paper uses</w:t>
      </w:r>
      <w:r>
        <w:t xml:space="preserve"> </w:t>
      </w:r>
      <w:r>
        <w:rPr>
          <w:rStyle w:val="VerbatimChar"/>
        </w:rPr>
        <w:t xml:space="preserve">is_hypoxic</w:t>
      </w:r>
      <w:r>
        <w:t xml:space="preserve"> </w:t>
      </w:r>
      <w:r>
        <w:t xml:space="preserve">as the confounder variable; with continuous O2 in the variable set, late 6 mm runs give only F1 ≈ 0.76 because every tumor cell is already above the threshold for the effect.</w:t>
      </w:r>
    </w:p>
    <w:bookmarkEnd w:id="23"/>
    <w:bookmarkStart w:id="24" w:name="ground-truth-parameters"/>
    <w:p>
      <w:pPr>
        <w:pStyle w:val="Heading3"/>
      </w:pPr>
      <w:r>
        <w:t xml:space="preserve">1.2 Ground Truth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66"/>
        <w:gridCol w:w="2214"/>
        <w:gridCol w:w="1277"/>
        <w:gridCol w:w="36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Default Value</w:t>
            </w:r>
          </w:p>
        </w:tc>
        <w:tc>
          <w:tcPr/>
          <w:p>
            <w:pPr>
              <w:pStyle w:val="Compact"/>
            </w:pPr>
            <w:r>
              <w:t xml:space="preserve">Biological 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</w:t>
            </w:r>
          </w:p>
        </w:tc>
        <w:tc>
          <w:tcPr/>
          <w:p>
            <w:pPr>
              <w:pStyle w:val="Compact"/>
            </w:pPr>
            <w:r>
              <w:t xml:space="preserve">ecDNA_effect_on_division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30% faster division per doubling of ecDNA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</w:t>
            </w:r>
          </w:p>
        </w:tc>
        <w:tc>
          <w:tcPr/>
          <w:p>
            <w:pPr>
              <w:pStyle w:val="Compact"/>
            </w:pPr>
            <w:r>
              <w:t xml:space="preserve">ecDNA_effect_on_VEGF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10% more VEGF per ecDNA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ecDNA_effect_on_migration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5% faster migration per ecDNA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</w:t>
            </w:r>
          </w:p>
        </w:tc>
        <w:tc>
          <w:tcPr/>
          <w:p>
            <w:pPr>
              <w:pStyle w:val="Compact"/>
            </w:pPr>
            <w:r>
              <w:t xml:space="preserve">ecDNA_effect_on_survival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50% survival boost per ecDNA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κ</w:t>
            </w:r>
          </w:p>
        </w:tc>
        <w:tc>
          <w:tcPr/>
          <w:p>
            <w:pPr>
              <w:pStyle w:val="Compact"/>
            </w:pPr>
            <w:r>
              <w:t xml:space="preserve">EGFR per ecDNA copy</w:t>
            </w:r>
          </w:p>
        </w:tc>
        <w:tc>
          <w:tcPr/>
          <w:p>
            <w:pPr>
              <w:pStyle w:val="Compact"/>
            </w:pPr>
            <w:r>
              <w:t xml:space="preserve">1.21</w:t>
            </w:r>
          </w:p>
        </w:tc>
        <w:tc>
          <w:tcPr/>
          <w:p>
            <w:pPr>
              <w:pStyle w:val="Compact"/>
            </w:pPr>
            <w:r>
              <w:t xml:space="preserve">Per-copy gene-dosage coefficient on EGFR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κ_hyp</w:t>
            </w:r>
          </w:p>
        </w:tc>
        <w:tc>
          <w:tcPr/>
          <w:p>
            <w:pPr>
              <w:pStyle w:val="Compact"/>
            </w:pPr>
            <w:r>
              <w:t xml:space="preserve">hypoxia EGFR upregulation</w:t>
            </w:r>
          </w:p>
        </w:tc>
        <w:tc>
          <w:tcPr/>
          <w:p>
            <w:pPr>
              <w:pStyle w:val="Compact"/>
            </w:pPr>
            <w:r>
              <w:t xml:space="preserve">1.5 (baseline)</w:t>
            </w:r>
          </w:p>
        </w:tc>
        <w:tc>
          <w:tcPr/>
          <w:p>
            <w:pPr>
              <w:pStyle w:val="Compact"/>
            </w:pPr>
            <w:r>
              <w:t xml:space="preserve">HIF-2α multiplier; swept {1.5, 0.5, 0.0}</w:t>
            </w:r>
          </w:p>
        </w:tc>
      </w:tr>
    </w:tbl>
    <w:bookmarkEnd w:id="24"/>
    <w:bookmarkStart w:id="25" w:name="causal-dag"/>
    <w:p>
      <w:pPr>
        <w:pStyle w:val="Heading3"/>
      </w:pPr>
      <w:r>
        <w:t xml:space="preserve">1.3 Causal DAG</w:t>
      </w:r>
    </w:p>
    <w:p>
      <w:pPr>
        <w:pStyle w:val="SourceCode"/>
      </w:pPr>
      <w:r>
        <w:rPr>
          <w:rStyle w:val="VerbatimChar"/>
        </w:rPr>
        <w:t xml:space="preserve">                                is_hypoxic (binary HIF indicator)</w:t>
      </w:r>
      <w:r>
        <w:br/>
      </w:r>
      <w:r>
        <w:rPr>
          <w:rStyle w:val="VerbatimChar"/>
        </w:rPr>
        <w:t xml:space="preserve">                            ┌──────┴────────────────┐</w:t>
      </w:r>
      <w:r>
        <w:br/>
      </w:r>
      <w:r>
        <w:rPr>
          <w:rStyle w:val="VerbatimChar"/>
        </w:rPr>
        <w:t xml:space="preserve">                            │ HIF-2α (κ_hyp)        │ hypoxia gating</w:t>
      </w:r>
      <w:r>
        <w:br/>
      </w:r>
      <w:r>
        <w:rPr>
          <w:rStyle w:val="VerbatimChar"/>
        </w:rPr>
        <w:t xml:space="preserve">                            ▼                       ▼</w:t>
      </w:r>
      <w:r>
        <w:br/>
      </w:r>
      <w:r>
        <w:rPr>
          <w:rStyle w:val="VerbatimChar"/>
        </w:rPr>
        <w:t xml:space="preserve">ecDNA_count (Z) ──gene dosage (κ)──→ EGFR (D) ──→ VEGF, migration, division, survival (Y)</w:t>
      </w:r>
      <w:r>
        <w:br/>
      </w:r>
      <w:r>
        <w:rPr>
          <w:rStyle w:val="VerbatimChar"/>
        </w:rPr>
        <w:t xml:space="preserve">       ▲</w:t>
      </w:r>
      <w:r>
        <w:br/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Binomial(N, 0.5)</w:t>
      </w:r>
      <w:r>
        <w:br/>
      </w:r>
      <w:r>
        <w:rPr>
          <w:rStyle w:val="VerbatimChar"/>
        </w:rPr>
        <w:t xml:space="preserve">(random segregation; the instrument)</w:t>
      </w:r>
    </w:p>
    <w:p>
      <w:pPr>
        <w:pStyle w:val="FirstParagraph"/>
      </w:pPr>
      <w:r>
        <w:rPr>
          <w:b/>
          <w:bCs/>
        </w:rPr>
        <w:t xml:space="preserve">Key Properties:</w:t>
      </w:r>
      <w:r>
        <w:t xml:space="preserve"> </w:t>
      </w:r>
      <w:r>
        <w:t xml:space="preserve">- Z ⊥ U : ecDNA segregation is independent of confounders (random mechanism)</w:t>
      </w:r>
      <w:r>
        <w:t xml:space="preserve"> </w:t>
      </w:r>
      <w:r>
        <w:t xml:space="preserve">- Z → D : ecDNA causally affects EGFR expression (gene dosage, κ = 1.21 per copy)</w:t>
      </w:r>
      <w:r>
        <w:t xml:space="preserve"> </w:t>
      </w:r>
      <w:r>
        <w:t xml:space="preserve">- is_hypoxic → D : HIF-2α-mediated translational upregulation under hypoxia (confounder edge; strength controlled by κ_hyp)</w:t>
      </w:r>
      <w:r>
        <w:t xml:space="preserve"> </w:t>
      </w:r>
      <w:r>
        <w:t xml:space="preserve">- is_hypoxic → Y_VEGF : direct hypoxia-gated VEGF secretion (independent of D)</w:t>
      </w:r>
      <w:r>
        <w:t xml:space="preserve"> </w:t>
      </w:r>
      <w:r>
        <w:t xml:space="preserve">- Z ⫫ Y | D : ecDNA affects outcomes only through EGFR (exclusion restriction)</w:t>
      </w:r>
    </w:p>
    <w:p>
      <w:pPr>
        <w:pStyle w:val="BodyText"/>
      </w:pPr>
      <w:r>
        <w:t xml:space="preserve">When κ_hyp = 0 the (is_hypoxic → D) edge is severed; OLS and IV converge to within ±1% at both 2 mm and 6 mm scales (Table 2 of the main manuscript).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instrumental-variable-estimation"/>
    <w:p>
      <w:pPr>
        <w:pStyle w:val="Heading2"/>
      </w:pPr>
      <w:r>
        <w:t xml:space="preserve">2. Instrumental Variable Estimation</w:t>
      </w:r>
    </w:p>
    <w:bookmarkStart w:id="27" w:name="two-stage-least-squares-2sls"/>
    <w:p>
      <w:pPr>
        <w:pStyle w:val="Heading3"/>
      </w:pPr>
      <w:r>
        <w:t xml:space="preserve">2.1 Two-Stage Least Squares (2SLS)</w:t>
      </w:r>
    </w:p>
    <w:p>
      <w:pPr>
        <w:pStyle w:val="FirstParagraph"/>
      </w:pPr>
      <w:r>
        <w:rPr>
          <w:b/>
          <w:bCs/>
        </w:rPr>
        <w:t xml:space="preserve">Stage 1 (First Stage):</w:t>
      </w:r>
    </w:p>
    <w:p>
      <w:pPr>
        <w:pStyle w:val="SourceCode"/>
      </w:pPr>
      <w:r>
        <w:rPr>
          <w:rStyle w:val="VerbatimChar"/>
        </w:rPr>
        <w:t xml:space="preserve">D_i = π_0 + π_1 * Z_i + π_2 * X_i + η_i</w:t>
      </w:r>
      <w:r>
        <w:br/>
      </w:r>
      <w:r>
        <w:rPr>
          <w:rStyle w:val="VerbatimChar"/>
        </w:rPr>
        <w:t xml:space="preserve">D̂_i = π̂_0 + π̂_1 * Z_i + π̂_2 * X_i</w:t>
      </w:r>
    </w:p>
    <w:p>
      <w:pPr>
        <w:pStyle w:val="FirstParagraph"/>
      </w:pPr>
      <w:r>
        <w:rPr>
          <w:b/>
          <w:bCs/>
        </w:rPr>
        <w:t xml:space="preserve">Stage 2 (Second Stage):</w:t>
      </w:r>
    </w:p>
    <w:p>
      <w:pPr>
        <w:pStyle w:val="SourceCode"/>
      </w:pPr>
      <w:r>
        <w:rPr>
          <w:rStyle w:val="VerbatimChar"/>
        </w:rPr>
        <w:t xml:space="preserve">Y_i = β_0 + β_1 * D̂_i + β_2 * X_i + ε_i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 Z_i = ecDNA copy number (instrument)</w:t>
      </w:r>
      <w:r>
        <w:t xml:space="preserve"> </w:t>
      </w:r>
      <w:r>
        <w:t xml:space="preserve">- D_i = EGFR expression (endogenous treatment)</w:t>
      </w:r>
      <w:r>
        <w:t xml:space="preserve"> </w:t>
      </w:r>
      <w:r>
        <w:t xml:space="preserve">- Y_i = Phenotypic outcome</w:t>
      </w:r>
      <w:r>
        <w:t xml:space="preserve"> </w:t>
      </w:r>
      <w:r>
        <w:t xml:space="preserve">- X_i = Observed covariates (optional)</w:t>
      </w:r>
    </w:p>
    <w:bookmarkEnd w:id="27"/>
    <w:bookmarkStart w:id="28" w:name="standard-error-correction"/>
    <w:p>
      <w:pPr>
        <w:pStyle w:val="Heading3"/>
      </w:pPr>
      <w:r>
        <w:t xml:space="preserve">2.2 Standard Error Correction</w:t>
      </w:r>
    </w:p>
    <w:p>
      <w:pPr>
        <w:pStyle w:val="FirstParagraph"/>
      </w:pPr>
      <w:r>
        <w:t xml:space="preserve">The naive second-stage standard errors are incorrect. We use the corrected formula:</w:t>
      </w:r>
    </w:p>
    <w:p>
      <w:pPr>
        <w:pStyle w:val="SourceCode"/>
      </w:pPr>
      <w:r>
        <w:rPr>
          <w:rStyle w:val="VerbatimChar"/>
        </w:rPr>
        <w:t xml:space="preserve">SE(β̂_IV) = sqrt(σ̂² * (X̂'X̂)^(-1))</w:t>
      </w:r>
    </w:p>
    <w:p>
      <w:pPr>
        <w:pStyle w:val="FirstParagraph"/>
      </w:pPr>
      <w:r>
        <w:t xml:space="preserve">Where σ̂² is estimated from residuals using original D (not D̂):</w:t>
      </w:r>
    </w:p>
    <w:p>
      <w:pPr>
        <w:pStyle w:val="SourceCode"/>
      </w:pPr>
      <w:r>
        <w:rPr>
          <w:rStyle w:val="VerbatimChar"/>
        </w:rPr>
        <w:t xml:space="preserve">σ̂² = Σ(Y_i - β̂_0 - β̂_1 * D_i - β̂_2 * X_i)² / (n - k)</w:t>
      </w:r>
    </w:p>
    <w:bookmarkEnd w:id="28"/>
    <w:bookmarkStart w:id="29" w:name="instrument-strength-diagnostics"/>
    <w:p>
      <w:pPr>
        <w:pStyle w:val="Heading3"/>
      </w:pPr>
      <w:r>
        <w:t xml:space="preserve">2.3 Instrument Strength Diagnostics</w:t>
      </w:r>
    </w:p>
    <w:p>
      <w:pPr>
        <w:pStyle w:val="FirstParagraph"/>
      </w:pPr>
      <w:r>
        <w:rPr>
          <w:b/>
          <w:bCs/>
        </w:rPr>
        <w:t xml:space="preserve">F-Statistic:</w:t>
      </w:r>
    </w:p>
    <w:p>
      <w:pPr>
        <w:pStyle w:val="SourceCode"/>
      </w:pPr>
      <w:r>
        <w:rPr>
          <w:rStyle w:val="VerbatimChar"/>
        </w:rPr>
        <w:t xml:space="preserve">F = (R²_first / k) / ((1 - R²_first) / (n - k - 1))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F-Statistic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&gt; 10</w:t>
            </w:r>
          </w:p>
        </w:tc>
        <w:tc>
          <w:tcPr/>
          <w:p>
            <w:pPr>
              <w:pStyle w:val="Compact"/>
            </w:pPr>
            <w:r>
              <w:t xml:space="preserve">Strong instrument (Staiger &amp; Stock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&gt; 16.38</w:t>
            </w:r>
          </w:p>
        </w:tc>
        <w:tc>
          <w:tcPr/>
          <w:p>
            <w:pPr>
              <w:pStyle w:val="Compact"/>
            </w:pPr>
            <w:r>
              <w:t xml:space="preserve">&lt;5% maximal IV size distortion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&gt; 8.96</w:t>
            </w:r>
          </w:p>
        </w:tc>
        <w:tc>
          <w:tcPr/>
          <w:p>
            <w:pPr>
              <w:pStyle w:val="Compact"/>
            </w:pPr>
            <w:r>
              <w:t xml:space="preserve">&lt;10% maximal IV size distortion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Partial R²:</w:t>
      </w:r>
    </w:p>
    <w:p>
      <w:pPr>
        <w:pStyle w:val="SourceCode"/>
      </w:pPr>
      <w:r>
        <w:rPr>
          <w:rStyle w:val="VerbatimChar"/>
        </w:rPr>
        <w:t xml:space="preserve">R²_partial = (R²_full - R²_restricted) / (1 - R²_restricted)</w:t>
      </w:r>
    </w:p>
    <w:bookmarkEnd w:id="29"/>
    <w:bookmarkStart w:id="30" w:name="wu-hausman-endogeneity-test"/>
    <w:p>
      <w:pPr>
        <w:pStyle w:val="Heading3"/>
      </w:pPr>
      <w:r>
        <w:t xml:space="preserve">2.4 Wu-Hausman Endogeneity Test</w:t>
      </w:r>
    </w:p>
    <w:p>
      <w:pPr>
        <w:pStyle w:val="FirstParagraph"/>
      </w:pPr>
      <w:r>
        <w:t xml:space="preserve">Tests whether OLS and IV estimates differ significantly.</w:t>
      </w:r>
    </w:p>
    <w:p>
      <w:pPr>
        <w:pStyle w:val="BodyText"/>
      </w:pPr>
      <w:r>
        <w:rPr>
          <w:b/>
          <w:bCs/>
        </w:rPr>
        <w:t xml:space="preserve">Augmented Regression:</w:t>
      </w:r>
    </w:p>
    <w:p>
      <w:pPr>
        <w:pStyle w:val="SourceCode"/>
      </w:pPr>
      <w:r>
        <w:rPr>
          <w:rStyle w:val="VerbatimChar"/>
        </w:rPr>
        <w:t xml:space="preserve">Y_i = β_0 + β_1 * D_i + β_2 * X_i + θ * v̂_i + ε_i</w:t>
      </w:r>
    </w:p>
    <w:p>
      <w:pPr>
        <w:pStyle w:val="FirstParagraph"/>
      </w:pPr>
      <w:r>
        <w:t xml:space="preserve">Where v̂_i = D_i - D̂_i (first-stage residuals).</w:t>
      </w:r>
    </w:p>
    <w:p>
      <w:pPr>
        <w:pStyle w:val="BodyText"/>
      </w:pPr>
      <w:r>
        <w:rPr>
          <w:b/>
          <w:bCs/>
        </w:rPr>
        <w:t xml:space="preserve">Test:</w:t>
      </w:r>
      <w:r>
        <w:t xml:space="preserve"> </w:t>
      </w:r>
      <w:r>
        <w:t xml:space="preserve">H0: θ = 0 (no endogeneity)</w:t>
      </w:r>
      <w:r>
        <w:t xml:space="preserve"> </w:t>
      </w:r>
      <w:r>
        <w:t xml:space="preserve">- If p &lt; 0.05, OLS is biased → use IV</w:t>
      </w:r>
    </w:p>
    <w:bookmarkEnd w:id="30"/>
    <w:bookmarkStart w:id="31" w:name="anderson-rubin-confidence-intervals"/>
    <w:p>
      <w:pPr>
        <w:pStyle w:val="Heading3"/>
      </w:pPr>
      <w:r>
        <w:t xml:space="preserve">2.5 Anderson-Rubin Confidence Intervals</w:t>
      </w:r>
    </w:p>
    <w:p>
      <w:pPr>
        <w:pStyle w:val="FirstParagraph"/>
      </w:pPr>
      <w:r>
        <w:t xml:space="preserve">Robust to weak instruments:</w:t>
      </w:r>
    </w:p>
    <w:p>
      <w:pPr>
        <w:pStyle w:val="SourceCode"/>
      </w:pPr>
      <w:r>
        <w:rPr>
          <w:rStyle w:val="VerbatimChar"/>
        </w:rPr>
        <w:t xml:space="preserve">AR(β_0) = n * (SSR_restricted(β_0) - SSR_unrestricted) / SSR_unrestricted</w:t>
      </w:r>
    </w:p>
    <w:p>
      <w:pPr>
        <w:pStyle w:val="FirstParagraph"/>
      </w:pPr>
      <w:r>
        <w:t xml:space="preserve">Under H0: β = β_0, AR ~ χ²(1)</w:t>
      </w:r>
    </w:p>
    <w:p>
      <w:pPr>
        <w:pStyle w:val="BodyText"/>
      </w:pPr>
      <w:r>
        <w:t xml:space="preserve">The AR confidence set inverts this test:</w:t>
      </w:r>
    </w:p>
    <w:p>
      <w:pPr>
        <w:pStyle w:val="SourceCode"/>
      </w:pPr>
      <w:r>
        <w:rPr>
          <w:rStyle w:val="VerbatimChar"/>
        </w:rPr>
        <w:t xml:space="preserve">CI_AR = {β_0 : AR(β_0) ≤ χ²_{1,α}}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bootstrap-confidence-intervals"/>
    <w:p>
      <w:pPr>
        <w:pStyle w:val="Heading2"/>
      </w:pPr>
      <w:r>
        <w:t xml:space="preserve">3. Bootstrap Confidence Intervals</w:t>
      </w:r>
    </w:p>
    <w:bookmarkStart w:id="33" w:name="X75ed44a857ae0673cc3e511f1437944427a8c54"/>
    <w:p>
      <w:pPr>
        <w:pStyle w:val="Heading3"/>
      </w:pPr>
      <w:r>
        <w:t xml:space="preserve">3.1 BCa (Bias-Corrected and Accelerated) Bootstrap</w:t>
      </w:r>
    </w:p>
    <w:p>
      <w:pPr>
        <w:pStyle w:val="FirstParagraph"/>
      </w:pPr>
      <w:r>
        <w:t xml:space="preserve">The BCa method adjusts for bias and skewness in the bootstrap distribution.</w:t>
      </w:r>
    </w:p>
    <w:p>
      <w:pPr>
        <w:pStyle w:val="BodyText"/>
      </w:pPr>
      <w:r>
        <w:rPr>
          <w:b/>
          <w:bCs/>
        </w:rPr>
        <w:t xml:space="preserve">Algorithm:</w:t>
      </w:r>
      <w:r>
        <w:t xml:space="preserve"> </w:t>
      </w:r>
      <w:r>
        <w:t xml:space="preserve">1. Compute θ̂ from original sample</w:t>
      </w:r>
      <w:r>
        <w:t xml:space="preserve"> </w:t>
      </w:r>
      <w:r>
        <w:t xml:space="preserve">2. Draw B bootstrap samples, compute θ̂*_b for each</w:t>
      </w:r>
      <w:r>
        <w:t xml:space="preserve"> </w:t>
      </w:r>
      <w:r>
        <w:t xml:space="preserve">3. Compute bias correction:</w:t>
      </w:r>
      <w:r>
        <w:t xml:space="preserve"> </w:t>
      </w:r>
      <w:r>
        <w:rPr>
          <w:rStyle w:val="VerbatimChar"/>
        </w:rPr>
        <w:t xml:space="preserve">ẑ_0 = Φ^(-1)(#{θ̂*_b &lt; θ̂} / B)</w:t>
      </w:r>
      <w:r>
        <w:t xml:space="preserve"> </w:t>
      </w:r>
      <w:r>
        <w:t xml:space="preserve">4. Compute acceleration (jackknife influence):</w:t>
      </w:r>
      <w:r>
        <w:t xml:space="preserve"> </w:t>
      </w:r>
      <w:r>
        <w:rPr>
          <w:rStyle w:val="VerbatimChar"/>
        </w:rPr>
        <w:t xml:space="preserve">â = Σ(θ̂_{(-i)} - θ̂_{(·)})³ / (6 * [Σ(θ̂_{(-i)} - θ̂_{(·)})²]^(3/2))</w:t>
      </w:r>
      <w:r>
        <w:t xml:space="preserve"> </w:t>
      </w:r>
      <w:r>
        <w:t xml:space="preserve">5. Adjusted percentiles:</w:t>
      </w:r>
      <w:r>
        <w:t xml:space="preserve"> </w:t>
      </w:r>
      <w:r>
        <w:rPr>
          <w:rStyle w:val="VerbatimChar"/>
        </w:rPr>
        <w:t xml:space="preserve">α_1 = Φ(ẑ_0 + (ẑ_0 + z_{α/2}) / (1 - â(ẑ_0 + z_{α/2})))    α_2 = Φ(ẑ_0 + (ẑ_0 + z_{1-α/2}) / (1 - â(ẑ_0 + z_{1-α/2})))</w:t>
      </w:r>
      <w:r>
        <w:t xml:space="preserve"> </w:t>
      </w:r>
      <w:r>
        <w:t xml:space="preserve">6. CI = [θ̂*_(α_1), θ̂*_(α_2)]</w:t>
      </w:r>
    </w:p>
    <w:bookmarkEnd w:id="33"/>
    <w:bookmarkStart w:id="34" w:name="bootstrap-for-iv-estimates"/>
    <w:p>
      <w:pPr>
        <w:pStyle w:val="Heading3"/>
      </w:pPr>
      <w:r>
        <w:t xml:space="preserve">3.2 Bootstrap for IV Estimates</w:t>
      </w:r>
    </w:p>
    <w:p>
      <w:pPr>
        <w:pStyle w:val="FirstParagraph"/>
      </w:pPr>
      <w:r>
        <w:t xml:space="preserve">Each bootstrap replicate:</w:t>
      </w:r>
      <w:r>
        <w:t xml:space="preserve"> </w:t>
      </w:r>
      <w:r>
        <w:t xml:space="preserve">1. Resample (Z_i, D_i, Y_i) with replacement</w:t>
      </w:r>
      <w:r>
        <w:t xml:space="preserve"> </w:t>
      </w:r>
      <w:r>
        <w:t xml:space="preserve">2. Run full 2SLS procedure</w:t>
      </w:r>
      <w:r>
        <w:t xml:space="preserve"> </w:t>
      </w:r>
      <w:r>
        <w:t xml:space="preserve">3. Store IV coefficient</w:t>
      </w:r>
    </w:p>
    <w:bookmarkEnd w:id="34"/>
    <w:bookmarkStart w:id="35" w:name="testing-segregation-randomness"/>
    <w:p>
      <w:pPr>
        <w:pStyle w:val="Heading3"/>
      </w:pPr>
      <w:r>
        <w:t xml:space="preserve">3.3 Testing Segregation Randomness</w:t>
      </w:r>
    </w:p>
    <w:p>
      <w:pPr>
        <w:pStyle w:val="FirstParagraph"/>
      </w:pPr>
      <w:r>
        <w:rPr>
          <w:b/>
          <w:bCs/>
        </w:rPr>
        <w:t xml:space="preserve">Chi-Square Test:</w:t>
      </w:r>
    </w:p>
    <w:p>
      <w:pPr>
        <w:pStyle w:val="SourceCode"/>
      </w:pPr>
      <w:r>
        <w:rPr>
          <w:rStyle w:val="VerbatimChar"/>
        </w:rPr>
        <w:t xml:space="preserve">χ² = Σ (O_k - E_k)² / E_k</w:t>
      </w:r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 O_k = Observed count in bin k</w:t>
      </w:r>
      <w:r>
        <w:t xml:space="preserve"> </w:t>
      </w:r>
      <w:r>
        <w:t xml:space="preserve">- E_k = n * P(daughter_fraction ∈ bin_k | Binomial)</w:t>
      </w:r>
    </w:p>
    <w:p>
      <w:pPr>
        <w:pStyle w:val="BodyText"/>
      </w:pPr>
      <w:r>
        <w:rPr>
          <w:b/>
          <w:bCs/>
        </w:rPr>
        <w:t xml:space="preserve">Kolmogorov-Smirnov Test:</w:t>
      </w:r>
    </w:p>
    <w:p>
      <w:pPr>
        <w:pStyle w:val="SourceCode"/>
      </w:pPr>
      <w:r>
        <w:rPr>
          <w:rStyle w:val="VerbatimChar"/>
        </w:rPr>
        <w:t xml:space="preserve">D = max|F_n(x) - F_0(x)|</w:t>
      </w:r>
    </w:p>
    <w:p>
      <w:pPr>
        <w:pStyle w:val="FirstParagraph"/>
      </w:pPr>
      <w:r>
        <w:t xml:space="preserve">Where F_0 is the theoretical CDF under Binomial(N, 0.5).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power-analysis"/>
    <w:p>
      <w:pPr>
        <w:pStyle w:val="Heading2"/>
      </w:pPr>
      <w:r>
        <w:t xml:space="preserve">4. Power Analysis</w:t>
      </w:r>
    </w:p>
    <w:bookmarkStart w:id="37" w:name="analytical-power-for-2sls"/>
    <w:p>
      <w:pPr>
        <w:pStyle w:val="Heading3"/>
      </w:pPr>
      <w:r>
        <w:t xml:space="preserve">4.1 Analytical Power for 2SLS</w:t>
      </w:r>
    </w:p>
    <w:p>
      <w:pPr>
        <w:pStyle w:val="FirstParagraph"/>
      </w:pPr>
      <w:r>
        <w:rPr>
          <w:b/>
          <w:bCs/>
        </w:rPr>
        <w:t xml:space="preserve">Asymptotic Distribution:</w:t>
      </w:r>
    </w:p>
    <w:p>
      <w:pPr>
        <w:pStyle w:val="SourceCode"/>
      </w:pPr>
      <w:r>
        <w:rPr>
          <w:rStyle w:val="VerbatimChar"/>
        </w:rPr>
        <w:t xml:space="preserve">√n(β̂_IV - β) →d N(0, σ² / (π_1² * Var(Z)))</w:t>
      </w:r>
    </w:p>
    <w:p>
      <w:pPr>
        <w:pStyle w:val="FirstParagraph"/>
      </w:pPr>
      <w:r>
        <w:rPr>
          <w:b/>
          <w:bCs/>
        </w:rPr>
        <w:t xml:space="preserve">Standard Error of IV:</w:t>
      </w:r>
    </w:p>
    <w:p>
      <w:pPr>
        <w:pStyle w:val="SourceCode"/>
      </w:pPr>
      <w:r>
        <w:rPr>
          <w:rStyle w:val="VerbatimChar"/>
        </w:rPr>
        <w:t xml:space="preserve">SE_IV ≈ sqrt(σ² / (n * R²_first * Var(Z)))</w:t>
      </w:r>
    </w:p>
    <w:p>
      <w:pPr>
        <w:pStyle w:val="FirstParagraph"/>
      </w:pPr>
      <w:r>
        <w:rPr>
          <w:b/>
          <w:bCs/>
        </w:rPr>
        <w:t xml:space="preserve">Power:</w:t>
      </w:r>
    </w:p>
    <w:p>
      <w:pPr>
        <w:pStyle w:val="SourceCode"/>
      </w:pPr>
      <w:r>
        <w:rPr>
          <w:rStyle w:val="VerbatimChar"/>
        </w:rPr>
        <w:t xml:space="preserve">Power = 1 - Φ(z_{1-α/2} - |β| / SE_IV) + Φ(-z_{1-α/2} - |β| / SE_IV)</w:t>
      </w:r>
    </w:p>
    <w:bookmarkEnd w:id="37"/>
    <w:bookmarkStart w:id="38" w:name="required-sample-size"/>
    <w:p>
      <w:pPr>
        <w:pStyle w:val="Heading3"/>
      </w:pPr>
      <w:r>
        <w:t xml:space="preserve">4.2 Required Sample Size</w:t>
      </w:r>
    </w:p>
    <w:p>
      <w:pPr>
        <w:pStyle w:val="FirstParagraph"/>
      </w:pPr>
      <w:r>
        <w:t xml:space="preserve">For target power (1 - β) at significance level α:</w:t>
      </w:r>
    </w:p>
    <w:p>
      <w:pPr>
        <w:pStyle w:val="SourceCode"/>
      </w:pPr>
      <w:r>
        <w:rPr>
          <w:rStyle w:val="VerbatimChar"/>
        </w:rPr>
        <w:t xml:space="preserve">n ≈ (z_{1-α/2} + z_{1-β})² * σ² / (β² * R²_first * Var(Z))</w:t>
      </w:r>
    </w:p>
    <w:bookmarkEnd w:id="38"/>
    <w:bookmarkStart w:id="39" w:name="minimum-detectable-effect-mde"/>
    <w:p>
      <w:pPr>
        <w:pStyle w:val="Heading3"/>
      </w:pPr>
      <w:r>
        <w:t xml:space="preserve">4.3 Minimum Detectable Effect (MDE)</w:t>
      </w:r>
    </w:p>
    <w:p>
      <w:pPr>
        <w:pStyle w:val="FirstParagraph"/>
      </w:pPr>
      <w:r>
        <w:t xml:space="preserve">Given sample size n and target power:</w:t>
      </w:r>
    </w:p>
    <w:p>
      <w:pPr>
        <w:pStyle w:val="SourceCode"/>
      </w:pPr>
      <w:r>
        <w:rPr>
          <w:rStyle w:val="VerbatimChar"/>
        </w:rPr>
        <w:t xml:space="preserve">MDE = (z_{1-α/2} + z_{1-β}) * SE_IV</w:t>
      </w:r>
    </w:p>
    <w:bookmarkEnd w:id="39"/>
    <w:bookmarkStart w:id="40" w:name="power-curve-parameters"/>
    <w:p>
      <w:pPr>
        <w:pStyle w:val="Heading3"/>
      </w:pPr>
      <w:r>
        <w:t xml:space="preserve">4.4 Power Curve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 Size</w:t>
            </w:r>
          </w:p>
        </w:tc>
        <w:tc>
          <w:tcPr/>
          <w:p>
            <w:pPr>
              <w:pStyle w:val="Compact"/>
            </w:pPr>
            <w:r>
              <w:t xml:space="preserve">Required n (80% power)</w:t>
            </w:r>
          </w:p>
        </w:tc>
        <w:tc>
          <w:tcPr/>
          <w:p>
            <w:pPr>
              <w:pStyle w:val="Compact"/>
            </w:pPr>
            <w:r>
              <w:t xml:space="preserve">Required n (90% power)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~10,000</w:t>
            </w:r>
          </w:p>
        </w:tc>
        <w:tc>
          <w:tcPr/>
          <w:p>
            <w:pPr>
              <w:pStyle w:val="Compact"/>
            </w:pPr>
            <w:r>
              <w:t xml:space="preserve">~15,000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~2,500</w:t>
            </w:r>
          </w:p>
        </w:tc>
        <w:tc>
          <w:tcPr/>
          <w:p>
            <w:pPr>
              <w:pStyle w:val="Compact"/>
            </w:pPr>
            <w:r>
              <w:t xml:space="preserve">~3,750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~400</w:t>
            </w:r>
          </w:p>
        </w:tc>
        <w:tc>
          <w:tcPr/>
          <w:p>
            <w:pPr>
              <w:pStyle w:val="Compact"/>
            </w:pPr>
            <w:r>
              <w:t xml:space="preserve">~600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~100</w:t>
            </w:r>
          </w:p>
        </w:tc>
        <w:tc>
          <w:tcPr/>
          <w:p>
            <w:pPr>
              <w:pStyle w:val="Compact"/>
            </w:pPr>
            <w:r>
              <w:t xml:space="preserve">~150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~25</w:t>
            </w:r>
          </w:p>
        </w:tc>
        <w:tc>
          <w:tcPr/>
          <w:p>
            <w:pPr>
              <w:pStyle w:val="Compact"/>
            </w:pPr>
            <w:r>
              <w:t xml:space="preserve">~40</w:t>
            </w:r>
          </w:p>
        </w:tc>
      </w:tr>
    </w:tbl>
    <w:p>
      <w:pPr>
        <w:pStyle w:val="BodyText"/>
      </w:pPr>
      <w:r>
        <w:rPr>
          <w:i/>
          <w:iCs/>
        </w:rPr>
        <w:t xml:space="preserve">(Assuming R²_first = 0.884, α = 0.05)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heterogeneity-analysis"/>
    <w:p>
      <w:pPr>
        <w:pStyle w:val="Heading2"/>
      </w:pPr>
      <w:r>
        <w:t xml:space="preserve">5. Heterogeneity Analysis</w:t>
      </w:r>
    </w:p>
    <w:bookmarkStart w:id="42" w:name="stratified-iv-estimation"/>
    <w:p>
      <w:pPr>
        <w:pStyle w:val="Heading3"/>
      </w:pPr>
      <w:r>
        <w:t xml:space="preserve">5.1 Stratified IV Estimation</w:t>
      </w:r>
    </w:p>
    <w:p>
      <w:pPr>
        <w:pStyle w:val="FirstParagraph"/>
      </w:pPr>
      <w:r>
        <w:t xml:space="preserve">Run separate IV analyses by stratum: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By Region:</w:t>
      </w:r>
    </w:p>
    <w:p>
      <w:pPr>
        <w:pStyle w:val="Compact"/>
        <w:numPr>
          <w:ilvl w:val="1"/>
          <w:numId w:val="1003"/>
        </w:numPr>
      </w:pPr>
      <w:r>
        <w:t xml:space="preserve">Core: cells within 100μm of tumor center</w:t>
      </w:r>
    </w:p>
    <w:p>
      <w:pPr>
        <w:pStyle w:val="Compact"/>
        <w:numPr>
          <w:ilvl w:val="1"/>
          <w:numId w:val="1003"/>
        </w:numPr>
      </w:pPr>
      <w:r>
        <w:t xml:space="preserve">Margin: cells 100-300μm from center</w:t>
      </w:r>
    </w:p>
    <w:p>
      <w:pPr>
        <w:pStyle w:val="Compact"/>
        <w:numPr>
          <w:ilvl w:val="1"/>
          <w:numId w:val="1003"/>
        </w:numPr>
      </w:pPr>
      <w:r>
        <w:t xml:space="preserve">Infiltrating: cells &gt;300μm from center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By Hypoxia:</w:t>
      </w:r>
    </w:p>
    <w:p>
      <w:pPr>
        <w:pStyle w:val="Compact"/>
        <w:numPr>
          <w:ilvl w:val="1"/>
          <w:numId w:val="1004"/>
        </w:numPr>
      </w:pPr>
      <w:r>
        <w:t xml:space="preserve">Normoxic: O2 &gt; 20 mmHg</w:t>
      </w:r>
    </w:p>
    <w:p>
      <w:pPr>
        <w:pStyle w:val="Compact"/>
        <w:numPr>
          <w:ilvl w:val="1"/>
          <w:numId w:val="1004"/>
        </w:numPr>
      </w:pPr>
      <w:r>
        <w:t xml:space="preserve">Mildly hypoxic: 10-20 mmHg</w:t>
      </w:r>
    </w:p>
    <w:p>
      <w:pPr>
        <w:pStyle w:val="Compact"/>
        <w:numPr>
          <w:ilvl w:val="1"/>
          <w:numId w:val="1004"/>
        </w:numPr>
      </w:pPr>
      <w:r>
        <w:t xml:space="preserve">Severely hypoxic: &lt;10 mmHg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By ecDNA Burden:</w:t>
      </w:r>
    </w:p>
    <w:p>
      <w:pPr>
        <w:pStyle w:val="Compact"/>
        <w:numPr>
          <w:ilvl w:val="1"/>
          <w:numId w:val="1005"/>
        </w:numPr>
      </w:pPr>
      <w:r>
        <w:t xml:space="preserve">Low: ecDNA &lt; 10</w:t>
      </w:r>
    </w:p>
    <w:p>
      <w:pPr>
        <w:pStyle w:val="Compact"/>
        <w:numPr>
          <w:ilvl w:val="1"/>
          <w:numId w:val="1005"/>
        </w:numPr>
      </w:pPr>
      <w:r>
        <w:t xml:space="preserve">Medium: 10-30</w:t>
      </w:r>
    </w:p>
    <w:p>
      <w:pPr>
        <w:pStyle w:val="Compact"/>
        <w:numPr>
          <w:ilvl w:val="1"/>
          <w:numId w:val="1005"/>
        </w:numPr>
      </w:pPr>
      <w:r>
        <w:t xml:space="preserve">High: &gt;30</w:t>
      </w:r>
    </w:p>
    <w:bookmarkEnd w:id="42"/>
    <w:bookmarkStart w:id="43" w:name="cochrans-q-test-for-heterogeneity"/>
    <w:p>
      <w:pPr>
        <w:pStyle w:val="Heading3"/>
      </w:pPr>
      <w:r>
        <w:t xml:space="preserve">5.2 Cochran’s Q Test for Heterogeneity</w:t>
      </w:r>
    </w:p>
    <w:p>
      <w:pPr>
        <w:pStyle w:val="SourceCode"/>
      </w:pPr>
      <w:r>
        <w:rPr>
          <w:rStyle w:val="VerbatimChar"/>
        </w:rPr>
        <w:t xml:space="preserve">Q = Σ w_k (β̂_k - β̂_pooled)²</w:t>
      </w:r>
    </w:p>
    <w:p>
      <w:pPr>
        <w:pStyle w:val="FirstParagraph"/>
      </w:pPr>
      <w:r>
        <w:t xml:space="preserve">Where w_k = 1 / SE²_k</w:t>
      </w:r>
    </w:p>
    <w:p>
      <w:pPr>
        <w:pStyle w:val="BodyText"/>
      </w:pPr>
      <w:r>
        <w:t xml:space="preserve">Under H0 (homogeneity): Q ~ χ²(K-1)</w:t>
      </w:r>
    </w:p>
    <w:bookmarkEnd w:id="43"/>
    <w:bookmarkStart w:id="44" w:name="i²-statistic"/>
    <w:p>
      <w:pPr>
        <w:pStyle w:val="Heading3"/>
      </w:pPr>
      <w:r>
        <w:t xml:space="preserve">5.3 I² Statistic</w:t>
      </w:r>
    </w:p>
    <w:p>
      <w:pPr>
        <w:pStyle w:val="SourceCode"/>
      </w:pPr>
      <w:r>
        <w:rPr>
          <w:rStyle w:val="VerbatimChar"/>
        </w:rPr>
        <w:t xml:space="preserve">I² = max(0, (Q - (K-1)) / Q)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I²</w:t>
            </w:r>
          </w:p>
        </w:tc>
        <w:tc>
          <w:tcPr/>
          <w:p>
            <w:pPr>
              <w:pStyle w:val="Compact"/>
            </w:pPr>
            <w:r>
              <w:t xml:space="preserve">Heterogeneity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0-25%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25-50%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50-75%</w:t>
            </w:r>
          </w:p>
        </w:tc>
        <w:tc>
          <w:tcPr/>
          <w:p>
            <w:pPr>
              <w:pStyle w:val="Compact"/>
            </w:pPr>
            <w:r>
              <w:t xml:space="preserve">Substantial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&gt;75%</w:t>
            </w:r>
          </w:p>
        </w:tc>
        <w:tc>
          <w:tcPr/>
          <w:p>
            <w:pPr>
              <w:pStyle w:val="Compact"/>
            </w:pPr>
            <w:r>
              <w:t xml:space="preserve">Considerable</w:t>
            </w:r>
          </w:p>
        </w:tc>
      </w:tr>
    </w:tbl>
    <w:bookmarkEnd w:id="44"/>
    <w:bookmarkStart w:id="45" w:name="radial-effect-profiles"/>
    <w:p>
      <w:pPr>
        <w:pStyle w:val="Heading3"/>
      </w:pPr>
      <w:r>
        <w:t xml:space="preserve">5.4 Radial Effect Profiles</w:t>
      </w:r>
    </w:p>
    <w:p>
      <w:pPr>
        <w:pStyle w:val="FirstParagraph"/>
      </w:pPr>
      <w:r>
        <w:t xml:space="preserve">Estimate effects as smooth function of distance from tumor center:</w:t>
      </w:r>
    </w:p>
    <w:p>
      <w:pPr>
        <w:pStyle w:val="SourceCode"/>
      </w:pPr>
      <w:r>
        <w:rPr>
          <w:rStyle w:val="VerbatimChar"/>
        </w:rPr>
        <w:t xml:space="preserve">β(r) = f(r) estimated via local regression</w:t>
      </w:r>
    </w:p>
    <w:p>
      <w:pPr>
        <w:pStyle w:val="FirstParagraph"/>
      </w:pPr>
      <w:r>
        <w:t xml:space="preserve">Kernel bandwidth selected by cross-validation.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sensitivity-analysis"/>
    <w:p>
      <w:pPr>
        <w:pStyle w:val="Heading2"/>
      </w:pPr>
      <w:r>
        <w:t xml:space="preserve">6. Sensitivity Analysis</w:t>
      </w:r>
    </w:p>
    <w:bookmarkStart w:id="47" w:name="rosenbaum-bounds"/>
    <w:p>
      <w:pPr>
        <w:pStyle w:val="Heading3"/>
      </w:pPr>
      <w:r>
        <w:t xml:space="preserve">6.1 Rosenbaum Bounds</w:t>
      </w:r>
    </w:p>
    <w:p>
      <w:pPr>
        <w:pStyle w:val="FirstParagraph"/>
      </w:pPr>
      <w:r>
        <w:t xml:space="preserve">Assess sensitivity to unobserved confounding.</w:t>
      </w:r>
    </w:p>
    <w:p>
      <w:pPr>
        <w:pStyle w:val="BodyText"/>
      </w:pPr>
      <w:r>
        <w:t xml:space="preserve">For treatment effect Γ (odds ratio of hidden bias):</w:t>
      </w:r>
    </w:p>
    <w:p>
      <w:pPr>
        <w:pStyle w:val="SourceCode"/>
      </w:pPr>
      <w:r>
        <w:rPr>
          <w:rStyle w:val="VerbatimChar"/>
        </w:rPr>
        <w:t xml:space="preserve">P(p_upper &gt; α | Γ) = robustness to confounding at level Γ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Γ = 1: No hidden bias (randomization)</w:t>
      </w:r>
      <w:r>
        <w:t xml:space="preserve"> </w:t>
      </w:r>
      <w:r>
        <w:t xml:space="preserve">- Γ = 2: Unobserved confounder doubles treatment odds</w:t>
      </w:r>
      <w:r>
        <w:t xml:space="preserve"> </w:t>
      </w:r>
      <w:r>
        <w:t xml:space="preserve">- Critical Γ*: Smallest Γ where p_upper &gt; α</w:t>
      </w:r>
    </w:p>
    <w:bookmarkEnd w:id="47"/>
    <w:bookmarkStart w:id="48" w:name="e-value"/>
    <w:p>
      <w:pPr>
        <w:pStyle w:val="Heading3"/>
      </w:pPr>
      <w:r>
        <w:t xml:space="preserve">6.2 E-Value</w:t>
      </w:r>
    </w:p>
    <w:p>
      <w:pPr>
        <w:pStyle w:val="FirstParagraph"/>
      </w:pPr>
      <w:r>
        <w:t xml:space="preserve">Minimum confounding strength to explain away observed effect:</w:t>
      </w:r>
    </w:p>
    <w:p>
      <w:pPr>
        <w:pStyle w:val="SourceCode"/>
      </w:pPr>
      <w:r>
        <w:rPr>
          <w:rStyle w:val="VerbatimChar"/>
        </w:rPr>
        <w:t xml:space="preserve">E-value = RR + sqrt(RR * (RR - 1))</w:t>
      </w:r>
    </w:p>
    <w:p>
      <w:pPr>
        <w:pStyle w:val="FirstParagraph"/>
      </w:pPr>
      <w:r>
        <w:t xml:space="preserve">Where RR is the risk ratio estimate.</w:t>
      </w:r>
    </w:p>
    <w:p>
      <w:pPr>
        <w:pStyle w:val="BodyText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- E-value = 3: Confounder must have RR ≥ 3 with both treatment and outcome to explain away effect</w:t>
      </w:r>
      <w:r>
        <w:t xml:space="preserve"> </w:t>
      </w:r>
      <w:r>
        <w:t xml:space="preserve">- Higher E-value → more robust to confounding</w:t>
      </w:r>
    </w:p>
    <w:bookmarkEnd w:id="48"/>
    <w:bookmarkStart w:id="49" w:name="instrument-exclusion-tests"/>
    <w:p>
      <w:pPr>
        <w:pStyle w:val="Heading3"/>
      </w:pPr>
      <w:r>
        <w:t xml:space="preserve">6.3 Instrument Exclusion Tests</w:t>
      </w:r>
    </w:p>
    <w:p>
      <w:pPr>
        <w:pStyle w:val="FirstParagraph"/>
      </w:pPr>
      <w:r>
        <w:rPr>
          <w:b/>
          <w:bCs/>
        </w:rPr>
        <w:t xml:space="preserve">Falsification Tests:</w:t>
      </w:r>
      <w:r>
        <w:t xml:space="preserve"> </w:t>
      </w:r>
      <w:r>
        <w:t xml:space="preserve">1. Test Z → pre-treatment outcomes (should be null)</w:t>
      </w:r>
      <w:r>
        <w:t xml:space="preserve"> </w:t>
      </w:r>
      <w:r>
        <w:t xml:space="preserve">2. Test Z → known non-pathway outcomes (should be null)</w:t>
      </w:r>
      <w:r>
        <w:t xml:space="preserve"> </w:t>
      </w:r>
      <w:r>
        <w:t xml:space="preserve">3. Overidentification test (if multiple instruments)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causal-discovery"/>
    <w:p>
      <w:pPr>
        <w:pStyle w:val="Heading2"/>
      </w:pPr>
      <w:r>
        <w:t xml:space="preserve">7. Causal Discovery</w:t>
      </w:r>
    </w:p>
    <w:bookmarkStart w:id="51" w:name="pc-algorithm"/>
    <w:p>
      <w:pPr>
        <w:pStyle w:val="Heading3"/>
      </w:pPr>
      <w:r>
        <w:t xml:space="preserve">7.1 PC Algorithm</w:t>
      </w:r>
    </w:p>
    <w:p>
      <w:pPr>
        <w:pStyle w:val="FirstParagraph"/>
      </w:pPr>
      <w:r>
        <w:t xml:space="preserve">Constraint-based causal discovery:</w:t>
      </w:r>
    </w:p>
    <w:p>
      <w:pPr>
        <w:pStyle w:val="Compact"/>
        <w:numPr>
          <w:ilvl w:val="0"/>
          <w:numId w:val="1006"/>
        </w:numPr>
      </w:pPr>
      <w:r>
        <w:t xml:space="preserve">Start with complete undirected graph</w:t>
      </w:r>
    </w:p>
    <w:p>
      <w:pPr>
        <w:pStyle w:val="Compact"/>
        <w:numPr>
          <w:ilvl w:val="0"/>
          <w:numId w:val="1006"/>
        </w:numPr>
      </w:pPr>
      <w:r>
        <w:t xml:space="preserve">Remove edges based on conditional independence tests</w:t>
      </w:r>
    </w:p>
    <w:p>
      <w:pPr>
        <w:pStyle w:val="Compact"/>
        <w:numPr>
          <w:ilvl w:val="0"/>
          <w:numId w:val="1006"/>
        </w:numPr>
      </w:pPr>
      <w:r>
        <w:t xml:space="preserve">Orient edges using v-structures and propagation rules</w:t>
      </w:r>
    </w:p>
    <w:p>
      <w:pPr>
        <w:pStyle w:val="FirstParagraph"/>
      </w:pPr>
      <w:r>
        <w:rPr>
          <w:b/>
          <w:bCs/>
        </w:rPr>
        <w:t xml:space="preserve">Independence Test:</w:t>
      </w:r>
      <w:r>
        <w:t xml:space="preserve"> </w:t>
      </w:r>
      <w:r>
        <w:t xml:space="preserve">Partial correlation test with Fisher’s z-transformation:</w:t>
      </w:r>
    </w:p>
    <w:p>
      <w:pPr>
        <w:pStyle w:val="SourceCode"/>
      </w:pPr>
      <w:r>
        <w:rPr>
          <w:rStyle w:val="VerbatimChar"/>
        </w:rPr>
        <w:t xml:space="preserve">z = 0.5 * log((1+r)/(1-r)) * sqrt(n-k-3)</w:t>
      </w:r>
    </w:p>
    <w:bookmarkEnd w:id="51"/>
    <w:bookmarkStart w:id="52" w:name="ges-greedy-equivalence-search"/>
    <w:p>
      <w:pPr>
        <w:pStyle w:val="Heading3"/>
      </w:pPr>
      <w:r>
        <w:t xml:space="preserve">7.2 GES (Greedy Equivalence Search)</w:t>
      </w:r>
    </w:p>
    <w:p>
      <w:pPr>
        <w:pStyle w:val="FirstParagraph"/>
      </w:pPr>
      <w:r>
        <w:t xml:space="preserve">Score-based causal discovery:</w:t>
      </w:r>
    </w:p>
    <w:p>
      <w:pPr>
        <w:pStyle w:val="Compact"/>
        <w:numPr>
          <w:ilvl w:val="0"/>
          <w:numId w:val="1007"/>
        </w:numPr>
      </w:pPr>
      <w:r>
        <w:t xml:space="preserve">Forward phase: Add edges that improve BIC score</w:t>
      </w:r>
    </w:p>
    <w:p>
      <w:pPr>
        <w:pStyle w:val="Compact"/>
        <w:numPr>
          <w:ilvl w:val="0"/>
          <w:numId w:val="1007"/>
        </w:numPr>
      </w:pPr>
      <w:r>
        <w:t xml:space="preserve">Backward phase: Remove edges that improve BIC score</w:t>
      </w:r>
    </w:p>
    <w:p>
      <w:pPr>
        <w:pStyle w:val="Compact"/>
        <w:numPr>
          <w:ilvl w:val="0"/>
          <w:numId w:val="1007"/>
        </w:numPr>
      </w:pPr>
      <w:r>
        <w:t xml:space="preserve">Return equivalence class</w:t>
      </w:r>
    </w:p>
    <w:p>
      <w:pPr>
        <w:pStyle w:val="FirstParagraph"/>
      </w:pPr>
      <w:r>
        <w:rPr>
          <w:b/>
          <w:bCs/>
        </w:rPr>
        <w:t xml:space="preserve">BIC Score:</w:t>
      </w:r>
    </w:p>
    <w:p>
      <w:pPr>
        <w:pStyle w:val="SourceCode"/>
      </w:pPr>
      <w:r>
        <w:rPr>
          <w:rStyle w:val="VerbatimChar"/>
        </w:rPr>
        <w:t xml:space="preserve">BIC = -2 * log L + k * log(n)</w:t>
      </w:r>
    </w:p>
    <w:bookmarkEnd w:id="52"/>
    <w:bookmarkStart w:id="53" w:name="bootstrap-stability"/>
    <w:p>
      <w:pPr>
        <w:pStyle w:val="Heading3"/>
      </w:pPr>
      <w:r>
        <w:t xml:space="preserve">7.3 Bootstrap Stability</w:t>
      </w:r>
    </w:p>
    <w:p>
      <w:pPr>
        <w:pStyle w:val="FirstParagraph"/>
      </w:pPr>
      <w:r>
        <w:t xml:space="preserve">Edge stability across bootstrap samples:</w:t>
      </w:r>
    </w:p>
    <w:p>
      <w:pPr>
        <w:pStyle w:val="SourceCode"/>
      </w:pPr>
      <w:r>
        <w:rPr>
          <w:rStyle w:val="VerbatimChar"/>
        </w:rPr>
        <w:t xml:space="preserve">Stability(edge) = #{bootstrap samples with edge} / B</w:t>
      </w:r>
    </w:p>
    <w:p>
      <w:pPr>
        <w:pStyle w:val="FirstParagraph"/>
      </w:pPr>
      <w:r>
        <w:t xml:space="preserve">Threshold: edges with stability &gt; 0.5 are retained.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simulation-parameters"/>
    <w:p>
      <w:pPr>
        <w:pStyle w:val="Heading2"/>
      </w:pPr>
      <w:r>
        <w:t xml:space="preserve">8. Simulation Parameters</w:t>
      </w:r>
    </w:p>
    <w:p>
      <w:pPr>
        <w:pStyle w:val="FirstParagraph"/>
      </w:pPr>
      <w:r>
        <w:t xml:space="preserve">Default values below are taken from the family of parameter files in</w:t>
      </w:r>
      <w:r>
        <w:t xml:space="preserve"> </w:t>
      </w:r>
      <w:r>
        <w:rPr>
          <w:rStyle w:val="VerbatimChar"/>
        </w:rPr>
        <w:t xml:space="preserve">causanta/simulate/params/</w:t>
      </w:r>
      <w:r>
        <w:t xml:space="preserve"> </w:t>
      </w:r>
      <w:r>
        <w:t xml:space="preserve">used in the multi-scale reliability sweep: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56"/>
        <w:gridCol w:w="459"/>
        <w:gridCol w:w="573"/>
        <w:gridCol w:w="516"/>
        <w:gridCol w:w="516"/>
        <w:gridCol w:w="2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family</w:t>
            </w:r>
          </w:p>
        </w:tc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Total hr</w:t>
            </w:r>
          </w:p>
        </w:tc>
        <w:tc>
          <w:tcPr/>
          <w:p>
            <w:pPr>
              <w:pStyle w:val="Compact"/>
            </w:pPr>
            <w:r>
              <w:t xml:space="preserve">Burn-in</w:t>
            </w:r>
          </w:p>
        </w:tc>
        <w:tc>
          <w:tcPr/>
          <w:p>
            <w:pPr>
              <w:pStyle w:val="Compact"/>
            </w:pPr>
            <w:r>
              <w:t xml:space="preserve">n seeds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robustness_{baseline,reduced,removed}.json</w:t>
            </w:r>
          </w:p>
        </w:tc>
        <w:tc>
          <w:tcPr/>
          <w:p>
            <w:pPr>
              <w:pStyle w:val="Compact"/>
            </w:pPr>
            <w:r>
              <w:t xml:space="preserve">1 mm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 (42)</w:t>
            </w:r>
          </w:p>
        </w:tc>
        <w:tc>
          <w:tcPr/>
          <w:p>
            <w:pPr>
              <w:pStyle w:val="Compact"/>
            </w:pPr>
            <w:r>
              <w:t xml:space="preserve">small-domain calibration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large_{baseline,reduced,removed}.json</w:t>
            </w:r>
          </w:p>
        </w:tc>
        <w:tc>
          <w:tcPr/>
          <w:p>
            <w:pPr>
              <w:pStyle w:val="Compact"/>
            </w:pPr>
            <w:r>
              <w:t xml:space="preserve">2 mm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 (42)</w:t>
            </w:r>
          </w:p>
        </w:tc>
        <w:tc>
          <w:tcPr/>
          <w:p>
            <w:pPr>
              <w:pStyle w:val="Compact"/>
            </w:pPr>
            <w:r>
              <w:t xml:space="preserve">mid-scale single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xlarge_{baseline,reduced,removed}.json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 (42)</w:t>
            </w:r>
          </w:p>
        </w:tc>
        <w:tc>
          <w:tcPr/>
          <w:p>
            <w:pPr>
              <w:pStyle w:val="Compact"/>
            </w:pPr>
            <w:r>
              <w:t xml:space="preserve">publication-scale single seed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multiseed_2mm_{baseline,reduced,removed}_seed{43-46}.json</w:t>
            </w:r>
          </w:p>
        </w:tc>
        <w:tc>
          <w:tcPr/>
          <w:p>
            <w:pPr>
              <w:pStyle w:val="Compact"/>
            </w:pPr>
            <w:r>
              <w:t xml:space="preserve">2 mm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 mm reliability bounds (n = 5 with seed 42)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multiseed_6mm_{baseline,reduced,removed}_seed{43-46}.json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 mm reliability bounds (n = 5 with seed 42)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egfr_hypoxia_upregulation</w:t>
      </w:r>
      <w:r>
        <w:t xml:space="preserve"> </w:t>
      </w:r>
      <w:r>
        <w:t xml:space="preserve">parameter (κ_hyp) takes values 1.5 / 0.5 / 0.0 for the baseline / reduced / removed scenarios respectively.</w:t>
      </w:r>
    </w:p>
    <w:bookmarkStart w:id="55" w:name="domain-configuration"/>
    <w:p>
      <w:pPr>
        <w:pStyle w:val="Heading3"/>
      </w:pPr>
      <w:r>
        <w:t xml:space="preserve">8.1 Domain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1 mm</w:t>
            </w:r>
          </w:p>
        </w:tc>
        <w:tc>
          <w:tcPr/>
          <w:p>
            <w:pPr>
              <w:pStyle w:val="Compact"/>
            </w:pPr>
            <w:r>
              <w:t xml:space="preserve">2 mm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width_um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Domain width (μm)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height_um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6000</w:t>
            </w:r>
          </w:p>
        </w:tc>
        <w:tc>
          <w:tcPr/>
          <w:p>
            <w:pPr>
              <w:pStyle w:val="Compact"/>
            </w:pPr>
            <w:r>
              <w:t xml:space="preserve">Domain height (μm)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env_grid_um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Environment grid spacing (μm)</w:t>
            </w:r>
          </w:p>
        </w:tc>
      </w:tr>
    </w:tbl>
    <w:bookmarkEnd w:id="55"/>
    <w:bookmarkStart w:id="56" w:name="time-configuration"/>
    <w:p>
      <w:pPr>
        <w:pStyle w:val="Heading3"/>
      </w:pPr>
      <w:r>
        <w:t xml:space="preserve">8.2 Time Configuration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5"/>
        <w:gridCol w:w="565"/>
        <w:gridCol w:w="565"/>
        <w:gridCol w:w="565"/>
        <w:gridCol w:w="43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1 mm</w:t>
            </w:r>
          </w:p>
        </w:tc>
        <w:tc>
          <w:tcPr/>
          <w:p>
            <w:pPr>
              <w:pStyle w:val="Compact"/>
            </w:pPr>
            <w:r>
              <w:t xml:space="preserve">2 mm</w:t>
            </w:r>
          </w:p>
        </w:tc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total_hours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Simulation duration (hr)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dt_diffusion_hr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Diffusion sub-step (36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output_interval_hr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Output frequency (hr)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burnin_hours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Burn-in equilibration before t = 0 (hr)</w:t>
            </w:r>
          </w:p>
        </w:tc>
      </w:tr>
    </w:tbl>
    <w:bookmarkEnd w:id="56"/>
    <w:bookmarkStart w:id="57" w:name="X4032028beb368cd9cb84daf3a429e060b4c0a4d"/>
    <w:p>
      <w:pPr>
        <w:pStyle w:val="Heading3"/>
      </w:pPr>
      <w:r>
        <w:t xml:space="preserve">8.3 Cell Type Parameters (canonical 6 mm publication configuration)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9"/>
        <w:gridCol w:w="979"/>
        <w:gridCol w:w="1632"/>
        <w:gridCol w:w="1796"/>
        <w:gridCol w:w="20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 Type</w:t>
            </w:r>
          </w:p>
        </w:tc>
        <w:tc>
          <w:tcPr/>
          <w:p>
            <w:pPr>
              <w:pStyle w:val="Compact"/>
            </w:pPr>
            <w:r>
              <w:t xml:space="preserve">Can Divide</w:t>
            </w:r>
          </w:p>
        </w:tc>
        <w:tc>
          <w:tcPr/>
          <w:p>
            <w:pPr>
              <w:pStyle w:val="Compact"/>
            </w:pPr>
            <w:r>
              <w:t xml:space="preserve">Division Time (hr)</w:t>
            </w:r>
          </w:p>
        </w:tc>
        <w:tc>
          <w:tcPr/>
          <w:p>
            <w:pPr>
              <w:pStyle w:val="Compact"/>
            </w:pPr>
            <w:r>
              <w:t xml:space="preserve">Apoptosis Rate (/hr)</w:t>
            </w:r>
          </w:p>
        </w:tc>
        <w:tc>
          <w:tcPr/>
          <w:p>
            <w:pPr>
              <w:pStyle w:val="Compact"/>
            </w:pPr>
            <w:r>
              <w:t xml:space="preserve">Migration Speed (μm/hr)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1e-4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Astrocyte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168 ± 24</w:t>
            </w:r>
          </w:p>
        </w:tc>
        <w:tc>
          <w:tcPr/>
          <w:p>
            <w:pPr>
              <w:pStyle w:val="Compact"/>
            </w:pPr>
            <w:r>
              <w:t xml:space="preserve">1e-4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Oligodendrocyte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1e-4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Microglia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1e-4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Endothelial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60 ± 12</w:t>
            </w:r>
          </w:p>
        </w:tc>
        <w:tc>
          <w:tcPr/>
          <w:p>
            <w:pPr>
              <w:pStyle w:val="Compact"/>
            </w:pPr>
            <w:r>
              <w:t xml:space="preserve">1e-4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Pericyte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1e-4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Tumor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 ± 8</w:t>
            </w:r>
          </w:p>
        </w:tc>
        <w:tc>
          <w:tcPr/>
          <w:p>
            <w:pPr>
              <w:pStyle w:val="Compact"/>
            </w:pPr>
            <w:r>
              <w:t xml:space="preserve">5e-5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RecruitedImmune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36 ± 8</w:t>
            </w:r>
          </w:p>
        </w:tc>
        <w:tc>
          <w:tcPr/>
          <w:p>
            <w:pPr>
              <w:pStyle w:val="Compact"/>
            </w:pPr>
            <w:r>
              <w:t xml:space="preserve">1e-3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Necrotic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(Tumor division time is 24 hr in the publication-scale runs to match the doubling time observed in GBM clinical samples. The legacy 36 hr value appears in</w:t>
      </w:r>
      <w:r>
        <w:t xml:space="preserve"> </w:t>
      </w:r>
      <w:r>
        <w:rPr>
          <w:rStyle w:val="VerbatimChar"/>
        </w:rPr>
        <w:t xml:space="preserve">default.json</w:t>
      </w:r>
      <w:r>
        <w:t xml:space="preserve"> </w:t>
      </w:r>
      <w:r>
        <w:t xml:space="preserve">for backwards compatibility but is not used for any reported result.)</w:t>
      </w:r>
    </w:p>
    <w:bookmarkEnd w:id="57"/>
    <w:bookmarkStart w:id="58" w:name="ecdna-parameters"/>
    <w:p>
      <w:pPr>
        <w:pStyle w:val="Heading3"/>
      </w:pPr>
      <w:r>
        <w:t xml:space="preserve">8.4 ecDNA 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1788"/>
        <w:gridCol w:w="33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copies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Starting ecDNA in seed tumor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Segregation p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Binomial probability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 (effect on division)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T_eff = T_base / (1 + α·log₂(1 + ecDNA))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β (effect on VEGF)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VEGF_eff = VEGF_base × (1 + β·ecDNA)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δ (effect on migration)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v_eff = v_base × (1 + δ·ecDNA)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γ (effect on survival)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a_eff = a_base / (1 + γ·ecDNA)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3" w:name="success-criteria"/>
    <w:p>
      <w:pPr>
        <w:pStyle w:val="Heading2"/>
      </w:pPr>
      <w:r>
        <w:t xml:space="preserve">9. Success Criteria</w:t>
      </w:r>
    </w:p>
    <w:bookmarkStart w:id="60" w:name="publication-ready-metrics"/>
    <w:p>
      <w:pPr>
        <w:pStyle w:val="Heading3"/>
      </w:pPr>
      <w:r>
        <w:t xml:space="preserve">9.1 Publication-Ready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 Accuracy</w:t>
            </w:r>
          </w:p>
        </w:tc>
        <w:tc>
          <w:tcPr/>
          <w:p>
            <w:pPr>
              <w:pStyle w:val="Compact"/>
            </w:pPr>
            <w:r>
              <w:t xml:space="preserve">&lt;15% bias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CI Coverage</w:t>
            </w:r>
          </w:p>
        </w:tc>
        <w:tc>
          <w:tcPr/>
          <w:p>
            <w:pPr>
              <w:pStyle w:val="Compact"/>
            </w:pPr>
            <w:r>
              <w:t xml:space="preserve">≥90%</w:t>
            </w:r>
          </w:p>
        </w:tc>
        <w:tc>
          <w:tcPr/>
          <w:p>
            <w:pPr>
              <w:pStyle w:val="Compact"/>
            </w:pPr>
            <w:r>
              <w:t xml:space="preserve">Fraction containing true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≥80%</w:t>
            </w:r>
          </w:p>
        </w:tc>
        <w:tc>
          <w:tcPr/>
          <w:p>
            <w:pPr>
              <w:pStyle w:val="Compact"/>
            </w:pPr>
            <w:r>
              <w:t xml:space="preserve">At δ = 0.05, n = 1000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Segregation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  <w:tc>
          <w:tcPr/>
          <w:p>
            <w:pPr>
              <w:pStyle w:val="Compact"/>
            </w:pPr>
            <w:r>
              <w:t xml:space="preserve">KS test vs Binomial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First-stage F</w:t>
            </w:r>
          </w:p>
        </w:tc>
        <w:tc>
          <w:tcPr/>
          <w:p>
            <w:pPr>
              <w:pStyle w:val="Compact"/>
            </w:pPr>
            <w:r>
              <w:t xml:space="preserve">&gt;10</w:t>
            </w:r>
          </w:p>
        </w:tc>
        <w:tc>
          <w:tcPr/>
          <w:p>
            <w:pPr>
              <w:pStyle w:val="Compact"/>
            </w:pPr>
            <w:r>
              <w:t xml:space="preserve">Standard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E-value</w:t>
            </w:r>
          </w:p>
        </w:tc>
        <w:tc>
          <w:tcPr/>
          <w:p>
            <w:pPr>
              <w:pStyle w:val="Compact"/>
            </w:pPr>
            <w:r>
              <w:t xml:space="preserve">&gt;2.0</w:t>
            </w:r>
          </w:p>
        </w:tc>
        <w:tc>
          <w:tcPr/>
          <w:p>
            <w:pPr>
              <w:pStyle w:val="Compact"/>
            </w:pPr>
            <w:r>
              <w:t xml:space="preserve">Robustness to confounding</w:t>
            </w:r>
          </w:p>
        </w:tc>
      </w:tr>
    </w:tbl>
    <w:bookmarkEnd w:id="60"/>
    <w:bookmarkStart w:id="61" w:name="X3605f2d06c6cae26e58d83d4552900698ba3d0c"/>
    <w:p>
      <w:pPr>
        <w:pStyle w:val="Heading3"/>
      </w:pPr>
      <w:r>
        <w:t xml:space="preserve">9.5 Multi-Seed Reliability Bounds (canonical run set, 30 simulations)</w:t>
      </w:r>
    </w:p>
    <w:p>
      <w:pPr>
        <w:pStyle w:val="FirstParagraph"/>
      </w:pPr>
      <w:r>
        <w:t xml:space="preserve">The values below are aggregated from</w:t>
      </w:r>
      <w:r>
        <w:t xml:space="preserve"> </w:t>
      </w:r>
      <w:r>
        <w:rPr>
          <w:rStyle w:val="VerbatimChar"/>
        </w:rPr>
        <w:t xml:space="preserve">output/multiseed_full_results.json</w:t>
      </w:r>
      <w:r>
        <w:t xml:space="preserve"> </w:t>
      </w:r>
      <w:r>
        <w:t xml:space="preserve">(n = 5 seeds per (scale, scenario) cell). Discovery uses</w:t>
      </w:r>
      <w:r>
        <w:t xml:space="preserve"> </w:t>
      </w:r>
      <w:r>
        <w:rPr>
          <w:rStyle w:val="VerbatimChar"/>
        </w:rPr>
        <w:t xml:space="preserve">is_hypoxic</w:t>
      </w:r>
      <w:r>
        <w:t xml:space="preserve"> </w:t>
      </w:r>
      <w:r>
        <w:t xml:space="preserve">with scenario-aware ground truth (5 edges for baseline / reduced; 4 edges for removed). The bias % column is (OLS − IV) / IV × 100. Full per-seed values are reproduced in the main manuscript’s Table 2.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52"/>
        <w:gridCol w:w="931"/>
        <w:gridCol w:w="1211"/>
        <w:gridCol w:w="1304"/>
        <w:gridCol w:w="1304"/>
        <w:gridCol w:w="1211"/>
        <w:gridCol w:w="13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HIF (κ_hyp)</w:t>
            </w:r>
          </w:p>
        </w:tc>
        <w:tc>
          <w:tcPr/>
          <w:p>
            <w:pPr>
              <w:pStyle w:val="Compact"/>
            </w:pPr>
            <w:r>
              <w:t xml:space="preserve">OLS β</w:t>
            </w:r>
          </w:p>
        </w:tc>
        <w:tc>
          <w:tcPr/>
          <w:p>
            <w:pPr>
              <w:pStyle w:val="Compact"/>
            </w:pPr>
            <w:r>
              <w:t xml:space="preserve">IV β</w:t>
            </w:r>
          </w:p>
        </w:tc>
        <w:tc>
          <w:tcPr/>
          <w:p>
            <w:pPr>
              <w:pStyle w:val="Compact"/>
            </w:pPr>
            <w:r>
              <w:t xml:space="preserve">OLS bias %</w:t>
            </w:r>
          </w:p>
        </w:tc>
        <w:tc>
          <w:tcPr/>
          <w:p>
            <w:pPr>
              <w:pStyle w:val="Compac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mm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4.199 ± 0.133</w:t>
            </w:r>
          </w:p>
        </w:tc>
        <w:tc>
          <w:tcPr/>
          <w:p>
            <w:pPr>
              <w:pStyle w:val="Compact"/>
            </w:pPr>
            <w:r>
              <w:t xml:space="preserve">3.981 ± 0.098</w:t>
            </w:r>
          </w:p>
        </w:tc>
        <w:tc>
          <w:tcPr/>
          <w:p>
            <w:pPr>
              <w:pStyle w:val="Compact"/>
            </w:pPr>
            <w:r>
              <w:t xml:space="preserve">+5.5 ± 1.4</w:t>
            </w:r>
          </w:p>
        </w:tc>
        <w:tc>
          <w:tcPr/>
          <w:p>
            <w:pPr>
              <w:pStyle w:val="Compact"/>
            </w:pPr>
            <w:r>
              <w:t xml:space="preserve">1.000 ±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mm</w:t>
            </w:r>
          </w:p>
        </w:tc>
        <w:tc>
          <w:tcPr/>
          <w:p>
            <w:pPr>
              <w:pStyle w:val="Compact"/>
            </w:pPr>
            <w:r>
              <w:t xml:space="preserve">reduced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5.611 ± 0.210</w:t>
            </w:r>
          </w:p>
        </w:tc>
        <w:tc>
          <w:tcPr/>
          <w:p>
            <w:pPr>
              <w:pStyle w:val="Compact"/>
            </w:pPr>
            <w:r>
              <w:t xml:space="preserve">5.277 ± 0.162</w:t>
            </w:r>
          </w:p>
        </w:tc>
        <w:tc>
          <w:tcPr/>
          <w:p>
            <w:pPr>
              <w:pStyle w:val="Compact"/>
            </w:pPr>
            <w:r>
              <w:t xml:space="preserve">+6.3 ± 1.8</w:t>
            </w:r>
          </w:p>
        </w:tc>
        <w:tc>
          <w:tcPr/>
          <w:p>
            <w:pPr>
              <w:pStyle w:val="Compact"/>
            </w:pPr>
            <w:r>
              <w:t xml:space="preserve">0.874 ± 0.118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mm</w:t>
            </w:r>
          </w:p>
        </w:tc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6.397 ± 0.150</w:t>
            </w:r>
          </w:p>
        </w:tc>
        <w:tc>
          <w:tcPr/>
          <w:p>
            <w:pPr>
              <w:pStyle w:val="Compact"/>
            </w:pPr>
            <w:r>
              <w:t xml:space="preserve">6.455 ± 0.136</w:t>
            </w:r>
          </w:p>
        </w:tc>
        <w:tc>
          <w:tcPr/>
          <w:p>
            <w:pPr>
              <w:pStyle w:val="Compact"/>
            </w:pPr>
            <w:r>
              <w:t xml:space="preserve">−0.9 ± 0.3</w:t>
            </w:r>
          </w:p>
        </w:tc>
        <w:tc>
          <w:tcPr/>
          <w:p>
            <w:pPr>
              <w:pStyle w:val="Compact"/>
            </w:pPr>
            <w:r>
              <w:t xml:space="preserve">0.889 ±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baseline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4.113 ± 0.128</w:t>
            </w:r>
          </w:p>
        </w:tc>
        <w:tc>
          <w:tcPr/>
          <w:p>
            <w:pPr>
              <w:pStyle w:val="Compact"/>
            </w:pPr>
            <w:r>
              <w:t xml:space="preserve">3.642 ± 0.110</w:t>
            </w:r>
          </w:p>
        </w:tc>
        <w:tc>
          <w:tcPr/>
          <w:p>
            <w:pPr>
              <w:pStyle w:val="Compact"/>
            </w:pPr>
            <w:r>
              <w:t xml:space="preserve">+12.9 ± 0.5</w:t>
            </w:r>
          </w:p>
        </w:tc>
        <w:tc>
          <w:tcPr/>
          <w:p>
            <w:pPr>
              <w:pStyle w:val="Compact"/>
            </w:pPr>
            <w:r>
              <w:t xml:space="preserve">1.000 ± 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reduced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5.080 ± 0.072</w:t>
            </w:r>
          </w:p>
        </w:tc>
        <w:tc>
          <w:tcPr/>
          <w:p>
            <w:pPr>
              <w:pStyle w:val="Compact"/>
            </w:pPr>
            <w:r>
              <w:t xml:space="preserve">4.943 ± 0.137</w:t>
            </w:r>
          </w:p>
        </w:tc>
        <w:tc>
          <w:tcPr/>
          <w:p>
            <w:pPr>
              <w:pStyle w:val="Compact"/>
            </w:pPr>
            <w:r>
              <w:t xml:space="preserve">+2.8 ± 1.7</w:t>
            </w:r>
          </w:p>
        </w:tc>
        <w:tc>
          <w:tcPr/>
          <w:p>
            <w:pPr>
              <w:pStyle w:val="Compact"/>
            </w:pPr>
            <w:r>
              <w:t xml:space="preserve">0.909 ± 0.203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mm</w:t>
            </w:r>
          </w:p>
        </w:tc>
        <w:tc>
          <w:tcPr/>
          <w:p>
            <w:pPr>
              <w:pStyle w:val="Compact"/>
            </w:pPr>
            <w:r>
              <w:t xml:space="preserve">removed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5.965 ± 0.230</w:t>
            </w:r>
          </w:p>
        </w:tc>
        <w:tc>
          <w:tcPr/>
          <w:p>
            <w:pPr>
              <w:pStyle w:val="Compact"/>
            </w:pPr>
            <w:r>
              <w:t xml:space="preserve">6.030 ± 0.217</w:t>
            </w:r>
          </w:p>
        </w:tc>
        <w:tc>
          <w:tcPr/>
          <w:p>
            <w:pPr>
              <w:pStyle w:val="Compact"/>
            </w:pPr>
            <w:r>
              <w:t xml:space="preserve">−1.1 ± 0.4</w:t>
            </w:r>
          </w:p>
        </w:tc>
        <w:tc>
          <w:tcPr/>
          <w:p>
            <w:pPr>
              <w:pStyle w:val="Compact"/>
            </w:pPr>
            <w:r>
              <w:t xml:space="preserve">0.824 ± 0.089</w:t>
            </w:r>
          </w:p>
        </w:tc>
      </w:tr>
    </w:tbl>
    <w:p>
      <w:pPr>
        <w:pStyle w:val="BodyText"/>
      </w:pPr>
      <w:r>
        <w:t xml:space="preserve">First-stage F-statistics across the 30 sims range from 37,810 to 229,655. Time-resolved analysis at five intermediate timesteps per run (</w:t>
      </w:r>
      <w:r>
        <w:rPr>
          <w:rStyle w:val="VerbatimChar"/>
        </w:rPr>
        <w:t xml:space="preserve">output/multiseed_timeseries_results.json</w:t>
      </w:r>
      <w:r>
        <w:t xml:space="preserve">, Figure 7 of the main manuscript) shows F1 increasing monotonically and OLS bias decreasing as the tumor matures.</w:t>
      </w:r>
    </w:p>
    <w:bookmarkEnd w:id="61"/>
    <w:bookmarkStart w:id="62" w:name="validation-benchmarks"/>
    <w:p>
      <w:pPr>
        <w:pStyle w:val="Heading3"/>
      </w:pPr>
      <w:r>
        <w:t xml:space="preserve">9.2 Validation Benchmarks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Segregation Validation:</w:t>
      </w:r>
    </w:p>
    <w:p>
      <w:pPr>
        <w:pStyle w:val="Compact"/>
        <w:numPr>
          <w:ilvl w:val="1"/>
          <w:numId w:val="1009"/>
        </w:numPr>
      </w:pPr>
      <w:r>
        <w:t xml:space="preserve">Mean daughter fraction: 0.50 ± 0.02</w:t>
      </w:r>
    </w:p>
    <w:p>
      <w:pPr>
        <w:pStyle w:val="Compact"/>
        <w:numPr>
          <w:ilvl w:val="1"/>
          <w:numId w:val="1009"/>
        </w:numPr>
      </w:pPr>
      <w:r>
        <w:t xml:space="preserve">Variance matches Binomial prediction</w:t>
      </w:r>
    </w:p>
    <w:p>
      <w:pPr>
        <w:pStyle w:val="Compact"/>
        <w:numPr>
          <w:ilvl w:val="1"/>
          <w:numId w:val="1009"/>
        </w:numPr>
      </w:pPr>
      <w:r>
        <w:t xml:space="preserve">No trend with parent ecDNA count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 Stage Strength:</w:t>
      </w:r>
    </w:p>
    <w:p>
      <w:pPr>
        <w:pStyle w:val="Compact"/>
        <w:numPr>
          <w:ilvl w:val="1"/>
          <w:numId w:val="1010"/>
        </w:numPr>
      </w:pPr>
      <w:r>
        <w:t xml:space="preserve">F &gt; 100 (very strong by design)</w:t>
      </w:r>
    </w:p>
    <w:p>
      <w:pPr>
        <w:pStyle w:val="Compact"/>
        <w:numPr>
          <w:ilvl w:val="1"/>
          <w:numId w:val="1010"/>
        </w:numPr>
      </w:pPr>
      <w:r>
        <w:t xml:space="preserve">R² &gt; 0.80 for ecDNA → EGFR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Effect Recovery:</w:t>
      </w:r>
    </w:p>
    <w:p>
      <w:pPr>
        <w:pStyle w:val="Compact"/>
        <w:numPr>
          <w:ilvl w:val="1"/>
          <w:numId w:val="1011"/>
        </w:numPr>
      </w:pPr>
      <w:r>
        <w:t>β (VEGF) and δ (migration) recovered within 2 SE by 2SLS in every scenario (per-cell phenotypes); α (division) recovered from inter-division intervals on the κ_hyp = 0 runs (0.323/0.307 vs 0.30); γ (survival) not identified — negligible apoptosis (5e-5/hr) leaves no survival selection</w:t>
      </w:r>
    </w:p>
    <w:p>
      <w:pPr>
        <w:pStyle w:val="Compact"/>
        <w:numPr>
          <w:ilvl w:val="1"/>
          <w:numId w:val="1011"/>
        </w:numPr>
      </w:pPr>
      <w:r>
        <w:t xml:space="preserve">IV estimates unbiased, OLS estimates show confounding bias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Heterogeneity Detection:</w:t>
      </w:r>
    </w:p>
    <w:p>
      <w:pPr>
        <w:pStyle w:val="Compact"/>
        <w:numPr>
          <w:ilvl w:val="1"/>
          <w:numId w:val="1012"/>
        </w:numPr>
      </w:pPr>
      <w:r>
        <w:t xml:space="preserve">Detect planted heterogeneity when effect varies by region</w:t>
      </w:r>
    </w:p>
    <w:p>
      <w:pPr>
        <w:pStyle w:val="Compact"/>
        <w:numPr>
          <w:ilvl w:val="1"/>
          <w:numId w:val="1012"/>
        </w:numPr>
      </w:pPr>
      <w:r>
        <w:t xml:space="preserve">Q-test sensitive to true heterogeneity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oftware-implementation"/>
    <w:p>
      <w:pPr>
        <w:pStyle w:val="Heading2"/>
      </w:pPr>
      <w:r>
        <w:t xml:space="preserve">10. Software Implementation</w:t>
      </w:r>
    </w:p>
    <w:bookmarkStart w:id="64" w:name="module-structure"/>
    <w:p>
      <w:pPr>
        <w:pStyle w:val="Heading3"/>
      </w:pPr>
      <w:r>
        <w:t xml:space="preserve">10.1 Module Structure</w:t>
      </w:r>
    </w:p>
    <w:p>
      <w:pPr>
        <w:pStyle w:val="SourceCode"/>
      </w:pPr>
      <w:r>
        <w:rPr>
          <w:rStyle w:val="VerbatimChar"/>
        </w:rPr>
        <w:t xml:space="preserve">causanta/</w:t>
      </w:r>
      <w:r>
        <w:br/>
      </w:r>
      <w:r>
        <w:rPr>
          <w:rStyle w:val="VerbatimChar"/>
        </w:rPr>
        <w:t xml:space="preserve">├── simulate/</w:t>
      </w:r>
      <w:r>
        <w:br/>
      </w:r>
      <w:r>
        <w:rPr>
          <w:rStyle w:val="VerbatimChar"/>
        </w:rPr>
        <w:t xml:space="preserve">│   ├── core.py          # Main simulation loop</w:t>
      </w:r>
      <w:r>
        <w:br/>
      </w:r>
      <w:r>
        <w:rPr>
          <w:rStyle w:val="VerbatimChar"/>
        </w:rPr>
        <w:t xml:space="preserve">│   ├── ecdna.py         # ecDNA segregation model</w:t>
      </w:r>
      <w:r>
        <w:br/>
      </w:r>
      <w:r>
        <w:rPr>
          <w:rStyle w:val="VerbatimChar"/>
        </w:rPr>
        <w:t xml:space="preserve">│   ├── sweep.py         # Parameter sweep system</w:t>
      </w:r>
      <w:r>
        <w:br/>
      </w:r>
      <w:r>
        <w:rPr>
          <w:rStyle w:val="VerbatimChar"/>
        </w:rPr>
        <w:t xml:space="preserve">│   └── params/          # Configuration files</w:t>
      </w:r>
      <w:r>
        <w:br/>
      </w:r>
      <w:r>
        <w:rPr>
          <w:rStyle w:val="VerbatimChar"/>
        </w:rPr>
        <w:t xml:space="preserve">├── analyze/</w:t>
      </w:r>
      <w:r>
        <w:br/>
      </w:r>
      <w:r>
        <w:rPr>
          <w:rStyle w:val="VerbatimChar"/>
        </w:rPr>
        <w:t xml:space="preserve">│   ├── iv.py            # 2SLS estimation + diagnostics</w:t>
      </w:r>
      <w:r>
        <w:br/>
      </w:r>
      <w:r>
        <w:rPr>
          <w:rStyle w:val="VerbatimChar"/>
        </w:rPr>
        <w:t xml:space="preserve">│   ├── bootstrap.py     # BCa confidence intervals</w:t>
      </w:r>
      <w:r>
        <w:br/>
      </w:r>
      <w:r>
        <w:rPr>
          <w:rStyle w:val="VerbatimChar"/>
        </w:rPr>
        <w:t xml:space="preserve">│   ├── power.py         # Power analysis</w:t>
      </w:r>
      <w:r>
        <w:br/>
      </w:r>
      <w:r>
        <w:rPr>
          <w:rStyle w:val="VerbatimChar"/>
        </w:rPr>
        <w:t xml:space="preserve">│   ├── heterogeneity.py # Stratified IV analysis</w:t>
      </w:r>
      <w:r>
        <w:br/>
      </w:r>
      <w:r>
        <w:rPr>
          <w:rStyle w:val="VerbatimChar"/>
        </w:rPr>
        <w:t xml:space="preserve">│   ├── effects.py       # Effect estimation</w:t>
      </w:r>
      <w:r>
        <w:br/>
      </w:r>
      <w:r>
        <w:rPr>
          <w:rStyle w:val="VerbatimChar"/>
        </w:rPr>
        <w:t xml:space="preserve">│   └── loader.py        # Data loading utilities</w:t>
      </w:r>
      <w:r>
        <w:br/>
      </w:r>
      <w:r>
        <w:rPr>
          <w:rStyle w:val="VerbatimChar"/>
        </w:rPr>
        <w:t xml:space="preserve">└── visualize/</w:t>
      </w:r>
      <w:r>
        <w:br/>
      </w:r>
      <w:r>
        <w:rPr>
          <w:rStyle w:val="VerbatimChar"/>
        </w:rPr>
        <w:t xml:space="preserve">    ├── nature_style.py  # Publication styling</w:t>
      </w:r>
      <w:r>
        <w:br/>
      </w:r>
      <w:r>
        <w:rPr>
          <w:rStyle w:val="VerbatimChar"/>
        </w:rPr>
        <w:t xml:space="preserve">    └── causal_figures.py # Figure generation</w:t>
      </w:r>
    </w:p>
    <w:bookmarkEnd w:id="64"/>
    <w:bookmarkStart w:id="65" w:name="dependencies"/>
    <w:p>
      <w:pPr>
        <w:pStyle w:val="Heading3"/>
      </w:pPr>
      <w:r>
        <w:t xml:space="preserve">10.2 Dependencies</w:t>
      </w:r>
    </w:p>
    <w:p>
      <w:pPr>
        <w:pStyle w:val="Compact"/>
        <w:numPr>
          <w:ilvl w:val="0"/>
          <w:numId w:val="1013"/>
        </w:numPr>
      </w:pPr>
      <w:r>
        <w:t xml:space="preserve">Python ≥ 3.9</w:t>
      </w:r>
    </w:p>
    <w:p>
      <w:pPr>
        <w:pStyle w:val="Compact"/>
        <w:numPr>
          <w:ilvl w:val="0"/>
          <w:numId w:val="1013"/>
        </w:numPr>
      </w:pPr>
      <w:r>
        <w:t xml:space="preserve">NumPy ≥ 1.21</w:t>
      </w:r>
    </w:p>
    <w:p>
      <w:pPr>
        <w:pStyle w:val="Compact"/>
        <w:numPr>
          <w:ilvl w:val="0"/>
          <w:numId w:val="1013"/>
        </w:numPr>
      </w:pPr>
      <w:r>
        <w:t xml:space="preserve">SciPy ≥ 1.7</w:t>
      </w:r>
    </w:p>
    <w:p>
      <w:pPr>
        <w:pStyle w:val="Compact"/>
        <w:numPr>
          <w:ilvl w:val="0"/>
          <w:numId w:val="1013"/>
        </w:numPr>
      </w:pPr>
      <w:r>
        <w:t xml:space="preserve">Matplotlib ≥ 3.5</w:t>
      </w:r>
    </w:p>
    <w:p>
      <w:pPr>
        <w:pStyle w:val="Compact"/>
        <w:numPr>
          <w:ilvl w:val="0"/>
          <w:numId w:val="1013"/>
        </w:numPr>
      </w:pPr>
      <w:r>
        <w:t xml:space="preserve">(Optional) causal-learn for PC/GES algorithms</w:t>
      </w:r>
    </w:p>
    <w:bookmarkEnd w:id="65"/>
    <w:bookmarkStart w:id="66" w:name="reproducibility"/>
    <w:p>
      <w:pPr>
        <w:pStyle w:val="Heading3"/>
      </w:pPr>
      <w:r>
        <w:t xml:space="preserve">10.3 Reproducibility</w:t>
      </w:r>
    </w:p>
    <w:p>
      <w:pPr>
        <w:pStyle w:val="FirstParagraph"/>
      </w:pPr>
      <w:r>
        <w:t xml:space="preserve">All simulations use:</w:t>
      </w:r>
      <w:r>
        <w:t xml:space="preserve"> </w:t>
      </w:r>
      <w:r>
        <w:t xml:space="preserve">- Fixed random seed (default: 42)</w:t>
      </w:r>
      <w:r>
        <w:t xml:space="preserve"> </w:t>
      </w:r>
      <w:r>
        <w:t xml:space="preserve">- Deterministic NumPy operations where possible</w:t>
      </w:r>
      <w:r>
        <w:t xml:space="preserve"> </w:t>
      </w:r>
      <w:r>
        <w:t xml:space="preserve">- Version-pinned dependencies</w:t>
      </w:r>
    </w:p>
    <w:bookmarkEnd w:id="66"/>
    <w:bookmarkStart w:id="67" w:name="computational-requirements"/>
    <w:p>
      <w:pPr>
        <w:pStyle w:val="Heading3"/>
      </w:pPr>
      <w:r>
        <w:t xml:space="preserve">10.4 Computational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 Type</w:t>
            </w:r>
          </w:p>
        </w:tc>
        <w:tc>
          <w:tcPr/>
          <w:p>
            <w:pPr>
              <w:pStyle w:val="Compact"/>
            </w:pPr>
            <w:r>
              <w:t xml:space="preserve">Estimated Runtime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simulation (200hr)</w:t>
            </w:r>
          </w:p>
        </w:tc>
        <w:tc>
          <w:tcPr/>
          <w:p>
            <w:pPr>
              <w:pStyle w:val="Compact"/>
            </w:pPr>
            <w:r>
              <w:t xml:space="preserve">~5 min</w:t>
            </w:r>
          </w:p>
        </w:tc>
        <w:tc>
          <w:tcPr/>
          <w:p>
            <w:pPr>
              <w:pStyle w:val="Compact"/>
            </w:pPr>
            <w:r>
              <w:t xml:space="preserve">~500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 validation (20 reps)</w:t>
            </w:r>
          </w:p>
        </w:tc>
        <w:tc>
          <w:tcPr/>
          <w:p>
            <w:pPr>
              <w:pStyle w:val="Compact"/>
            </w:pPr>
            <w:r>
              <w:t xml:space="preserve">~2 hr</w:t>
            </w:r>
          </w:p>
        </w:tc>
        <w:tc>
          <w:tcPr/>
          <w:p>
            <w:pPr>
              <w:pStyle w:val="Compact"/>
            </w:pPr>
            <w:r>
              <w:t xml:space="preserve">~1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parameter sweep</w:t>
            </w:r>
          </w:p>
        </w:tc>
        <w:tc>
          <w:tcPr/>
          <w:p>
            <w:pPr>
              <w:pStyle w:val="Compact"/>
            </w:pPr>
            <w:r>
              <w:t xml:space="preserve">~8-24 hr</w:t>
            </w:r>
          </w:p>
        </w:tc>
        <w:tc>
          <w:tcPr/>
          <w:p>
            <w:pPr>
              <w:pStyle w:val="Compact"/>
            </w:pPr>
            <w:r>
              <w:t xml:space="preserve">~2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 (1000 samples)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  <w:tc>
          <w:tcPr/>
          <w:p>
            <w:pPr>
              <w:pStyle w:val="Compact"/>
            </w:pPr>
            <w:r>
              <w:t xml:space="preserve">~500 MB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Angrist JD, Pischke JS.</w:t>
      </w:r>
      <w:r>
        <w:t xml:space="preserve"> </w:t>
      </w:r>
      <w:r>
        <w:rPr>
          <w:i/>
          <w:iCs/>
        </w:rPr>
        <w:t xml:space="preserve">Mostly Harmless Econometrics</w:t>
      </w:r>
      <w:r>
        <w:t xml:space="preserve">. Princeton, 2009.</w:t>
      </w:r>
    </w:p>
    <w:p>
      <w:pPr>
        <w:pStyle w:val="Compact"/>
        <w:numPr>
          <w:ilvl w:val="0"/>
          <w:numId w:val="1014"/>
        </w:numPr>
      </w:pPr>
      <w:r>
        <w:t xml:space="preserve">Efron B, Tibshirani RJ.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Chapman &amp; Hall, 1993.</w:t>
      </w:r>
    </w:p>
    <w:p>
      <w:pPr>
        <w:pStyle w:val="Compact"/>
        <w:numPr>
          <w:ilvl w:val="0"/>
          <w:numId w:val="1014"/>
        </w:numPr>
      </w:pPr>
      <w:r>
        <w:t xml:space="preserve">Rosenbaum PR.</w:t>
      </w:r>
      <w:r>
        <w:t xml:space="preserve"> </w:t>
      </w:r>
      <w:r>
        <w:rPr>
          <w:i/>
          <w:iCs/>
        </w:rPr>
        <w:t xml:space="preserve">Observational Studies</w:t>
      </w:r>
      <w:r>
        <w:t xml:space="preserve">. Springer, 2002.</w:t>
      </w:r>
    </w:p>
    <w:p>
      <w:pPr>
        <w:pStyle w:val="Compact"/>
        <w:numPr>
          <w:ilvl w:val="0"/>
          <w:numId w:val="1014"/>
        </w:numPr>
      </w:pPr>
      <w:r>
        <w:t xml:space="preserve">VanderWeele TJ, Ding P. Sensitivity analysis in observational research.</w:t>
      </w:r>
      <w:r>
        <w:t xml:space="preserve"> </w:t>
      </w:r>
      <w:r>
        <w:rPr>
          <w:i/>
          <w:iCs/>
        </w:rPr>
        <w:t xml:space="preserve">Ann Intern Med</w:t>
      </w:r>
      <w:r>
        <w:t xml:space="preserve"> </w:t>
      </w:r>
      <w:r>
        <w:t xml:space="preserve">2017.</w:t>
      </w:r>
    </w:p>
    <w:p>
      <w:pPr>
        <w:pStyle w:val="Compact"/>
        <w:numPr>
          <w:ilvl w:val="0"/>
          <w:numId w:val="1014"/>
        </w:numPr>
      </w:pPr>
      <w:r>
        <w:t xml:space="preserve">Spirtes P, Glymour C, Scheines R.</w:t>
      </w:r>
      <w:r>
        <w:t xml:space="preserve"> </w:t>
      </w:r>
      <w:r>
        <w:rPr>
          <w:i/>
          <w:iCs/>
        </w:rPr>
        <w:t xml:space="preserve">Causation, Prediction, and Search</w:t>
      </w:r>
      <w:r>
        <w:t xml:space="preserve">. MIT Press, 2000.</w:t>
      </w:r>
    </w:p>
    <w:p>
      <w:pPr>
        <w:pStyle w:val="Compact"/>
        <w:numPr>
          <w:ilvl w:val="0"/>
          <w:numId w:val="1014"/>
        </w:numPr>
      </w:pPr>
      <w:r>
        <w:t xml:space="preserve">Staiger D, Stock JH. Instrumental variables regression with weak instruments.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1997.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CAUSANTA Supplementary Materials v1.0</w:t>
      </w:r>
      <w:r>
        <w:t xml:space="preserve"> </w:t>
      </w:r>
      <w:r>
        <w:rPr>
          <w:i/>
          <w:iCs/>
        </w:rPr>
        <w:t xml:space="preserve">For Nature Methods submission</w:t>
      </w:r>
    </w:p>
    <w:bookmarkEnd w:id="69"/>
    <w:bookmarkEnd w:id="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2026-05-20T14:27:51Z</dcterms:created>
  <dcterms:modified xsi:type="dcterms:W3CDTF">2026-05-20T14:27:51Z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