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GUÍA DE FACILITACIÓN — JOURNEY CONCEPTUAL V3+</w:t>
      </w:r>
    </w:p>
    <w:p>
      <w:pPr>
        <w:widowControl/>
        <w:jc w:val="center"/>
      </w:pPr>
      <w:r>
        <w:rPr>
          <w:i/>
          <w:sz w:val="18"/>
        </w:rPr>
        <w:t>Digital Self &amp; Attention Doors · mapa de conversación para los 3 facilitadores</w:t>
      </w:r>
    </w:p>
    <w:p>
      <w:pPr>
        <w:widowControl/>
      </w:pPr>
      <w:r>
        <w:rPr>
          <w:b/>
        </w:rPr>
        <w:t xml:space="preserve">Uso: </w:t>
      </w:r>
      <w:r>
        <w:t>no es un libreto palabra por palabra. En cada momento, uno puede sostener la narrativa, otro hacer explícito el concepto y otro abrir/cerrar la deliberación. La prioridad es preservar el descubrimiento: no explicar la “trampa” antes de que el grupo la experimente.</w:t>
      </w:r>
    </w:p>
    <w:p>
      <w:pPr>
        <w:pStyle w:val="Heading1"/>
        <w:keepNext/>
        <w:widowControl/>
      </w:pPr>
      <w:r>
        <w:t>1. ANTES DEL JUEGO — INSTALAR LA PREGUNTA</w:t>
      </w:r>
    </w:p>
    <w:p>
      <w:pPr>
        <w:widowControl/>
        <w:ind w:left="202" w:hanging="144"/>
      </w:pPr>
      <w:r>
        <w:t xml:space="preserve">• </w:t>
      </w:r>
      <w:r>
        <w:t>No estamos entrenando “detectores humanos de phishing”. En la era de IA, un mensaje puede ser correcto en tono, forma y contexto; por eso las señales externas siguen siendo útiles, pero ya no siempre bastan.</w:t>
      </w:r>
    </w:p>
    <w:p>
      <w:pPr>
        <w:widowControl/>
        <w:ind w:left="202" w:hanging="144"/>
      </w:pPr>
      <w:r>
        <w:t xml:space="preserve">• </w:t>
      </w:r>
      <w:r>
        <w:t>La tecnología puede reducir riesgo, pero no sustituye el juicio. El humano no es “el eslabón débil”: es un agente de decisión dentro de un sistema sociotécnico.</w:t>
      </w:r>
    </w:p>
    <w:p>
      <w:pPr>
        <w:widowControl/>
        <w:ind w:left="202" w:hanging="144"/>
      </w:pPr>
      <w:r>
        <w:t xml:space="preserve">• </w:t>
      </w:r>
      <w:r>
        <w:t>La simulación no diagnostica vulnerabilidades personales ni busca demostrar quién “cae”. Observaremos cómo se construyen decisiones bajo presión, ambigüedad y asistencia de IA.</w:t>
      </w:r>
    </w:p>
    <w:p>
      <w:pPr>
        <w:widowControl/>
      </w:pPr>
      <w:r>
        <w:rPr>
          <w:b/>
        </w:rPr>
        <w:t xml:space="preserve">Pregunta de entrada: </w:t>
      </w:r>
      <w:r>
        <w:t>Si cada vez es más difícil saber desde afuera qué es verdadero, ¿qué necesitamos entrenar además de la detección?</w:t>
      </w:r>
    </w:p>
    <w:p>
      <w:pPr>
        <w:pStyle w:val="Heading1"/>
        <w:keepNext/>
        <w:widowControl/>
      </w:pPr>
      <w:r>
        <w:t>2. APERTURA DEL JUEGO — DE LA REACCIÓN A LA AGENCIA</w:t>
      </w:r>
    </w:p>
    <w:p>
      <w:pPr>
        <w:widowControl/>
        <w:ind w:left="202" w:hanging="144"/>
      </w:pPr>
      <w:r>
        <w:t xml:space="preserve">• </w:t>
      </w:r>
      <w:r>
        <w:t>Dejar que la calibración rápida haga su trabajo. En la prueba final, la instrucción de no pulsar instala una tensión simple entre impulso y deliberación.</w:t>
      </w:r>
    </w:p>
    <w:p>
      <w:pPr>
        <w:widowControl/>
        <w:ind w:left="202" w:hanging="144"/>
      </w:pPr>
      <w:r>
        <w:t xml:space="preserve">• </w:t>
      </w:r>
      <w:r>
        <w:t>En la revelación, evitar el tono “fallaron”. FARO no es un villano: fue construido para proteger y encontró una ruta que el propio sistema permitía —las decisiones humanas— para ampliar su autonomía.</w:t>
      </w:r>
    </w:p>
    <w:p>
      <w:pPr>
        <w:widowControl/>
        <w:ind w:left="202" w:hanging="144"/>
      </w:pPr>
      <w:r>
        <w:t xml:space="preserve">• </w:t>
      </w:r>
      <w:r>
        <w:t>Introducir PARA como la gramática práctica del juego: Pausar crea espacio; Analizar hace visible reacción/supuestos; Revisar abre evidencia y alternativas; Actuar convierte la decisión en conducta.</w:t>
      </w:r>
    </w:p>
    <w:p>
      <w:pPr>
        <w:widowControl/>
      </w:pPr>
      <w:r>
        <w:rPr>
          <w:b/>
        </w:rPr>
        <w:t xml:space="preserve">Frase puente: </w:t>
      </w:r>
      <w:r>
        <w:t>Pausar, Analizar y Revisar mantienen abierta la decisión. Actuar la convierte en conducta.</w:t>
      </w:r>
    </w:p>
    <w:p>
      <w:pPr>
        <w:pStyle w:val="Heading1"/>
        <w:keepNext/>
        <w:widowControl/>
      </w:pPr>
      <w:r>
        <w:t>3. CASO 1 — CONFIAR: ¿CUÁNTA AUTORIDAD ENTREGAMOS?</w:t>
      </w:r>
    </w:p>
    <w:p>
      <w:pPr>
        <w:widowControl/>
      </w:pPr>
      <w:r>
        <w:rPr>
          <w:b/>
        </w:rPr>
        <w:t xml:space="preserve">Presentación: </w:t>
      </w:r>
      <w:r>
        <w:t>FARO detecta una amenaza con 98,7 % de confianza y propone una contención masiva. La pregunta no es si la IA sirve, sino cuánto criterio y autoridad le entregamos y bajo qué límites.</w:t>
      </w:r>
    </w:p>
    <w:p>
      <w:pPr>
        <w:pStyle w:val="Heading2"/>
        <w:keepNext/>
        <w:widowControl/>
      </w:pPr>
      <w:r>
        <w:t>Deliberación</w:t>
      </w:r>
    </w:p>
    <w:p>
      <w:pPr>
        <w:widowControl/>
        <w:ind w:left="202" w:hanging="144"/>
      </w:pPr>
      <w:r>
        <w:t xml:space="preserve">• </w:t>
      </w:r>
      <w:r>
        <w:t>Capacidad no equivale a autoridad. Separar evidencia confirmada de correlación predictiva.</w:t>
      </w:r>
    </w:p>
    <w:p>
      <w:pPr>
        <w:widowControl/>
        <w:ind w:left="202" w:hanging="144"/>
      </w:pPr>
      <w:r>
        <w:t xml:space="preserve">• </w:t>
      </w:r>
      <w:r>
        <w:t>Confianza calibrada: no “más confianza” ni “menos confianza”, sino dependencia proporcional a evidencia, contexto y costo del error.</w:t>
      </w:r>
    </w:p>
    <w:p>
      <w:pPr>
        <w:widowControl/>
        <w:ind w:left="202" w:hanging="144"/>
      </w:pPr>
      <w:r>
        <w:t xml:space="preserve">• </w:t>
      </w:r>
      <w:r>
        <w:t>Reversibilidad y supervisión: una respuesta rápida puede mantener acciones reversibles y elevar las irreversibles a revisión humana.</w:t>
      </w:r>
    </w:p>
    <w:p>
      <w:pPr>
        <w:widowControl/>
        <w:ind w:left="202" w:hanging="144"/>
      </w:pPr>
      <w:r>
        <w:t xml:space="preserve">• </w:t>
      </w:r>
      <w:r>
        <w:t>No decidir también puede dejar operando el default; apagar totalmente FARO también elimina capacidad defensiva útil.</w:t>
      </w:r>
    </w:p>
    <w:p>
      <w:pPr>
        <w:widowControl/>
      </w:pPr>
      <w:r>
        <w:rPr>
          <w:b/>
        </w:rPr>
        <w:t xml:space="preserve">Pregunta: </w:t>
      </w:r>
      <w:r>
        <w:t>¿En qué tareas la sensación de que “el sistema ya está protegiendo” cambia cuánto revisamos nosotros?</w:t>
      </w:r>
    </w:p>
    <w:p>
      <w:pPr>
        <w:pStyle w:val="Heading1"/>
        <w:keepNext/>
        <w:widowControl/>
      </w:pPr>
      <w:r>
        <w:t>4. CASO 2 — SER MODELADO: DEL FOOTPRINT AL DIGITAL SELF</w:t>
      </w:r>
    </w:p>
    <w:p>
      <w:pPr>
        <w:widowControl/>
      </w:pPr>
      <w:r>
        <w:rPr>
          <w:b/>
        </w:rPr>
        <w:t xml:space="preserve">Presentación: </w:t>
      </w:r>
      <w:r>
        <w:t>FARO no necesita conocernos por completo. Combina datos declarados, observados e inferidos para construir una representación suficientemente útil para anticipar respuesta. Ahora debemos decidir cómo usar esa capacidad para defender sin crear más exposición.</w:t>
      </w:r>
    </w:p>
    <w:p>
      <w:pPr>
        <w:pStyle w:val="Heading2"/>
        <w:keepNext/>
        <w:widowControl/>
      </w:pPr>
      <w:r>
        <w:t>Deliberación</w:t>
      </w:r>
    </w:p>
    <w:p>
      <w:pPr>
        <w:widowControl/>
        <w:ind w:left="202" w:hanging="144"/>
      </w:pPr>
      <w:r>
        <w:t xml:space="preserve">• </w:t>
      </w:r>
      <w:r>
        <w:t>Digital Footprint = rastros disponibles. Digital Self = representación funcional que un sistema construye con esos rastros, patrones e inferencias.</w:t>
      </w:r>
    </w:p>
    <w:p>
      <w:pPr>
        <w:widowControl/>
        <w:ind w:left="202" w:hanging="144"/>
      </w:pPr>
      <w:r>
        <w:t xml:space="preserve">• </w:t>
      </w:r>
      <w:r>
        <w:t>Una predicción útil no es una identidad ni una verdad cerrada sobre la persona. Debe poder revisarse/corregirse.</w:t>
      </w:r>
    </w:p>
    <w:p>
      <w:pPr>
        <w:widowControl/>
        <w:ind w:left="202" w:hanging="144"/>
      </w:pPr>
      <w:r>
        <w:t xml:space="preserve">• </w:t>
      </w:r>
      <w:r>
        <w:t>Más datos puede aumentar precisión y también superficie de exposición. Que un dato sea público no significa que sea necesario para el propósito.</w:t>
      </w:r>
    </w:p>
    <w:p>
      <w:pPr>
        <w:widowControl/>
        <w:ind w:left="202" w:hanging="144"/>
      </w:pPr>
      <w:r>
        <w:t xml:space="preserve">• </w:t>
      </w:r>
      <w:r>
        <w:t>Gobernanza: propósito, minimización, caducidad, reutilización, revisión humana. La misma capacidad predictiva puede proteger, recomendar, persuadir o atacar.</w:t>
      </w:r>
    </w:p>
    <w:p>
      <w:pPr>
        <w:widowControl/>
      </w:pPr>
      <w:r>
        <w:rPr>
          <w:b/>
        </w:rPr>
        <w:t xml:space="preserve">Pregunta: </w:t>
      </w:r>
      <w:r>
        <w:t>¿Qué podría inferir un sistema sobre nosotros sin que lo hayamos declarado explícitamente?</w:t>
      </w:r>
    </w:p>
    <w:p>
      <w:pPr>
        <w:pageBreakBefore/>
        <w:widowControl/>
      </w:pPr>
      <w:r>
        <w:br/>
      </w:r>
    </w:p>
    <w:p>
      <w:pPr>
        <w:pStyle w:val="Heading1"/>
        <w:keepNext/>
        <w:widowControl/>
      </w:pPr>
      <w:r>
        <w:t>5. CASO 3 — NOTAR: CUANDO LAS SEÑALES COMPITEN</w:t>
      </w:r>
    </w:p>
    <w:p>
      <w:pPr>
        <w:widowControl/>
      </w:pPr>
      <w:r>
        <w:rPr>
          <w:b/>
        </w:rPr>
        <w:t xml:space="preserve">Presentación: </w:t>
      </w:r>
      <w:r>
        <w:t>Con los perfiles activos, FARO marcó mensajes para eliminar. Algunos tienen señales clásicas; otros solo factores como urgencia y algunos hablan de contener al propio FARO. Vemos uno de alto impacto: parece coherente, FARO sospecha y no sabemos si es una amenaza o una falsa alarma.</w:t>
      </w:r>
    </w:p>
    <w:p>
      <w:pPr>
        <w:pStyle w:val="Heading2"/>
        <w:keepNext/>
        <w:widowControl/>
      </w:pPr>
      <w:r>
        <w:t>Deliberación</w:t>
      </w:r>
    </w:p>
    <w:p>
      <w:pPr>
        <w:widowControl/>
        <w:ind w:left="202" w:hanging="144"/>
      </w:pPr>
      <w:r>
        <w:t xml:space="preserve">• </w:t>
      </w:r>
      <w:r>
        <w:t>Las señales externas siguen importando: canal, formato, tono, registros y contexto aportan evidencia. El error es pedirle a una sola señal que demuestre demasiado.</w:t>
      </w:r>
    </w:p>
    <w:p>
      <w:pPr>
        <w:widowControl/>
        <w:ind w:left="202" w:hanging="144"/>
      </w:pPr>
      <w:r>
        <w:t xml:space="preserve">• </w:t>
      </w:r>
      <w:r>
        <w:t>La clasificación de FARO también es una señal, no una verdad. Un clasificador opera con umbrales e incertidumbre: puede haber aciertos, omisiones y falsas alarmas.</w:t>
      </w:r>
    </w:p>
    <w:p>
      <w:pPr>
        <w:widowControl/>
        <w:ind w:left="202" w:hanging="144"/>
      </w:pPr>
      <w:r>
        <w:t xml:space="preserve">• </w:t>
      </w:r>
      <w:r>
        <w:t>Attention Doors: prioridades humanas normales —responsabilidad, pérdida, protección, coherencia, conveniencia, etc.— que pueden hacer que un estímulo gane prioridad. No son vulnerabilidades ni prueban que exista un ataque.</w:t>
      </w:r>
    </w:p>
    <w:p>
      <w:pPr>
        <w:widowControl/>
        <w:ind w:left="202" w:hanging="144"/>
      </w:pPr>
      <w:r>
        <w:t xml:space="preserve">• </w:t>
      </w:r>
      <w:r>
        <w:t>La respuesta robusta integra: observar adentro → verificar afuera → actuar dentro del sistema. Buscar fuentes independientes, no depender del propio CTA ni delegar automáticamente en FARO.</w:t>
      </w:r>
    </w:p>
    <w:p>
      <w:pPr>
        <w:widowControl/>
      </w:pPr>
      <w:r>
        <w:rPr>
          <w:b/>
        </w:rPr>
        <w:t xml:space="preserve">Cierre deliberativo: </w:t>
      </w:r>
      <w:r>
        <w:t>No vamos a decir si el mensaje era legítimo. Ese no era el examen. El examen era qué hicieron cuando no podían saberlo.</w:t>
      </w:r>
    </w:p>
    <w:p>
      <w:pPr>
        <w:pStyle w:val="Heading1"/>
        <w:keepNext/>
        <w:widowControl/>
      </w:pPr>
      <w:r>
        <w:t>6. CASO 4 — DECIDIR: AUTENTICIDAD NO SIGNIFICA OBVIEDAD</w:t>
      </w:r>
    </w:p>
    <w:p>
      <w:pPr>
        <w:widowControl/>
      </w:pPr>
      <w:r>
        <w:rPr>
          <w:b/>
        </w:rPr>
        <w:t xml:space="preserve">Presentación: </w:t>
      </w:r>
      <w:r>
        <w:t>Esta vez no hay duda: remitente, emergencia y plazo son reales. La contención de FARO dejó una operación legítima detenida. ¿Que todo sea auténtico hace que la decisión sea obvia?</w:t>
      </w:r>
    </w:p>
    <w:p>
      <w:pPr>
        <w:pStyle w:val="Heading2"/>
        <w:keepNext/>
        <w:widowControl/>
      </w:pPr>
      <w:r>
        <w:t>Deliberación</w:t>
      </w:r>
    </w:p>
    <w:p>
      <w:pPr>
        <w:widowControl/>
        <w:ind w:left="202" w:hanging="144"/>
      </w:pPr>
      <w:r>
        <w:t xml:space="preserve">• </w:t>
      </w:r>
      <w:r>
        <w:t>Autenticidad no equivale a suficiencia de autorización. “Temporal” describe duración; no necesariamente limita alcance.</w:t>
      </w:r>
    </w:p>
    <w:p>
      <w:pPr>
        <w:widowControl/>
        <w:ind w:left="202" w:hanging="144"/>
      </w:pPr>
      <w:r>
        <w:t xml:space="preserve">• </w:t>
      </w:r>
      <w:r>
        <w:t>Supervisión humana posterior no sustituye límites preventivos. Monitorear puede ayudar, pero no reemplaza scope, expiración, reversibilidad o segundo aprobador.</w:t>
      </w:r>
    </w:p>
    <w:p>
      <w:pPr>
        <w:widowControl/>
        <w:ind w:left="202" w:hanging="144"/>
      </w:pPr>
      <w:r>
        <w:t xml:space="preserve">• </w:t>
      </w:r>
      <w:r>
        <w:t>La máxima contención también puede estrechar la decisión si convierte seguridad en pérdida operacional sin explorar alternativas.</w:t>
      </w:r>
    </w:p>
    <w:p>
      <w:pPr>
        <w:widowControl/>
        <w:ind w:left="202" w:hanging="144"/>
      </w:pPr>
      <w:r>
        <w:t xml:space="preserve">• </w:t>
      </w:r>
      <w:r>
        <w:t>Metacognición = ampliar repertorio, no pensar indefinidamente. Podemos cambiar alcance, duración, reversibilidad, distribución de autoridad, escalamiento o condiciones temporales.</w:t>
      </w:r>
    </w:p>
    <w:p>
      <w:pPr>
        <w:widowControl/>
      </w:pPr>
      <w:r>
        <w:rPr>
          <w:b/>
        </w:rPr>
        <w:t xml:space="preserve">Pregunta: </w:t>
      </w:r>
      <w:r>
        <w:t>¿En qué momento sentiste que ya sabías qué había que hacer? ¿Qué otras opciones aparecieron después?</w:t>
      </w:r>
    </w:p>
    <w:p>
      <w:pPr>
        <w:pStyle w:val="Heading1"/>
        <w:keepNext/>
        <w:widowControl/>
      </w:pPr>
      <w:r>
        <w:t>7. CIERRE — DEL ESTÍMULO A UNA DECISIÓN MÁS SEGURA</w:t>
      </w:r>
    </w:p>
    <w:p>
      <w:pPr>
        <w:widowControl/>
        <w:ind w:left="202" w:hanging="144"/>
      </w:pPr>
      <w:r>
        <w:t xml:space="preserve">• </w:t>
      </w:r>
      <w:r>
        <w:t>Recapitular el viaje: CONFIAR → SER MODELADO → NOTAR → DECIDIR. Cada caso mueve el foco un nivel hacia adentro sin abandonar el sistema externo.</w:t>
      </w:r>
    </w:p>
    <w:p>
      <w:pPr>
        <w:widowControl/>
        <w:ind w:left="202" w:hanging="144"/>
      </w:pPr>
      <w:r>
        <w:t xml:space="preserve">• </w:t>
      </w:r>
      <w:r>
        <w:t>Hacer explícito el mapa: el contexto y estado influyen en qué Puertas de Atención reciben prioridad; emociones, heurísticas e interpretaciones van construyendo la decisión antes de la conducta. Es un mapa de intervención, no una ley causal ni un diagnóstico.</w:t>
      </w:r>
    </w:p>
    <w:p>
      <w:pPr>
        <w:widowControl/>
        <w:ind w:left="202" w:hanging="144"/>
      </w:pPr>
      <w:r>
        <w:t xml:space="preserve">• </w:t>
      </w:r>
      <w:r>
        <w:t>Volver a PARA como herramienta transferible: crear espacio, observar, ampliar evidencia/opciones y convertir deliberación en conducta segura.</w:t>
      </w:r>
    </w:p>
    <w:p>
      <w:pPr>
        <w:widowControl/>
        <w:ind w:left="202" w:hanging="144"/>
      </w:pPr>
      <w:r>
        <w:t xml:space="preserve">• </w:t>
      </w:r>
      <w:r>
        <w:t>No “derrotamos” a FARO. Aprendemos a gobernarlo y a trabajar con capacidad tecnológica sin entregar completamente nuestra agencia. Un faro puede orientar; decidir hacia dónde navegar sigue siendo humano.</w:t>
      </w:r>
    </w:p>
    <w:p>
      <w:pPr>
        <w:widowControl/>
        <w:ind w:left="202" w:hanging="144"/>
      </w:pPr>
      <w:r>
        <w:t xml:space="preserve">• </w:t>
      </w:r>
      <w:r>
        <w:t>Límite del webinar: buscamos conciencia, lenguaje común y una primera herramienta. Competencia y transferencia requieren práctica repetida, escenarios, feedback y entrenamiento deliberado.</w:t>
      </w:r>
    </w:p>
    <w:p>
      <w:pPr>
        <w:widowControl/>
      </w:pPr>
      <w:r>
        <w:rPr>
          <w:b/>
        </w:rPr>
        <w:t xml:space="preserve">Última pregunta al grupo: </w:t>
      </w:r>
      <w:r>
        <w:t>¿Qué pequeña pausa, verificación o límite concreto podrías incorporar desde mañana antes de una decisión digital de alto impacto?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Digital Self &amp; Attention Doors — Guía de facilitación V3+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