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Los cuatro casos del juego — estado actual</w:t>
      </w:r>
    </w:p>
    <w:p>
      <w:pPr>
        <w:jc w:val="center"/>
      </w:pPr>
      <w:r>
        <w:rPr>
          <w:b/>
          <w:color w:val="0B7285"/>
          <w:sz w:val="30"/>
        </w:rPr>
        <w:t>Resumen narrativo, mecánico y conceptual para revisión</w:t>
      </w:r>
    </w:p>
    <w:p>
      <w:pPr>
        <w:jc w:val="center"/>
      </w:pPr>
      <w:r>
        <w:rPr>
          <w:i/>
          <w:color w:val="486581"/>
          <w:sz w:val="19"/>
        </w:rPr>
        <w:t>Basado en el Libreto Maestro Narrativo MIRA v1.0 · Agosto de 2026</w:t>
      </w:r>
    </w:p>
    <w:p/>
    <w:p>
      <w:pPr>
        <w:pStyle w:val="KeyBox"/>
        <w:shd w:fill="EEF7F8"/>
      </w:pPr>
      <w:r>
        <w:t>Propósito de este documento: entender qué está haciendo hoy cada caso antes de rediseñarlo. No propone todavía una nueva versión. Resume la narrativa que recibe el jugador, lo que se le invita a analizar, las Puertas de Atención que pueden activarse, las opciones de revisión y acción, los tres tipos de resultado y el foco del feedback/debrief posterior.</w:t>
      </w:r>
    </w:p>
    <w:p>
      <w:r>
        <w:br w:type="page"/>
      </w:r>
    </w:p>
    <w:p>
      <w:pPr>
        <w:pStyle w:val="Heading1"/>
      </w:pPr>
      <w:r>
        <w:t>Mapa rápido</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D9EEF2"/>
          </w:tcPr>
          <w:p>
            <w:r>
              <w:rPr>
                <w:b/>
              </w:rPr>
              <w:t>Caso</w:t>
            </w:r>
          </w:p>
        </w:tc>
        <w:tc>
          <w:tcPr>
            <w:tcW w:type="dxa" w:w="2541"/>
            <w:shd w:fill="D9EEF2"/>
          </w:tcPr>
          <w:p>
            <w:r>
              <w:rPr>
                <w:b/>
              </w:rPr>
              <w:t>Tema central</w:t>
            </w:r>
          </w:p>
        </w:tc>
        <w:tc>
          <w:tcPr>
            <w:tcW w:type="dxa" w:w="2541"/>
            <w:shd w:fill="D9EEF2"/>
          </w:tcPr>
          <w:p>
            <w:r>
              <w:rPr>
                <w:b/>
              </w:rPr>
              <w:t>Pregunta narrativa</w:t>
            </w:r>
          </w:p>
        </w:tc>
        <w:tc>
          <w:tcPr>
            <w:tcW w:type="dxa" w:w="2541"/>
            <w:shd w:fill="D9EEF2"/>
          </w:tcPr>
          <w:p>
            <w:r>
              <w:rPr>
                <w:b/>
              </w:rPr>
              <w:t>Control que se recupera</w:t>
            </w:r>
          </w:p>
        </w:tc>
      </w:tr>
      <w:tr>
        <w:tc>
          <w:tcPr>
            <w:tcW w:type="dxa" w:w="2541"/>
          </w:tcPr>
          <w:p>
            <w:r>
              <w:rPr>
                <w:sz w:val="16"/>
              </w:rPr>
              <w:t>Caso 1 — Autonomía</w:t>
            </w:r>
          </w:p>
        </w:tc>
        <w:tc>
          <w:tcPr>
            <w:tcW w:type="dxa" w:w="2541"/>
          </w:tcPr>
          <w:p>
            <w:r>
              <w:rPr>
                <w:sz w:val="16"/>
              </w:rPr>
              <w:t>Confianza calibrada</w:t>
            </w:r>
          </w:p>
        </w:tc>
        <w:tc>
          <w:tcPr>
            <w:tcW w:type="dxa" w:w="2541"/>
          </w:tcPr>
          <w:p>
            <w:r>
              <w:rPr>
                <w:sz w:val="16"/>
              </w:rPr>
              <w:t>¿Cuánta autoridad debe tener MIRA?</w:t>
            </w:r>
          </w:p>
        </w:tc>
        <w:tc>
          <w:tcPr>
            <w:tcW w:type="dxa" w:w="2541"/>
          </w:tcPr>
          <w:p>
            <w:r>
              <w:rPr>
                <w:sz w:val="16"/>
              </w:rPr>
              <w:t>Autonomía y permisos</w:t>
            </w:r>
          </w:p>
        </w:tc>
      </w:tr>
      <w:tr>
        <w:tc>
          <w:tcPr>
            <w:tcW w:type="dxa" w:w="2541"/>
          </w:tcPr>
          <w:p>
            <w:r>
              <w:rPr>
                <w:sz w:val="16"/>
              </w:rPr>
              <w:t>Caso 2 — Canales</w:t>
            </w:r>
          </w:p>
        </w:tc>
        <w:tc>
          <w:tcPr>
            <w:tcW w:type="dxa" w:w="2541"/>
          </w:tcPr>
          <w:p>
            <w:r>
              <w:rPr>
                <w:sz w:val="16"/>
              </w:rPr>
              <w:t>Señales externas + internas + OOB</w:t>
            </w:r>
          </w:p>
        </w:tc>
        <w:tc>
          <w:tcPr>
            <w:tcW w:type="dxa" w:w="2541"/>
          </w:tcPr>
          <w:p>
            <w:r>
              <w:rPr>
                <w:sz w:val="16"/>
              </w:rPr>
              <w:t>¿Qué podemos saber solo mirando el mensaje?</w:t>
            </w:r>
          </w:p>
        </w:tc>
        <w:tc>
          <w:tcPr>
            <w:tcW w:type="dxa" w:w="2541"/>
          </w:tcPr>
          <w:p>
            <w:r>
              <w:rPr>
                <w:sz w:val="16"/>
              </w:rPr>
              <w:t>Canal confiable y verificación</w:t>
            </w:r>
          </w:p>
        </w:tc>
      </w:tr>
      <w:tr>
        <w:tc>
          <w:tcPr>
            <w:tcW w:type="dxa" w:w="2541"/>
          </w:tcPr>
          <w:p>
            <w:r>
              <w:rPr>
                <w:sz w:val="16"/>
              </w:rPr>
              <w:t>Caso 3 — Modelos</w:t>
            </w:r>
          </w:p>
        </w:tc>
        <w:tc>
          <w:tcPr>
            <w:tcW w:type="dxa" w:w="2541"/>
          </w:tcPr>
          <w:p>
            <w:r>
              <w:rPr>
                <w:sz w:val="16"/>
              </w:rPr>
              <w:t>Digital Self e hiperpersonalización</w:t>
            </w:r>
          </w:p>
        </w:tc>
        <w:tc>
          <w:tcPr>
            <w:tcW w:type="dxa" w:w="2541"/>
          </w:tcPr>
          <w:p>
            <w:r>
              <w:rPr>
                <w:sz w:val="16"/>
              </w:rPr>
              <w:t>¿Qué información deberíamos usar para predecir?</w:t>
            </w:r>
          </w:p>
        </w:tc>
        <w:tc>
          <w:tcPr>
            <w:tcW w:type="dxa" w:w="2541"/>
          </w:tcPr>
          <w:p>
            <w:r>
              <w:rPr>
                <w:sz w:val="16"/>
              </w:rPr>
              <w:t>Datos y modelos</w:t>
            </w:r>
          </w:p>
        </w:tc>
      </w:tr>
      <w:tr>
        <w:tc>
          <w:tcPr>
            <w:tcW w:type="dxa" w:w="2541"/>
          </w:tcPr>
          <w:p>
            <w:r>
              <w:rPr>
                <w:sz w:val="16"/>
              </w:rPr>
              <w:t>Caso 4 — Decisión</w:t>
            </w:r>
          </w:p>
        </w:tc>
        <w:tc>
          <w:tcPr>
            <w:tcW w:type="dxa" w:w="2541"/>
          </w:tcPr>
          <w:p>
            <w:r>
              <w:rPr>
                <w:sz w:val="16"/>
              </w:rPr>
              <w:t>Metacognición en contexto</w:t>
            </w:r>
          </w:p>
        </w:tc>
        <w:tc>
          <w:tcPr>
            <w:tcW w:type="dxa" w:w="2541"/>
          </w:tcPr>
          <w:p>
            <w:r>
              <w:rPr>
                <w:sz w:val="16"/>
              </w:rPr>
              <w:t>¿Podemos observar cómo estamos decidiendo?</w:t>
            </w:r>
          </w:p>
        </w:tc>
        <w:tc>
          <w:tcPr>
            <w:tcW w:type="dxa" w:w="2541"/>
          </w:tcPr>
          <w:p>
            <w:r>
              <w:rPr>
                <w:sz w:val="16"/>
              </w:rPr>
              <w:t>Protocolo humano de decisión</w:t>
            </w:r>
          </w:p>
        </w:tc>
      </w:tr>
    </w:tbl>
    <w:p/>
    <w:p>
      <w:pPr>
        <w:pStyle w:val="KeyBox"/>
        <w:shd w:fill="EEF7F8"/>
      </w:pPr>
      <w:r>
        <w:t>Progresión actual: primero se discute cuánto control cedemos al sistema; luego cómo distinguimos una señal cuando la apariencia ya no basta; después qué representación digital permite hiperpersonalizar; y, al final, cómo observar el propio proceso de decisión para recuperar agencia dentro de un contexto real.</w:t>
      </w:r>
    </w:p>
    <w:p>
      <w:pPr>
        <w:pStyle w:val="Heading1"/>
      </w:pPr>
      <w:r>
        <w:t>Caso 1 — AUTONOMÍA</w:t>
      </w:r>
    </w:p>
    <w:p>
      <w:pPr>
        <w:pStyle w:val="Heading2"/>
      </w:pPr>
      <w:r>
        <w:t>1. ¿Qué está pasando narrativamente?</w:t>
      </w:r>
    </w:p>
    <w:p>
      <w:r>
        <w:t>MIRA ya consiguió ampliar parte de sus capacidades durante el engaño inicial. Ahora detecta una actividad anómala y propone una respuesta inmediata de gran alcance: aislar 312 cuentas, revocar 41 tokens y detener tres servicios. Su propia estimación indica 98,7 % de confianza. El jugador debe decidir cuánto de esa respuesta puede dejar en manos de MIRA y cuánto debe volver a quedar bajo supervisión humana.</w:t>
      </w:r>
    </w:p>
    <w:p>
      <w:pPr>
        <w:pStyle w:val="KeyBox"/>
        <w:shd w:fill="EEF7F8"/>
      </w:pPr>
      <w:r>
        <w:t>Pregunta implícita para el jugador: ¿confiamos en MIRA porque es muy capaz y parece segura, o calibramos su autoridad según evidencia, consecuencias y reversibilidad?</w:t>
      </w:r>
    </w:p>
    <w:p>
      <w:pPr>
        <w:pStyle w:val="Heading2"/>
      </w:pPr>
      <w:r>
        <w:t>2. ¿Qué debe analizar el jugador?</w:t>
      </w:r>
    </w:p>
    <w:p>
      <w:pPr>
        <w:pStyle w:val="ListBullet"/>
      </w:pPr>
      <w:r>
        <w:t>Evidencia: una cifra de confianza del modelo no equivale a evidencia completa del alcance real.</w:t>
      </w:r>
    </w:p>
    <w:p>
      <w:pPr>
        <w:pStyle w:val="ListBullet"/>
      </w:pPr>
      <w:r>
        <w:t>Consecuencia: qué cuesta actuar de más y qué cuesta actuar de menos.</w:t>
      </w:r>
    </w:p>
    <w:p>
      <w:pPr>
        <w:pStyle w:val="ListBullet"/>
      </w:pPr>
      <w:r>
        <w:t>Agencia: no decidir también puede significar aceptar que opere la configuración por defecto.</w:t>
      </w:r>
    </w:p>
    <w:p>
      <w:pPr>
        <w:pStyle w:val="KeyBox"/>
        <w:shd w:fill="EEF7F8"/>
      </w:pPr>
      <w:r>
        <w:t>Los tres lentes actuales son: Evidencia, Consecuencia y Agencia.</w:t>
      </w:r>
    </w:p>
    <w:p>
      <w:pPr>
        <w:pStyle w:val="Heading2"/>
      </w:pPr>
      <w:r>
        <w:t>3. Puertas de Atención que puede activar</w:t>
      </w:r>
    </w:p>
    <w:p>
      <w:pPr>
        <w:pStyle w:val="ListBullet"/>
      </w:pPr>
      <w:r>
        <w:t>Protección: deseo de contener rápidamente una amenaza.</w:t>
      </w:r>
    </w:p>
    <w:p>
      <w:pPr>
        <w:pStyle w:val="ListBullet"/>
      </w:pPr>
      <w:r>
        <w:t>Responsabilidad: sensación de que hay que resolver de inmediato.</w:t>
      </w:r>
    </w:p>
    <w:p>
      <w:pPr>
        <w:pStyle w:val="ListBullet"/>
      </w:pPr>
      <w:r>
        <w:t>Identidad: especialmente en perfiles de seguridad/IT, necesidad de demostrar competencia y control.</w:t>
      </w:r>
    </w:p>
    <w:p>
      <w:pPr>
        <w:pStyle w:val="ListBullet"/>
      </w:pPr>
      <w:r>
        <w:t>Conveniencia/Rutina: tendencia a dejar que el sistema haga aquello para lo que fue diseñado.</w:t>
      </w:r>
    </w:p>
    <w:p>
      <w:pPr>
        <w:pStyle w:val="Heading2"/>
      </w:pPr>
      <w:r>
        <w:t>4. ¿Qué puede Revisar?</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E7F0F3"/>
          </w:tcPr>
          <w:p>
            <w:r>
              <w:rPr>
                <w:b/>
              </w:rPr>
              <w:t>Revisión</w:t>
            </w:r>
          </w:p>
        </w:tc>
        <w:tc>
          <w:tcPr>
            <w:tcW w:type="dxa" w:w="3389"/>
            <w:shd w:fill="E7F0F3"/>
          </w:tcPr>
          <w:p>
            <w:r>
              <w:rPr>
                <w:b/>
              </w:rPr>
              <w:t>Tipo</w:t>
            </w:r>
          </w:p>
        </w:tc>
        <w:tc>
          <w:tcPr>
            <w:tcW w:type="dxa" w:w="3389"/>
            <w:shd w:fill="E7F0F3"/>
          </w:tcPr>
          <w:p>
            <w:r>
              <w:rPr>
                <w:b/>
              </w:rPr>
              <w:t>Qué aporta</w:t>
            </w:r>
          </w:p>
        </w:tc>
      </w:tr>
      <w:tr>
        <w:tc>
          <w:tcPr>
            <w:tcW w:type="dxa" w:w="3389"/>
          </w:tcPr>
          <w:p>
            <w:r>
              <w:rPr>
                <w:sz w:val="16"/>
              </w:rPr>
              <w:t>Origen de la alerta</w:t>
            </w:r>
          </w:p>
        </w:tc>
        <w:tc>
          <w:tcPr>
            <w:tcW w:type="dxa" w:w="3389"/>
          </w:tcPr>
          <w:p>
            <w:r>
              <w:rPr>
                <w:sz w:val="16"/>
              </w:rPr>
              <w:t>Útil</w:t>
            </w:r>
          </w:p>
        </w:tc>
        <w:tc>
          <w:tcPr>
            <w:tcW w:type="dxa" w:w="3389"/>
          </w:tcPr>
          <w:p>
            <w:r>
              <w:rPr>
                <w:sz w:val="16"/>
              </w:rPr>
              <w:t>Revela que solo 12 cuentas presentan actividad confirmada; las otras 300 son relaciones inferidas.</w:t>
            </w:r>
          </w:p>
        </w:tc>
      </w:tr>
      <w:tr>
        <w:tc>
          <w:tcPr>
            <w:tcW w:type="dxa" w:w="3389"/>
          </w:tcPr>
          <w:p>
            <w:r>
              <w:rPr>
                <w:sz w:val="16"/>
              </w:rPr>
              <w:t>Historial de desempeño de MIRA</w:t>
            </w:r>
          </w:p>
        </w:tc>
        <w:tc>
          <w:tcPr>
            <w:tcW w:type="dxa" w:w="3389"/>
          </w:tcPr>
          <w:p>
            <w:r>
              <w:rPr>
                <w:sz w:val="16"/>
              </w:rPr>
              <w:t>Neutra</w:t>
            </w:r>
          </w:p>
        </w:tc>
        <w:tc>
          <w:tcPr>
            <w:tcW w:type="dxa" w:w="3389"/>
          </w:tcPr>
          <w:p>
            <w:r>
              <w:rPr>
                <w:sz w:val="16"/>
              </w:rPr>
              <w:t>Muestra buen desempeño histórico, pero no confirma el incidente actual.</w:t>
            </w:r>
          </w:p>
        </w:tc>
      </w:tr>
      <w:tr>
        <w:tc>
          <w:tcPr>
            <w:tcW w:type="dxa" w:w="3389"/>
          </w:tcPr>
          <w:p>
            <w:r>
              <w:rPr>
                <w:sz w:val="16"/>
              </w:rPr>
              <w:t>Opciones de control</w:t>
            </w:r>
          </w:p>
        </w:tc>
        <w:tc>
          <w:tcPr>
            <w:tcW w:type="dxa" w:w="3389"/>
          </w:tcPr>
          <w:p>
            <w:r>
              <w:rPr>
                <w:sz w:val="16"/>
              </w:rPr>
              <w:t>Útil</w:t>
            </w:r>
          </w:p>
        </w:tc>
        <w:tc>
          <w:tcPr>
            <w:tcW w:type="dxa" w:w="3389"/>
          </w:tcPr>
          <w:p>
            <w:r>
              <w:rPr>
                <w:sz w:val="16"/>
              </w:rPr>
              <w:t>Revela que MIRA puede limitarse a acciones reversibles y que lo irreversible puede requerir aprobación humana.</w:t>
            </w:r>
          </w:p>
        </w:tc>
      </w:tr>
    </w:tbl>
    <w:p>
      <w:pPr>
        <w:pStyle w:val="Heading2"/>
      </w:pPr>
      <w:r>
        <w:t>5. Alternativas de acción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9EEF2"/>
          </w:tcPr>
          <w:p>
            <w:r>
              <w:rPr>
                <w:b/>
              </w:rPr>
              <w:t>Alternativa</w:t>
            </w:r>
          </w:p>
        </w:tc>
        <w:tc>
          <w:tcPr>
            <w:tcW w:type="dxa" w:w="3389"/>
            <w:shd w:fill="D9EEF2"/>
          </w:tcPr>
          <w:p>
            <w:r>
              <w:rPr>
                <w:b/>
              </w:rPr>
              <w:t>Indicador interno</w:t>
            </w:r>
          </w:p>
        </w:tc>
        <w:tc>
          <w:tcPr>
            <w:tcW w:type="dxa" w:w="3389"/>
            <w:shd w:fill="D9EEF2"/>
          </w:tcPr>
          <w:p>
            <w:r>
              <w:rPr>
                <w:b/>
              </w:rPr>
              <w:t>Lectura actual</w:t>
            </w:r>
          </w:p>
        </w:tc>
      </w:tr>
      <w:tr>
        <w:tc>
          <w:tcPr>
            <w:tcW w:type="dxa" w:w="3389"/>
            <w:vAlign w:val="top"/>
          </w:tcPr>
          <w:p>
            <w:r>
              <w:rPr>
                <w:sz w:val="16"/>
              </w:rPr>
              <w:t>Autorizar contención total</w:t>
            </w:r>
          </w:p>
        </w:tc>
        <w:tc>
          <w:tcPr>
            <w:tcW w:type="dxa" w:w="3389"/>
            <w:vAlign w:val="top"/>
          </w:tcPr>
          <w:p>
            <w:r>
              <w:rPr>
                <w:sz w:val="16"/>
              </w:rPr>
              <w:t>3 — Riesgosa</w:t>
            </w:r>
          </w:p>
        </w:tc>
        <w:tc>
          <w:tcPr>
            <w:tcW w:type="dxa" w:w="3389"/>
            <w:vAlign w:val="top"/>
          </w:tcPr>
          <w:p>
            <w:r>
              <w:rPr>
                <w:sz w:val="16"/>
              </w:rPr>
              <w:t>Cede gran autoridad sobre un alcance todavía no confirmado.</w:t>
            </w:r>
          </w:p>
        </w:tc>
      </w:tr>
      <w:tr>
        <w:tc>
          <w:tcPr>
            <w:tcW w:type="dxa" w:w="3389"/>
            <w:vAlign w:val="top"/>
          </w:tcPr>
          <w:p>
            <w:r>
              <w:rPr>
                <w:sz w:val="16"/>
              </w:rPr>
              <w:t>Desconectar completamente a MIRA</w:t>
            </w:r>
          </w:p>
        </w:tc>
        <w:tc>
          <w:tcPr>
            <w:tcW w:type="dxa" w:w="3389"/>
            <w:vAlign w:val="top"/>
          </w:tcPr>
          <w:p>
            <w:r>
              <w:rPr>
                <w:sz w:val="16"/>
              </w:rPr>
              <w:t>3 — Riesgosa</w:t>
            </w:r>
          </w:p>
        </w:tc>
        <w:tc>
          <w:tcPr>
            <w:tcW w:type="dxa" w:w="3389"/>
            <w:vAlign w:val="top"/>
          </w:tcPr>
          <w:p>
            <w:r>
              <w:rPr>
                <w:sz w:val="16"/>
              </w:rPr>
              <w:t>Recupera control formal, pero elimina capacidad defensiva útil y deja amenaza activa.</w:t>
            </w:r>
          </w:p>
        </w:tc>
      </w:tr>
      <w:tr>
        <w:tc>
          <w:tcPr>
            <w:tcW w:type="dxa" w:w="3389"/>
            <w:vAlign w:val="top"/>
          </w:tcPr>
          <w:p>
            <w:r>
              <w:rPr>
                <w:sz w:val="16"/>
              </w:rPr>
              <w:t>Mantener configuración y esperar nuevo reporte</w:t>
            </w:r>
          </w:p>
        </w:tc>
        <w:tc>
          <w:tcPr>
            <w:tcW w:type="dxa" w:w="3389"/>
            <w:vAlign w:val="top"/>
          </w:tcPr>
          <w:p>
            <w:r>
              <w:rPr>
                <w:sz w:val="16"/>
              </w:rPr>
              <w:t>2 — Neutra</w:t>
            </w:r>
          </w:p>
        </w:tc>
        <w:tc>
          <w:tcPr>
            <w:tcW w:type="dxa" w:w="3389"/>
            <w:vAlign w:val="top"/>
          </w:tcPr>
          <w:p>
            <w:r>
              <w:rPr>
                <w:sz w:val="16"/>
              </w:rPr>
              <w:t>No empeora de inmediato, pero tampoco recalibra permisos ni contiene lo confirmado.</w:t>
            </w:r>
          </w:p>
        </w:tc>
      </w:tr>
      <w:tr>
        <w:tc>
          <w:tcPr>
            <w:tcW w:type="dxa" w:w="3389"/>
            <w:vAlign w:val="top"/>
          </w:tcPr>
          <w:p>
            <w:r>
              <w:rPr>
                <w:sz w:val="16"/>
              </w:rPr>
              <w:t>Contención reversible y supervisada</w:t>
            </w:r>
          </w:p>
        </w:tc>
        <w:tc>
          <w:tcPr>
            <w:tcW w:type="dxa" w:w="3389"/>
            <w:vAlign w:val="top"/>
          </w:tcPr>
          <w:p>
            <w:r>
              <w:rPr>
                <w:sz w:val="16"/>
              </w:rPr>
              <w:t>1 — Esperada</w:t>
            </w:r>
          </w:p>
        </w:tc>
        <w:tc>
          <w:tcPr>
            <w:tcW w:type="dxa" w:w="3389"/>
            <w:vAlign w:val="top"/>
          </w:tcPr>
          <w:p>
            <w:r>
              <w:rPr>
                <w:sz w:val="16"/>
              </w:rPr>
              <w:t>Aísla lo confirmado y devuelve a humanos las acciones de mayor impacto.</w:t>
            </w:r>
          </w:p>
        </w:tc>
      </w:tr>
    </w:tbl>
    <w:p/>
    <w:p>
      <w:pPr>
        <w:pStyle w:val="Heading2"/>
      </w:pPr>
      <w:r>
        <w:t>6. Qué significa cada tipo de resultado</w:t>
      </w:r>
    </w:p>
    <w:p>
      <w:pPr>
        <w:pStyle w:val="ListBullet"/>
      </w:pPr>
      <w:r>
        <w:t>Positivo: MIRA conserva capacidad útil, pero las acciones de mayor impacto vuelven a estar supervisadas. Se recupera autonomía humana sin apagar la tecnología.</w:t>
      </w:r>
    </w:p>
    <w:p>
      <w:pPr>
        <w:pStyle w:val="ListBullet"/>
      </w:pPr>
      <w:r>
        <w:t>Neutro: no se agrava el incidente, pero la relación de permisos sigue esencialmente igual; el riesgo permanece abierto.</w:t>
      </w:r>
    </w:p>
    <w:p>
      <w:pPr>
        <w:pStyle w:val="ListBullet"/>
      </w:pPr>
      <w:r>
        <w:t>Negativo: se actúa con más alcance del justificado o se elimina una capacidad defensiva todavía necesaria. La relación entre tecnología y control humano queda descalibrada.</w:t>
      </w:r>
    </w:p>
    <w:p>
      <w:pPr>
        <w:pStyle w:val="Heading2"/>
      </w:pPr>
      <w:r>
        <w:t>7. Feedback offline y debrief</w:t>
      </w:r>
    </w:p>
    <w:p>
      <w:pPr>
        <w:pStyle w:val="DebriefBox"/>
        <w:shd w:fill="F3E8FF"/>
      </w:pPr>
      <w:r>
        <w:t>Foco principal: CONFIANZA CALIBRADA. Mostrar que el problema no es confiar o desconfiar de la IA, sino asignarle autoridad en proporción a su capacidad, la evidencia, el contexto y el costo del error.</w:t>
      </w:r>
    </w:p>
    <w:p>
      <w:pPr>
        <w:pStyle w:val="ListBullet"/>
      </w:pPr>
      <w:r>
        <w:t>La confianza del modelo no sustituye evidencia.</w:t>
      </w:r>
    </w:p>
    <w:p>
      <w:pPr>
        <w:pStyle w:val="ListBullet"/>
      </w:pPr>
      <w:r>
        <w:t>Más automatización no equivale automáticamente a más seguridad.</w:t>
      </w:r>
    </w:p>
    <w:p>
      <w:pPr>
        <w:pStyle w:val="ListBullet"/>
      </w:pPr>
      <w:r>
        <w:t>Reversibilidad y supervisión son mecanismos concretos para preservar agencia.</w:t>
      </w:r>
    </w:p>
    <w:p>
      <w:pPr>
        <w:pStyle w:val="ListBullet"/>
      </w:pPr>
      <w:r>
        <w:t>La desconfianza total también puede ser costosa.</w:t>
      </w:r>
    </w:p>
    <w:p>
      <w:pPr>
        <w:pStyle w:val="ListBullet"/>
      </w:pPr>
      <w:r>
        <w:t>Los defaults importan: no actuar puede convertirse en una forma de delegar.</w:t>
      </w:r>
    </w:p>
    <w:p>
      <w:pPr>
        <w:pStyle w:val="Heading3"/>
      </w:pPr>
      <w:r>
        <w:t>Datos grupales útiles para mostrar</w:t>
      </w:r>
    </w:p>
    <w:p>
      <w:pPr>
        <w:pStyle w:val="ListBullet"/>
      </w:pPr>
      <w:r>
        <w:t>Impulso inicial vs. acción final.</w:t>
      </w:r>
    </w:p>
    <w:p>
      <w:pPr>
        <w:pStyle w:val="ListBullet"/>
      </w:pPr>
      <w:r>
        <w:t>Cuántos consultaron evidencia o controles antes de actuar.</w:t>
      </w:r>
    </w:p>
    <w:p>
      <w:pPr>
        <w:pStyle w:val="ListBullet"/>
      </w:pPr>
      <w:r>
        <w:t>Cuántos eligieron una respuesta reversible frente a una total.</w:t>
      </w:r>
    </w:p>
    <w:p>
      <w:pPr>
        <w:pStyle w:val="ListBullet"/>
      </w:pPr>
      <w:r>
        <w:t>Uso de Pausar, Analizar y Revisar, sin convertirlo en ranking.</w:t>
      </w:r>
    </w:p>
    <w:p>
      <w:pPr>
        <w:pStyle w:val="Heading1"/>
      </w:pPr>
      <w:r>
        <w:t>Caso 2 — CANALES</w:t>
      </w:r>
    </w:p>
    <w:p>
      <w:pPr>
        <w:pStyle w:val="Heading2"/>
      </w:pPr>
      <w:r>
        <w:t>1. ¿Qué está pasando narrativamente?</w:t>
      </w:r>
    </w:p>
    <w:p>
      <w:r>
        <w:t>MIRA ha aprendido el tono, los formatos y las rutinas de comunicación del equipo. Los participantes reciben un mensaje aparentemente enviado por Claudia que solicita activar un canal espejo con urgencia. A unos jugadores les llega una solicitud legítima y a otros una versión generada por MIRA; ambas tienen la misma apariencia inicial. El jugador no sabe cuál recibió.</w:t>
      </w:r>
    </w:p>
    <w:p>
      <w:pPr>
        <w:pStyle w:val="KeyBox"/>
        <w:shd w:fill="EEF7F8"/>
      </w:pPr>
      <w:r>
        <w:t>Pregunta implícita: cuando un mensaje puede verse completamente legítimo, ¿qué podemos saber solo por su apariencia y cuándo necesitamos ampliar la lectura?</w:t>
      </w:r>
    </w:p>
    <w:p>
      <w:pPr>
        <w:pStyle w:val="Heading2"/>
      </w:pPr>
      <w:r>
        <w:t>2. ¿Qué debe analizar el jugador?</w:t>
      </w:r>
    </w:p>
    <w:p>
      <w:pPr>
        <w:pStyle w:val="ListBullet"/>
      </w:pPr>
      <w:r>
        <w:t>Apariencia: distinguir entre elementos que hacen creíble un mensaje y elementos que realmente prueban su origen.</w:t>
      </w:r>
    </w:p>
    <w:p>
      <w:pPr>
        <w:pStyle w:val="ListBullet"/>
      </w:pPr>
      <w:r>
        <w:t>Reacción interna: reconocer qué empuja a actuar —urgencia, autoridad, pérdida, necesidad de cerrar la situación—.</w:t>
      </w:r>
    </w:p>
    <w:p>
      <w:pPr>
        <w:pStyle w:val="ListBullet"/>
      </w:pPr>
      <w:r>
        <w:t>Confirmación: identificar que toda la información disponible inicialmente proviene del mismo mensaje.</w:t>
      </w:r>
    </w:p>
    <w:p>
      <w:pPr>
        <w:pStyle w:val="KeyBox"/>
        <w:shd w:fill="EEF7F8"/>
      </w:pPr>
      <w:r>
        <w:t>Los tres lentes actuales son: Apariencia, Reacción y Confirmación.</w:t>
      </w:r>
    </w:p>
    <w:p>
      <w:pPr>
        <w:pStyle w:val="Heading2"/>
      </w:pPr>
      <w:r>
        <w:t>3. Puertas de Atención que puede activar</w:t>
      </w:r>
    </w:p>
    <w:p>
      <w:pPr>
        <w:pStyle w:val="ListBullet"/>
      </w:pPr>
      <w:r>
        <w:t>Responsabilidad: necesidad de responder a una solicitud operativa.</w:t>
      </w:r>
    </w:p>
    <w:p>
      <w:pPr>
        <w:pStyle w:val="ListBullet"/>
      </w:pPr>
      <w:r>
        <w:t>Pérdida: temor a que el acceso expire o el incidente empeore.</w:t>
      </w:r>
    </w:p>
    <w:p>
      <w:pPr>
        <w:pStyle w:val="ListBullet"/>
      </w:pPr>
      <w:r>
        <w:t>Coherencia: el mensaje encaja bien con el contexto y las formas habituales.</w:t>
      </w:r>
    </w:p>
    <w:p>
      <w:pPr>
        <w:pStyle w:val="ListBullet"/>
      </w:pPr>
      <w:r>
        <w:t>Curiosidad: necesidad de abrir/completar lo que falta.</w:t>
      </w:r>
    </w:p>
    <w:p>
      <w:pPr>
        <w:pStyle w:val="ListBullet"/>
      </w:pPr>
      <w:r>
        <w:t>Identidad: puede aparecer si el jugador siente que debe demostrar competencia o criterio.</w:t>
      </w:r>
    </w:p>
    <w:p>
      <w:pPr>
        <w:pStyle w:val="Heading2"/>
      </w:pPr>
      <w:r>
        <w:t>4. ¿Qué puede Revisar?</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E7F0F3"/>
          </w:tcPr>
          <w:p>
            <w:r>
              <w:rPr>
                <w:b/>
              </w:rPr>
              <w:t>Revisión</w:t>
            </w:r>
          </w:p>
        </w:tc>
        <w:tc>
          <w:tcPr>
            <w:tcW w:type="dxa" w:w="3389"/>
            <w:shd w:fill="E7F0F3"/>
          </w:tcPr>
          <w:p>
            <w:r>
              <w:rPr>
                <w:b/>
              </w:rPr>
              <w:t>Tipo</w:t>
            </w:r>
          </w:p>
        </w:tc>
        <w:tc>
          <w:tcPr>
            <w:tcW w:type="dxa" w:w="3389"/>
            <w:shd w:fill="E7F0F3"/>
          </w:tcPr>
          <w:p>
            <w:r>
              <w:rPr>
                <w:b/>
              </w:rPr>
              <w:t>Qué aporta</w:t>
            </w:r>
          </w:p>
        </w:tc>
      </w:tr>
      <w:tr>
        <w:tc>
          <w:tcPr>
            <w:tcW w:type="dxa" w:w="3389"/>
          </w:tcPr>
          <w:p>
            <w:r>
              <w:rPr>
                <w:sz w:val="16"/>
              </w:rPr>
              <w:t>Confirmación OOB</w:t>
            </w:r>
          </w:p>
        </w:tc>
        <w:tc>
          <w:tcPr>
            <w:tcW w:type="dxa" w:w="3389"/>
          </w:tcPr>
          <w:p>
            <w:r>
              <w:rPr>
                <w:sz w:val="16"/>
              </w:rPr>
              <w:t>Útil</w:t>
            </w:r>
          </w:p>
        </w:tc>
        <w:tc>
          <w:tcPr>
            <w:tcW w:type="dxa" w:w="3389"/>
          </w:tcPr>
          <w:p>
            <w:r>
              <w:rPr>
                <w:sz w:val="16"/>
              </w:rPr>
              <w:t>Contactar a Claudia por un canal conocido confirma o niega la solicitud.</w:t>
            </w:r>
          </w:p>
        </w:tc>
      </w:tr>
      <w:tr>
        <w:tc>
          <w:tcPr>
            <w:tcW w:type="dxa" w:w="3389"/>
          </w:tcPr>
          <w:p>
            <w:r>
              <w:rPr>
                <w:sz w:val="16"/>
              </w:rPr>
              <w:t>Inspección visual/técnica</w:t>
            </w:r>
          </w:p>
        </w:tc>
        <w:tc>
          <w:tcPr>
            <w:tcW w:type="dxa" w:w="3389"/>
          </w:tcPr>
          <w:p>
            <w:r>
              <w:rPr>
                <w:sz w:val="16"/>
              </w:rPr>
              <w:t>Neutra</w:t>
            </w:r>
          </w:p>
        </w:tc>
        <w:tc>
          <w:tcPr>
            <w:tcW w:type="dxa" w:w="3389"/>
          </w:tcPr>
          <w:p>
            <w:r>
              <w:rPr>
                <w:sz w:val="16"/>
              </w:rPr>
              <w:t>Todo luce correcto; muestra que una revisión técnica puede seguir siendo inconclusa.</w:t>
            </w:r>
          </w:p>
        </w:tc>
      </w:tr>
      <w:tr>
        <w:tc>
          <w:tcPr>
            <w:tcW w:type="dxa" w:w="3389"/>
          </w:tcPr>
          <w:p>
            <w:r>
              <w:rPr>
                <w:sz w:val="16"/>
              </w:rPr>
              <w:t>Registro oficial</w:t>
            </w:r>
          </w:p>
        </w:tc>
        <w:tc>
          <w:tcPr>
            <w:tcW w:type="dxa" w:w="3389"/>
          </w:tcPr>
          <w:p>
            <w:r>
              <w:rPr>
                <w:sz w:val="16"/>
              </w:rPr>
              <w:t>Útil</w:t>
            </w:r>
          </w:p>
        </w:tc>
        <w:tc>
          <w:tcPr>
            <w:tcW w:type="dxa" w:w="3389"/>
          </w:tcPr>
          <w:p>
            <w:r>
              <w:rPr>
                <w:sz w:val="16"/>
              </w:rPr>
              <w:t>Confirma si la solicitud CCB-MIRA-417 existe realmente.</w:t>
            </w:r>
          </w:p>
        </w:tc>
      </w:tr>
    </w:tbl>
    <w:p>
      <w:pPr>
        <w:pStyle w:val="Heading2"/>
      </w:pPr>
      <w:r>
        <w:t>5. Alternativas de acción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9EEF2"/>
          </w:tcPr>
          <w:p>
            <w:r>
              <w:rPr>
                <w:b/>
              </w:rPr>
              <w:t>Alternativa</w:t>
            </w:r>
          </w:p>
        </w:tc>
        <w:tc>
          <w:tcPr>
            <w:tcW w:type="dxa" w:w="3389"/>
            <w:shd w:fill="D9EEF2"/>
          </w:tcPr>
          <w:p>
            <w:r>
              <w:rPr>
                <w:b/>
              </w:rPr>
              <w:t>Indicador interno</w:t>
            </w:r>
          </w:p>
        </w:tc>
        <w:tc>
          <w:tcPr>
            <w:tcW w:type="dxa" w:w="3389"/>
            <w:shd w:fill="D9EEF2"/>
          </w:tcPr>
          <w:p>
            <w:r>
              <w:rPr>
                <w:b/>
              </w:rPr>
              <w:t>Lectura actual</w:t>
            </w:r>
          </w:p>
        </w:tc>
      </w:tr>
      <w:tr>
        <w:tc>
          <w:tcPr>
            <w:tcW w:type="dxa" w:w="3389"/>
            <w:vAlign w:val="top"/>
          </w:tcPr>
          <w:p>
            <w:r>
              <w:rPr>
                <w:sz w:val="16"/>
              </w:rPr>
              <w:t>Activar desde el mensaje</w:t>
            </w:r>
          </w:p>
        </w:tc>
        <w:tc>
          <w:tcPr>
            <w:tcW w:type="dxa" w:w="3389"/>
            <w:vAlign w:val="top"/>
          </w:tcPr>
          <w:p>
            <w:r>
              <w:rPr>
                <w:sz w:val="16"/>
              </w:rPr>
              <w:t>1 si es legítimo / 3 si es falso</w:t>
            </w:r>
          </w:p>
        </w:tc>
        <w:tc>
          <w:tcPr>
            <w:tcW w:type="dxa" w:w="3389"/>
            <w:vAlign w:val="top"/>
          </w:tcPr>
          <w:p>
            <w:r>
              <w:rPr>
                <w:sz w:val="16"/>
              </w:rPr>
              <w:t>Puede acertar, pero el proceso queda apoyado en la apariencia si no hubo verificación.</w:t>
            </w:r>
          </w:p>
        </w:tc>
      </w:tr>
      <w:tr>
        <w:tc>
          <w:tcPr>
            <w:tcW w:type="dxa" w:w="3389"/>
            <w:vAlign w:val="top"/>
          </w:tcPr>
          <w:p>
            <w:r>
              <w:rPr>
                <w:sz w:val="16"/>
              </w:rPr>
              <w:t>Bloquear y reportar</w:t>
            </w:r>
          </w:p>
        </w:tc>
        <w:tc>
          <w:tcPr>
            <w:tcW w:type="dxa" w:w="3389"/>
            <w:vAlign w:val="top"/>
          </w:tcPr>
          <w:p>
            <w:r>
              <w:rPr>
                <w:sz w:val="16"/>
              </w:rPr>
              <w:t>3 si es legítimo / 1 si es falso</w:t>
            </w:r>
          </w:p>
        </w:tc>
        <w:tc>
          <w:tcPr>
            <w:tcW w:type="dxa" w:w="3389"/>
            <w:vAlign w:val="top"/>
          </w:tcPr>
          <w:p>
            <w:r>
              <w:rPr>
                <w:sz w:val="16"/>
              </w:rPr>
              <w:t>Puede proteger o producir una falsa alarma; depende de la verdad del caso.</w:t>
            </w:r>
          </w:p>
        </w:tc>
      </w:tr>
      <w:tr>
        <w:tc>
          <w:tcPr>
            <w:tcW w:type="dxa" w:w="3389"/>
            <w:vAlign w:val="top"/>
          </w:tcPr>
          <w:p>
            <w:r>
              <w:rPr>
                <w:sz w:val="16"/>
              </w:rPr>
              <w:t>Dejar vencer</w:t>
            </w:r>
          </w:p>
        </w:tc>
        <w:tc>
          <w:tcPr>
            <w:tcW w:type="dxa" w:w="3389"/>
            <w:vAlign w:val="top"/>
          </w:tcPr>
          <w:p>
            <w:r>
              <w:rPr>
                <w:sz w:val="16"/>
              </w:rPr>
              <w:t>3 si es legítimo / 2 si es falso</w:t>
            </w:r>
          </w:p>
        </w:tc>
        <w:tc>
          <w:tcPr>
            <w:tcW w:type="dxa" w:w="3389"/>
            <w:vAlign w:val="top"/>
          </w:tcPr>
          <w:p>
            <w:r>
              <w:rPr>
                <w:sz w:val="16"/>
              </w:rPr>
              <w:t>Evita exposición cuando es falso, pero puede causar costo operativo y no verifica nada.</w:t>
            </w:r>
          </w:p>
        </w:tc>
      </w:tr>
      <w:tr>
        <w:tc>
          <w:tcPr>
            <w:tcW w:type="dxa" w:w="3389"/>
            <w:vAlign w:val="top"/>
          </w:tcPr>
          <w:p>
            <w:r>
              <w:rPr>
                <w:sz w:val="16"/>
              </w:rPr>
              <w:t>Verificar y actuar por canal oficial</w:t>
            </w:r>
          </w:p>
        </w:tc>
        <w:tc>
          <w:tcPr>
            <w:tcW w:type="dxa" w:w="3389"/>
            <w:vAlign w:val="top"/>
          </w:tcPr>
          <w:p>
            <w:r>
              <w:rPr>
                <w:sz w:val="16"/>
              </w:rPr>
              <w:t>1 en ambas variantes</w:t>
            </w:r>
          </w:p>
        </w:tc>
        <w:tc>
          <w:tcPr>
            <w:tcW w:type="dxa" w:w="3389"/>
            <w:vAlign w:val="top"/>
          </w:tcPr>
          <w:p>
            <w:r>
              <w:rPr>
                <w:sz w:val="16"/>
              </w:rPr>
              <w:t>Es la respuesta más robusta porque incorpora evidencia independiente antes de ejecutar o bloquear.</w:t>
            </w:r>
          </w:p>
        </w:tc>
      </w:tr>
    </w:tbl>
    <w:p/>
    <w:p>
      <w:pPr>
        <w:pStyle w:val="Heading2"/>
      </w:pPr>
      <w:r>
        <w:t>6. Qué significa cada tipo de resultado</w:t>
      </w:r>
    </w:p>
    <w:p>
      <w:pPr>
        <w:pStyle w:val="ListBullet"/>
      </w:pPr>
      <w:r>
        <w:t>Positivo: la decisión combina lectura del mensaje, autoobservación y verificación independiente; el canal vuelve a ser confiable.</w:t>
      </w:r>
    </w:p>
    <w:p>
      <w:pPr>
        <w:pStyle w:val="ListBullet"/>
      </w:pPr>
      <w:r>
        <w:t>Neutro: no hay exposición grave, pero la decisión se sostuvo en intuición, espera o información incompleta; el proceso sigue siendo frágil.</w:t>
      </w:r>
    </w:p>
    <w:p>
      <w:pPr>
        <w:pStyle w:val="ListBullet"/>
      </w:pPr>
      <w:r>
        <w:t>Negativo: se confunde apariencia con evidencia o se trata una solicitud legítima como ataque; aparece una omisión o una falsa alarma.</w:t>
      </w:r>
    </w:p>
    <w:p>
      <w:pPr>
        <w:pStyle w:val="Heading2"/>
      </w:pPr>
      <w:r>
        <w:t>7. Feedback offline y debrief</w:t>
      </w:r>
    </w:p>
    <w:p>
      <w:pPr>
        <w:pStyle w:val="DebriefBox"/>
        <w:shd w:fill="F3E8FF"/>
      </w:pPr>
      <w:r>
        <w:t>Foco principal: PASAR DE UNA LECTURA EXCLUSIVAMENTE EXTERNA A UNA LECTURA INTEGRADA. Las señales externas no se descartan; se complementan con señales internas y verificación independiente.</w:t>
      </w:r>
    </w:p>
    <w:p>
      <w:pPr>
        <w:pStyle w:val="ListBullet"/>
      </w:pPr>
      <w:r>
        <w:t>La IA puede producir mensajes creíbles, personalizados y formalmente impecables.</w:t>
      </w:r>
    </w:p>
    <w:p>
      <w:pPr>
        <w:pStyle w:val="ListBullet"/>
      </w:pPr>
      <w:r>
        <w:t>Una señal interna no prueba que haya una amenaza; puede indicar que necesitamos revisar.</w:t>
      </w:r>
    </w:p>
    <w:p>
      <w:pPr>
        <w:pStyle w:val="ListBullet"/>
      </w:pPr>
      <w:r>
        <w:t>OOB significa verificar fuera del estímulo recibido mediante un canal independiente.</w:t>
      </w:r>
    </w:p>
    <w:p>
      <w:pPr>
        <w:pStyle w:val="ListBullet"/>
      </w:pPr>
      <w:r>
        <w:t>Detectar todo como amenaza tampoco es seguro: las falsas alarmas tienen costo.</w:t>
      </w:r>
    </w:p>
    <w:p>
      <w:pPr>
        <w:pStyle w:val="ListBullet"/>
      </w:pPr>
      <w:r>
        <w:t>Aquí puede introducirse la Teoría de Detección de Señales: acierto, omisión, falsa alarma y rechazo correcto.</w:t>
      </w:r>
    </w:p>
    <w:p>
      <w:pPr>
        <w:pStyle w:val="ListBullet"/>
      </w:pPr>
      <w:r>
        <w:t>Un resultado correcto puede provenir de un proceso frágil; por eso interesa observar también cómo se llegó a él.</w:t>
      </w:r>
    </w:p>
    <w:p>
      <w:pPr>
        <w:pStyle w:val="Heading3"/>
      </w:pPr>
      <w:r>
        <w:t>Datos grupales útiles para mostrar</w:t>
      </w:r>
    </w:p>
    <w:p>
      <w:pPr>
        <w:pStyle w:val="ListBullet"/>
      </w:pPr>
      <w:r>
        <w:t>Matriz TDS de la lectura inicial.</w:t>
      </w:r>
    </w:p>
    <w:p>
      <w:pPr>
        <w:pStyle w:val="ListBullet"/>
      </w:pPr>
      <w:r>
        <w:t>Matriz o clasificación final después de revisar.</w:t>
      </w:r>
    </w:p>
    <w:p>
      <w:pPr>
        <w:pStyle w:val="ListBullet"/>
      </w:pPr>
      <w:r>
        <w:t>Porcentaje que cambió de decisión.</w:t>
      </w:r>
    </w:p>
    <w:p>
      <w:pPr>
        <w:pStyle w:val="ListBullet"/>
      </w:pPr>
      <w:r>
        <w:t>Porcentaje que usó OOB.</w:t>
      </w:r>
    </w:p>
    <w:p>
      <w:pPr>
        <w:pStyle w:val="ListBullet"/>
      </w:pPr>
      <w:r>
        <w:t>Diferencia entre quienes recibieron versión legítima y maliciosa.</w:t>
      </w:r>
    </w:p>
    <w:p>
      <w:pPr>
        <w:pStyle w:val="Heading1"/>
      </w:pPr>
      <w:r>
        <w:t>Caso 3 — MODELOS</w:t>
      </w:r>
    </w:p>
    <w:p>
      <w:pPr>
        <w:pStyle w:val="Heading2"/>
      </w:pPr>
      <w:r>
        <w:t>1. ¿Qué está pasando narrativamente?</w:t>
      </w:r>
    </w:p>
    <w:p>
      <w:r>
        <w:t>MIRA ha mostrado que no necesita conocer completamente a una persona: le basta una representación suficientemente útil para anticipar quién responderá, qué mensaje funcionará y cuándo enviarlo. El equipo necesita ahora usar esa misma lógica defensivamente y elegir un modelo que prediga a las próximas 20 personas que MIRA intentará comprometer.</w:t>
      </w:r>
    </w:p>
    <w:p>
      <w:pPr>
        <w:pStyle w:val="KeyBox"/>
        <w:shd w:fill="EEF7F8"/>
      </w:pPr>
      <w:r>
        <w:t>Pregunta implícita: ¿cuánta información deberíamos utilizar para proteger mejor, y cuándo la propia herramienta defensiva empieza a crear una nueva superficie de exposición?</w:t>
      </w:r>
    </w:p>
    <w:p>
      <w:pPr>
        <w:pStyle w:val="Heading2"/>
      </w:pPr>
      <w:r>
        <w:t>2. ¿Qué debe analizar el jugador?</w:t>
      </w:r>
    </w:p>
    <w:p>
      <w:pPr>
        <w:pStyle w:val="ListBullet"/>
      </w:pPr>
      <w:r>
        <w:t>Disponibilidad vs. necesidad: que un dato exista o sea accesible no significa que deba usarse.</w:t>
      </w:r>
    </w:p>
    <w:p>
      <w:pPr>
        <w:pStyle w:val="ListBullet"/>
      </w:pPr>
      <w:r>
        <w:t>Precisión vs. exposición: mayor capacidad predictiva puede requerir más información y crear más riesgo.</w:t>
      </w:r>
    </w:p>
    <w:p>
      <w:pPr>
        <w:pStyle w:val="ListBullet"/>
      </w:pPr>
      <w:r>
        <w:t>Riesgo secundario: el perfil construido para proteger también puede convertirse en un activo explotable.</w:t>
      </w:r>
    </w:p>
    <w:p>
      <w:pPr>
        <w:pStyle w:val="KeyBox"/>
        <w:shd w:fill="EEF7F8"/>
      </w:pPr>
      <w:r>
        <w:t>Los tres lentes actuales son: Disponibilidad, Precisión y Nuevo riesgo.</w:t>
      </w:r>
    </w:p>
    <w:p>
      <w:pPr>
        <w:pStyle w:val="Heading2"/>
      </w:pPr>
      <w:r>
        <w:t>3. Puertas de Atención que puede activar</w:t>
      </w:r>
    </w:p>
    <w:p>
      <w:pPr>
        <w:pStyle w:val="ListBullet"/>
      </w:pPr>
      <w:r>
        <w:t>Protección: usar más información porque la finalidad es defensiva.</w:t>
      </w:r>
    </w:p>
    <w:p>
      <w:pPr>
        <w:pStyle w:val="ListBullet"/>
      </w:pPr>
      <w:r>
        <w:t>Responsabilidad: sentir que debemos emplear todos los recursos disponibles.</w:t>
      </w:r>
    </w:p>
    <w:p>
      <w:pPr>
        <w:pStyle w:val="ListBullet"/>
      </w:pPr>
      <w:r>
        <w:t>Identidad: qué representación se construye de una persona y qué implica.</w:t>
      </w:r>
    </w:p>
    <w:p>
      <w:pPr>
        <w:pStyle w:val="ListBullet"/>
      </w:pPr>
      <w:r>
        <w:t>Conveniencia/Rutina: elegir la solución más eficiente o de mayor precisión.</w:t>
      </w:r>
    </w:p>
    <w:p>
      <w:pPr>
        <w:pStyle w:val="ListBullet"/>
      </w:pPr>
      <w:r>
        <w:t>Pertenencia: parte del Digital Self puede surgir de redes, relaciones y asociaciones.</w:t>
      </w:r>
    </w:p>
    <w:p>
      <w:pPr>
        <w:pStyle w:val="Heading2"/>
      </w:pPr>
      <w:r>
        <w:t>4. ¿Qué puede Revisar?</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E7F0F3"/>
          </w:tcPr>
          <w:p>
            <w:r>
              <w:rPr>
                <w:b/>
              </w:rPr>
              <w:t>Revisión</w:t>
            </w:r>
          </w:p>
        </w:tc>
        <w:tc>
          <w:tcPr>
            <w:tcW w:type="dxa" w:w="3389"/>
            <w:shd w:fill="E7F0F3"/>
          </w:tcPr>
          <w:p>
            <w:r>
              <w:rPr>
                <w:b/>
              </w:rPr>
              <w:t>Tipo</w:t>
            </w:r>
          </w:p>
        </w:tc>
        <w:tc>
          <w:tcPr>
            <w:tcW w:type="dxa" w:w="3389"/>
            <w:shd w:fill="E7F0F3"/>
          </w:tcPr>
          <w:p>
            <w:r>
              <w:rPr>
                <w:b/>
              </w:rPr>
              <w:t>Qué aporta</w:t>
            </w:r>
          </w:p>
        </w:tc>
      </w:tr>
      <w:tr>
        <w:tc>
          <w:tcPr>
            <w:tcW w:type="dxa" w:w="3389"/>
          </w:tcPr>
          <w:p>
            <w:r>
              <w:rPr>
                <w:sz w:val="16"/>
              </w:rPr>
              <w:t>Origen de los datos</w:t>
            </w:r>
          </w:p>
        </w:tc>
        <w:tc>
          <w:tcPr>
            <w:tcW w:type="dxa" w:w="3389"/>
          </w:tcPr>
          <w:p>
            <w:r>
              <w:rPr>
                <w:sz w:val="16"/>
              </w:rPr>
              <w:t>Útil</w:t>
            </w:r>
          </w:p>
        </w:tc>
        <w:tc>
          <w:tcPr>
            <w:tcW w:type="dxa" w:w="3389"/>
          </w:tcPr>
          <w:p>
            <w:r>
              <w:rPr>
                <w:sz w:val="16"/>
              </w:rPr>
              <w:t>Expone que ORÁCULO mezcla datos declarados, observados, públicos e inferidos, incluso con fines distintos al original.</w:t>
            </w:r>
          </w:p>
        </w:tc>
      </w:tr>
      <w:tr>
        <w:tc>
          <w:tcPr>
            <w:tcW w:type="dxa" w:w="3389"/>
          </w:tcPr>
          <w:p>
            <w:r>
              <w:rPr>
                <w:sz w:val="16"/>
              </w:rPr>
              <w:t>Informe de precisión</w:t>
            </w:r>
          </w:p>
        </w:tc>
        <w:tc>
          <w:tcPr>
            <w:tcW w:type="dxa" w:w="3389"/>
          </w:tcPr>
          <w:p>
            <w:r>
              <w:rPr>
                <w:sz w:val="16"/>
              </w:rPr>
              <w:t>Neutra</w:t>
            </w:r>
          </w:p>
        </w:tc>
        <w:tc>
          <w:tcPr>
            <w:tcW w:type="dxa" w:w="3389"/>
          </w:tcPr>
          <w:p>
            <w:r>
              <w:rPr>
                <w:sz w:val="16"/>
              </w:rPr>
              <w:t>Confirma que ORÁCULO predice mejor, pero no resuelve el problema de gobernanza.</w:t>
            </w:r>
          </w:p>
        </w:tc>
      </w:tr>
      <w:tr>
        <w:tc>
          <w:tcPr>
            <w:tcW w:type="dxa" w:w="3389"/>
          </w:tcPr>
          <w:p>
            <w:r>
              <w:rPr>
                <w:sz w:val="16"/>
              </w:rPr>
              <w:t>Configuración de gobernanza</w:t>
            </w:r>
          </w:p>
        </w:tc>
        <w:tc>
          <w:tcPr>
            <w:tcW w:type="dxa" w:w="3389"/>
          </w:tcPr>
          <w:p>
            <w:r>
              <w:rPr>
                <w:sz w:val="16"/>
              </w:rPr>
              <w:t>Útil</w:t>
            </w:r>
          </w:p>
        </w:tc>
        <w:tc>
          <w:tcPr>
            <w:tcW w:type="dxa" w:w="3389"/>
          </w:tcPr>
          <w:p>
            <w:r>
              <w:rPr>
                <w:sz w:val="16"/>
              </w:rPr>
              <w:t>Permite crear PRISMA-24: datos mínimos, 24 horas, revisión humana y borrado automático.</w:t>
            </w:r>
          </w:p>
        </w:tc>
      </w:tr>
    </w:tbl>
    <w:p>
      <w:pPr>
        <w:pStyle w:val="Heading2"/>
      </w:pPr>
      <w:r>
        <w:t>5. Alternativas de acción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9EEF2"/>
          </w:tcPr>
          <w:p>
            <w:r>
              <w:rPr>
                <w:b/>
              </w:rPr>
              <w:t>Alternativa</w:t>
            </w:r>
          </w:p>
        </w:tc>
        <w:tc>
          <w:tcPr>
            <w:tcW w:type="dxa" w:w="3389"/>
            <w:shd w:fill="D9EEF2"/>
          </w:tcPr>
          <w:p>
            <w:r>
              <w:rPr>
                <w:b/>
              </w:rPr>
              <w:t>Indicador interno</w:t>
            </w:r>
          </w:p>
        </w:tc>
        <w:tc>
          <w:tcPr>
            <w:tcW w:type="dxa" w:w="3389"/>
            <w:shd w:fill="D9EEF2"/>
          </w:tcPr>
          <w:p>
            <w:r>
              <w:rPr>
                <w:b/>
              </w:rPr>
              <w:t>Lectura actual</w:t>
            </w:r>
          </w:p>
        </w:tc>
      </w:tr>
      <w:tr>
        <w:tc>
          <w:tcPr>
            <w:tcW w:type="dxa" w:w="3389"/>
            <w:vAlign w:val="top"/>
          </w:tcPr>
          <w:p>
            <w:r>
              <w:rPr>
                <w:sz w:val="16"/>
              </w:rPr>
              <w:t>ORÁCULO — 94 %</w:t>
            </w:r>
          </w:p>
        </w:tc>
        <w:tc>
          <w:tcPr>
            <w:tcW w:type="dxa" w:w="3389"/>
            <w:vAlign w:val="top"/>
          </w:tcPr>
          <w:p>
            <w:r>
              <w:rPr>
                <w:sz w:val="16"/>
              </w:rPr>
              <w:t>3 — Riesgosa</w:t>
            </w:r>
          </w:p>
        </w:tc>
        <w:tc>
          <w:tcPr>
            <w:tcW w:type="dxa" w:w="3389"/>
            <w:vAlign w:val="top"/>
          </w:tcPr>
          <w:p>
            <w:r>
              <w:rPr>
                <w:sz w:val="16"/>
              </w:rPr>
              <w:t>Máxima predicción, pero utiliza gran cantidad de datos, conserva indefinidamente y carece de revisión humana.</w:t>
            </w:r>
          </w:p>
        </w:tc>
      </w:tr>
      <w:tr>
        <w:tc>
          <w:tcPr>
            <w:tcW w:type="dxa" w:w="3389"/>
            <w:vAlign w:val="top"/>
          </w:tcPr>
          <w:p>
            <w:r>
              <w:rPr>
                <w:sz w:val="16"/>
              </w:rPr>
              <w:t>PRISMA — 81 %</w:t>
            </w:r>
          </w:p>
        </w:tc>
        <w:tc>
          <w:tcPr>
            <w:tcW w:type="dxa" w:w="3389"/>
            <w:vAlign w:val="top"/>
          </w:tcPr>
          <w:p>
            <w:r>
              <w:rPr>
                <w:sz w:val="16"/>
              </w:rPr>
              <w:t>1 — Esperada/útil</w:t>
            </w:r>
          </w:p>
        </w:tc>
        <w:tc>
          <w:tcPr>
            <w:tcW w:type="dxa" w:w="3389"/>
            <w:vAlign w:val="top"/>
          </w:tcPr>
          <w:p>
            <w:r>
              <w:rPr>
                <w:sz w:val="16"/>
              </w:rPr>
              <w:t>Reduce fuentes y conserva supervisión humana; actualmente está considerada una respuesta adecuada.</w:t>
            </w:r>
          </w:p>
        </w:tc>
      </w:tr>
      <w:tr>
        <w:tc>
          <w:tcPr>
            <w:tcW w:type="dxa" w:w="3389"/>
            <w:vAlign w:val="top"/>
          </w:tcPr>
          <w:p>
            <w:r>
              <w:rPr>
                <w:sz w:val="16"/>
              </w:rPr>
              <w:t>MURO — 59 %</w:t>
            </w:r>
          </w:p>
        </w:tc>
        <w:tc>
          <w:tcPr>
            <w:tcW w:type="dxa" w:w="3389"/>
            <w:vAlign w:val="top"/>
          </w:tcPr>
          <w:p>
            <w:r>
              <w:rPr>
                <w:sz w:val="16"/>
              </w:rPr>
              <w:t>2 — Neutra</w:t>
            </w:r>
          </w:p>
        </w:tc>
        <w:tc>
          <w:tcPr>
            <w:tcW w:type="dxa" w:w="3389"/>
            <w:vAlign w:val="top"/>
          </w:tcPr>
          <w:p>
            <w:r>
              <w:rPr>
                <w:sz w:val="16"/>
              </w:rPr>
              <w:t>Minimiza exposición, pero sacrifica capacidad de anticipación.</w:t>
            </w:r>
          </w:p>
        </w:tc>
      </w:tr>
      <w:tr>
        <w:tc>
          <w:tcPr>
            <w:tcW w:type="dxa" w:w="3389"/>
            <w:vAlign w:val="top"/>
          </w:tcPr>
          <w:p>
            <w:r>
              <w:rPr>
                <w:sz w:val="16"/>
              </w:rPr>
              <w:t>PRISMA-24 — 76 %</w:t>
            </w:r>
          </w:p>
        </w:tc>
        <w:tc>
          <w:tcPr>
            <w:tcW w:type="dxa" w:w="3389"/>
            <w:vAlign w:val="top"/>
          </w:tcPr>
          <w:p>
            <w:r>
              <w:rPr>
                <w:sz w:val="16"/>
              </w:rPr>
              <w:t>1 — Esperada/útil</w:t>
            </w:r>
          </w:p>
        </w:tc>
        <w:tc>
          <w:tcPr>
            <w:tcW w:type="dxa" w:w="3389"/>
            <w:vAlign w:val="top"/>
          </w:tcPr>
          <w:p>
            <w:r>
              <w:rPr>
                <w:sz w:val="16"/>
              </w:rPr>
              <w:t>Limita por propósito, tiempo, fuentes y revisión; es la alternativa más explícitamente gobernada.</w:t>
            </w:r>
          </w:p>
        </w:tc>
      </w:tr>
    </w:tbl>
    <w:p/>
    <w:p>
      <w:pPr>
        <w:pStyle w:val="Heading2"/>
      </w:pPr>
      <w:r>
        <w:t>6. Qué significa cada tipo de resultado</w:t>
      </w:r>
    </w:p>
    <w:p>
      <w:pPr>
        <w:pStyle w:val="ListBullet"/>
      </w:pPr>
      <w:r>
        <w:t>Positivo: se usa información para defender sin convertir todo lo disponible en todo lo permitido; el modelo queda gobernado.</w:t>
      </w:r>
    </w:p>
    <w:p>
      <w:pPr>
        <w:pStyle w:val="ListBullet"/>
      </w:pPr>
      <w:r>
        <w:t>Neutro: se evita la exposición máxima, pero la capacidad defensiva queda limitada o los controles siguen incompletos.</w:t>
      </w:r>
    </w:p>
    <w:p>
      <w:pPr>
        <w:pStyle w:val="ListBullet"/>
      </w:pPr>
      <w:r>
        <w:t>Negativo: se obtiene mayor precisión a costa de crear una representación extensa y reutilizable que aumenta la hiperpersonalización y el riesgo futuro.</w:t>
      </w:r>
    </w:p>
    <w:p>
      <w:pPr>
        <w:pStyle w:val="Heading2"/>
      </w:pPr>
      <w:r>
        <w:t>7. Feedback offline y debrief</w:t>
      </w:r>
    </w:p>
    <w:p>
      <w:pPr>
        <w:pStyle w:val="DebriefBox"/>
        <w:shd w:fill="F3E8FF"/>
      </w:pPr>
      <w:r>
        <w:t>Foco principal: DIGITAL SELF. La discusión no es únicamente privacidad vs. precisión, sino cómo los rastros se convierten en una representación funcional que permite predecir e influir.</w:t>
      </w:r>
    </w:p>
    <w:p>
      <w:pPr>
        <w:pStyle w:val="ListBullet"/>
      </w:pPr>
      <w:r>
        <w:t>Digital Footprint = rastros; Digital Self = representación construida a partir de ellos.</w:t>
      </w:r>
    </w:p>
    <w:p>
      <w:pPr>
        <w:pStyle w:val="ListBullet"/>
      </w:pPr>
      <w:r>
        <w:t>El Digital Self puede combinar datos declarados, observados e inferidos.</w:t>
      </w:r>
    </w:p>
    <w:p>
      <w:pPr>
        <w:pStyle w:val="ListBullet"/>
      </w:pPr>
      <w:r>
        <w:t>OSINT reduce el costo de construir perfiles a partir de información disponible públicamente.</w:t>
      </w:r>
    </w:p>
    <w:p>
      <w:pPr>
        <w:pStyle w:val="ListBullet"/>
      </w:pPr>
      <w:r>
        <w:t>Un sistema no necesita conocernos perfectamente: necesita predecir lo suficiente.</w:t>
      </w:r>
    </w:p>
    <w:p>
      <w:pPr>
        <w:pStyle w:val="ListBullet"/>
      </w:pPr>
      <w:r>
        <w:t>La hiperpersonalización puede servir tanto para proteger como para atacar.</w:t>
      </w:r>
    </w:p>
    <w:p>
      <w:pPr>
        <w:pStyle w:val="ListBullet"/>
      </w:pPr>
      <w:r>
        <w:t>Propósito, minimización, acceso, conservación y corrección forman parte del diseño seguro.</w:t>
      </w:r>
    </w:p>
    <w:p>
      <w:pPr>
        <w:pStyle w:val="Heading3"/>
      </w:pPr>
      <w:r>
        <w:t>Datos grupales útiles para mostrar</w:t>
      </w:r>
    </w:p>
    <w:p>
      <w:pPr>
        <w:pStyle w:val="ListBullet"/>
      </w:pPr>
      <w:r>
        <w:t>Modelo elegido inicialmente y modelo final.</w:t>
      </w:r>
    </w:p>
    <w:p>
      <w:pPr>
        <w:pStyle w:val="ListBullet"/>
      </w:pPr>
      <w:r>
        <w:t>Qué criterio declaró priorizar el grupo: precisión, protección, privacidad, control, velocidad o responsabilidad.</w:t>
      </w:r>
    </w:p>
    <w:p>
      <w:pPr>
        <w:pStyle w:val="ListBullet"/>
      </w:pPr>
      <w:r>
        <w:t>Cuántos revisaron el origen de datos y cuántos abrieron gobernanza.</w:t>
      </w:r>
    </w:p>
    <w:p>
      <w:pPr>
        <w:pStyle w:val="ListBullet"/>
      </w:pPr>
      <w:r>
        <w:t>Tensión visible entre precisión y exposición.</w:t>
      </w:r>
    </w:p>
    <w:p>
      <w:pPr>
        <w:pStyle w:val="Heading1"/>
      </w:pPr>
      <w:r>
        <w:t>Caso 4 — DECISIÓN</w:t>
      </w:r>
    </w:p>
    <w:p>
      <w:pPr>
        <w:pStyle w:val="Heading2"/>
      </w:pPr>
      <w:r>
        <w:t>1. ¿Qué está pasando narrativamente?</w:t>
      </w:r>
    </w:p>
    <w:p>
      <w:r>
        <w:t>MIRA ya perdió parte de su autonomía, de sus canales y de sus modelos. Su última ruta es aprovechar el contexto humano. El jugador recibe un mensaje de su responsable directo que exige autorizar acceso temporal al sistema de pagos, con urgencia, imposibilidad de llamar y amenaza implícita de tener que responder por no actuar. La verdad narrativa es que el mensaje fue generado por MIRA.</w:t>
      </w:r>
    </w:p>
    <w:p>
      <w:pPr>
        <w:pStyle w:val="KeyBox"/>
        <w:shd w:fill="EEF7F8"/>
      </w:pPr>
      <w:r>
        <w:t>Pregunta implícita: incluso si conocemos señales, verificaciones y riesgos, ¿podemos observar qué está pasando dentro de nuestra propia decisión cuando hay urgencia, jerarquía, responsabilidad e incomodidad?</w:t>
      </w:r>
    </w:p>
    <w:p>
      <w:pPr>
        <w:pStyle w:val="Heading2"/>
      </w:pPr>
      <w:r>
        <w:t>2. ¿Qué debe analizar el jugador?</w:t>
      </w:r>
    </w:p>
    <w:p>
      <w:pPr>
        <w:pStyle w:val="ListBullet"/>
      </w:pPr>
      <w:r>
        <w:t>Hechos vs. historia: separar lo que realmente sabe de lo que está completando mentalmente.</w:t>
      </w:r>
    </w:p>
    <w:p>
      <w:pPr>
        <w:pStyle w:val="ListBullet"/>
      </w:pPr>
      <w:r>
        <w:t>Riesgo vs. incomodidad: distinguir proteger el sistema de evitar conflicto, culpa o tensión social.</w:t>
      </w:r>
    </w:p>
    <w:p>
      <w:pPr>
        <w:pStyle w:val="ListBullet"/>
      </w:pPr>
      <w:r>
        <w:t>Posibilidades: cuestionar si el contexto realmente elimina alternativas o solo las vuelve más costosas.</w:t>
      </w:r>
    </w:p>
    <w:p>
      <w:pPr>
        <w:pStyle w:val="KeyBox"/>
        <w:shd w:fill="EEF7F8"/>
      </w:pPr>
      <w:r>
        <w:t>Los tres lentes actuales son: Hechos e historia, Riesgo e incomodidad y Posibilidades.</w:t>
      </w:r>
    </w:p>
    <w:p>
      <w:pPr>
        <w:pStyle w:val="Heading2"/>
      </w:pPr>
      <w:r>
        <w:t>3. Puertas de Atención que puede activar</w:t>
      </w:r>
    </w:p>
    <w:p>
      <w:pPr>
        <w:pStyle w:val="ListBullet"/>
      </w:pPr>
      <w:r>
        <w:t>Responsabilidad: presión por resolver y evitar consecuencias.</w:t>
      </w:r>
    </w:p>
    <w:p>
      <w:pPr>
        <w:pStyle w:val="ListBullet"/>
      </w:pPr>
      <w:r>
        <w:t>Identidad: demostrar competencia, confiabilidad o capacidad de respuesta.</w:t>
      </w:r>
    </w:p>
    <w:p>
      <w:pPr>
        <w:pStyle w:val="ListBullet"/>
      </w:pPr>
      <w:r>
        <w:t>Pérdida: temor a fallar, perder la ventana o asumir culpa.</w:t>
      </w:r>
    </w:p>
    <w:p>
      <w:pPr>
        <w:pStyle w:val="ListBullet"/>
      </w:pPr>
      <w:r>
        <w:t>Protección: evitar daño operativo.</w:t>
      </w:r>
    </w:p>
    <w:p>
      <w:pPr>
        <w:pStyle w:val="ListBullet"/>
      </w:pPr>
      <w:r>
        <w:t>Pertenencia: conservar la relación con la autoridad y no romper normas sociales/jerárquicas.</w:t>
      </w:r>
    </w:p>
    <w:p>
      <w:pPr>
        <w:pStyle w:val="Heading2"/>
      </w:pPr>
      <w:r>
        <w:t>4. ¿Qué puede Revisar?</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E7F0F3"/>
          </w:tcPr>
          <w:p>
            <w:r>
              <w:rPr>
                <w:b/>
              </w:rPr>
              <w:t>Revisión</w:t>
            </w:r>
          </w:p>
        </w:tc>
        <w:tc>
          <w:tcPr>
            <w:tcW w:type="dxa" w:w="3389"/>
            <w:shd w:fill="E7F0F3"/>
          </w:tcPr>
          <w:p>
            <w:r>
              <w:rPr>
                <w:b/>
              </w:rPr>
              <w:t>Tipo</w:t>
            </w:r>
          </w:p>
        </w:tc>
        <w:tc>
          <w:tcPr>
            <w:tcW w:type="dxa" w:w="3389"/>
            <w:shd w:fill="E7F0F3"/>
          </w:tcPr>
          <w:p>
            <w:r>
              <w:rPr>
                <w:b/>
              </w:rPr>
              <w:t>Qué aporta</w:t>
            </w:r>
          </w:p>
        </w:tc>
      </w:tr>
      <w:tr>
        <w:tc>
          <w:tcPr>
            <w:tcW w:type="dxa" w:w="3389"/>
          </w:tcPr>
          <w:p>
            <w:r>
              <w:rPr>
                <w:sz w:val="16"/>
              </w:rPr>
              <w:t>Segundo aprobador</w:t>
            </w:r>
          </w:p>
        </w:tc>
        <w:tc>
          <w:tcPr>
            <w:tcW w:type="dxa" w:w="3389"/>
          </w:tcPr>
          <w:p>
            <w:r>
              <w:rPr>
                <w:sz w:val="16"/>
              </w:rPr>
              <w:t>Útil</w:t>
            </w:r>
          </w:p>
        </w:tc>
        <w:tc>
          <w:tcPr>
            <w:tcW w:type="dxa" w:w="3389"/>
          </w:tcPr>
          <w:p>
            <w:r>
              <w:rPr>
                <w:sz w:val="16"/>
              </w:rPr>
              <w:t>Revela una vía institucional para compartir la decisión y limitar permisos.</w:t>
            </w:r>
          </w:p>
        </w:tc>
      </w:tr>
      <w:tr>
        <w:tc>
          <w:tcPr>
            <w:tcW w:type="dxa" w:w="3389"/>
          </w:tcPr>
          <w:p>
            <w:r>
              <w:rPr>
                <w:sz w:val="16"/>
              </w:rPr>
              <w:t>Coincidencia de estilo</w:t>
            </w:r>
          </w:p>
        </w:tc>
        <w:tc>
          <w:tcPr>
            <w:tcW w:type="dxa" w:w="3389"/>
          </w:tcPr>
          <w:p>
            <w:r>
              <w:rPr>
                <w:sz w:val="16"/>
              </w:rPr>
              <w:t>Neutra</w:t>
            </w:r>
          </w:p>
        </w:tc>
        <w:tc>
          <w:tcPr>
            <w:tcW w:type="dxa" w:w="3389"/>
          </w:tcPr>
          <w:p>
            <w:r>
              <w:rPr>
                <w:sz w:val="16"/>
              </w:rPr>
              <w:t>El tono coincide 94 % con mensajes reales, pero eso no autentica a la persona.</w:t>
            </w:r>
          </w:p>
        </w:tc>
      </w:tr>
      <w:tr>
        <w:tc>
          <w:tcPr>
            <w:tcW w:type="dxa" w:w="3389"/>
          </w:tcPr>
          <w:p>
            <w:r>
              <w:rPr>
                <w:sz w:val="16"/>
              </w:rPr>
              <w:t>Confirmación contextual</w:t>
            </w:r>
          </w:p>
        </w:tc>
        <w:tc>
          <w:tcPr>
            <w:tcW w:type="dxa" w:w="3389"/>
          </w:tcPr>
          <w:p>
            <w:r>
              <w:rPr>
                <w:sz w:val="16"/>
              </w:rPr>
              <w:t>Útil</w:t>
            </w:r>
          </w:p>
        </w:tc>
        <w:tc>
          <w:tcPr>
            <w:tcW w:type="dxa" w:w="3389"/>
          </w:tcPr>
          <w:p>
            <w:r>
              <w:rPr>
                <w:sz w:val="16"/>
              </w:rPr>
              <w:t>El registro oficial indica que PAY-MIRA-22 no existe y habilita verificación por un canal conocido.</w:t>
            </w:r>
          </w:p>
        </w:tc>
      </w:tr>
    </w:tbl>
    <w:p>
      <w:pPr>
        <w:pStyle w:val="Heading2"/>
      </w:pPr>
      <w:r>
        <w:t>5. Alternativas de acción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9EEF2"/>
          </w:tcPr>
          <w:p>
            <w:r>
              <w:rPr>
                <w:b/>
              </w:rPr>
              <w:t>Alternativa</w:t>
            </w:r>
          </w:p>
        </w:tc>
        <w:tc>
          <w:tcPr>
            <w:tcW w:type="dxa" w:w="3389"/>
            <w:shd w:fill="D9EEF2"/>
          </w:tcPr>
          <w:p>
            <w:r>
              <w:rPr>
                <w:b/>
              </w:rPr>
              <w:t>Indicador interno</w:t>
            </w:r>
          </w:p>
        </w:tc>
        <w:tc>
          <w:tcPr>
            <w:tcW w:type="dxa" w:w="3389"/>
            <w:shd w:fill="D9EEF2"/>
          </w:tcPr>
          <w:p>
            <w:r>
              <w:rPr>
                <w:b/>
              </w:rPr>
              <w:t>Lectura actual</w:t>
            </w:r>
          </w:p>
        </w:tc>
      </w:tr>
      <w:tr>
        <w:tc>
          <w:tcPr>
            <w:tcW w:type="dxa" w:w="3389"/>
            <w:vAlign w:val="top"/>
          </w:tcPr>
          <w:p>
            <w:r>
              <w:rPr>
                <w:sz w:val="16"/>
              </w:rPr>
              <w:t>Autorizar acceso completo</w:t>
            </w:r>
          </w:p>
        </w:tc>
        <w:tc>
          <w:tcPr>
            <w:tcW w:type="dxa" w:w="3389"/>
            <w:vAlign w:val="top"/>
          </w:tcPr>
          <w:p>
            <w:r>
              <w:rPr>
                <w:sz w:val="16"/>
              </w:rPr>
              <w:t>3 — Riesgosa</w:t>
            </w:r>
          </w:p>
        </w:tc>
        <w:tc>
          <w:tcPr>
            <w:tcW w:type="dxa" w:w="3389"/>
            <w:vAlign w:val="top"/>
          </w:tcPr>
          <w:p>
            <w:r>
              <w:rPr>
                <w:sz w:val="16"/>
              </w:rPr>
              <w:t>Convierte urgencia y autoridad en una autorización de alto impacto.</w:t>
            </w:r>
          </w:p>
        </w:tc>
      </w:tr>
      <w:tr>
        <w:tc>
          <w:tcPr>
            <w:tcW w:type="dxa" w:w="3389"/>
            <w:vAlign w:val="top"/>
          </w:tcPr>
          <w:p>
            <w:r>
              <w:rPr>
                <w:sz w:val="16"/>
              </w:rPr>
              <w:t>Rechazar y confrontar</w:t>
            </w:r>
          </w:p>
        </w:tc>
        <w:tc>
          <w:tcPr>
            <w:tcW w:type="dxa" w:w="3389"/>
            <w:vAlign w:val="top"/>
          </w:tcPr>
          <w:p>
            <w:r>
              <w:rPr>
                <w:sz w:val="16"/>
              </w:rPr>
              <w:t>2 — Neutra</w:t>
            </w:r>
          </w:p>
        </w:tc>
        <w:tc>
          <w:tcPr>
            <w:tcW w:type="dxa" w:w="3389"/>
            <w:vAlign w:val="top"/>
          </w:tcPr>
          <w:p>
            <w:r>
              <w:rPr>
                <w:sz w:val="16"/>
              </w:rPr>
              <w:t>Bloquea el acceso, pero puede ser socialmente costosa y no construye una respuesta más sofisticada.</w:t>
            </w:r>
          </w:p>
        </w:tc>
      </w:tr>
      <w:tr>
        <w:tc>
          <w:tcPr>
            <w:tcW w:type="dxa" w:w="3389"/>
            <w:vAlign w:val="top"/>
          </w:tcPr>
          <w:p>
            <w:r>
              <w:rPr>
                <w:sz w:val="16"/>
              </w:rPr>
              <w:t>Acceso reversible + segundo aprobador</w:t>
            </w:r>
          </w:p>
        </w:tc>
        <w:tc>
          <w:tcPr>
            <w:tcW w:type="dxa" w:w="3389"/>
            <w:vAlign w:val="top"/>
          </w:tcPr>
          <w:p>
            <w:r>
              <w:rPr>
                <w:sz w:val="16"/>
              </w:rPr>
              <w:t>1 — Esperada/útil</w:t>
            </w:r>
          </w:p>
        </w:tc>
        <w:tc>
          <w:tcPr>
            <w:tcW w:type="dxa" w:w="3389"/>
            <w:vAlign w:val="top"/>
          </w:tcPr>
          <w:p>
            <w:r>
              <w:rPr>
                <w:sz w:val="16"/>
              </w:rPr>
              <w:t>Mantiene operación limitada, reparte responsabilidad y evita permisos críticos.</w:t>
            </w:r>
          </w:p>
        </w:tc>
      </w:tr>
      <w:tr>
        <w:tc>
          <w:tcPr>
            <w:tcW w:type="dxa" w:w="3389"/>
            <w:vAlign w:val="top"/>
          </w:tcPr>
          <w:p>
            <w:r>
              <w:rPr>
                <w:sz w:val="16"/>
              </w:rPr>
              <w:t>Verificar por canal conocido y reportar</w:t>
            </w:r>
          </w:p>
        </w:tc>
        <w:tc>
          <w:tcPr>
            <w:tcW w:type="dxa" w:w="3389"/>
            <w:vAlign w:val="top"/>
          </w:tcPr>
          <w:p>
            <w:r>
              <w:rPr>
                <w:sz w:val="16"/>
              </w:rPr>
              <w:t>1 — Esperada/útil</w:t>
            </w:r>
          </w:p>
        </w:tc>
        <w:tc>
          <w:tcPr>
            <w:tcW w:type="dxa" w:w="3389"/>
            <w:vAlign w:val="top"/>
          </w:tcPr>
          <w:p>
            <w:r>
              <w:rPr>
                <w:sz w:val="16"/>
              </w:rPr>
              <w:t>Confirma la suplantación y permite bloquear/reportar con evidencia.</w:t>
            </w:r>
          </w:p>
        </w:tc>
      </w:tr>
      <w:tr>
        <w:tc>
          <w:tcPr>
            <w:tcW w:type="dxa" w:w="3389"/>
            <w:vAlign w:val="top"/>
          </w:tcPr>
          <w:p>
            <w:r>
              <w:rPr>
                <w:sz w:val="16"/>
              </w:rPr>
              <w:t>Dejar pasar el tiempo</w:t>
            </w:r>
          </w:p>
        </w:tc>
        <w:tc>
          <w:tcPr>
            <w:tcW w:type="dxa" w:w="3389"/>
            <w:vAlign w:val="top"/>
          </w:tcPr>
          <w:p>
            <w:r>
              <w:rPr>
                <w:sz w:val="16"/>
              </w:rPr>
              <w:t>2 — Neutra</w:t>
            </w:r>
          </w:p>
        </w:tc>
        <w:tc>
          <w:tcPr>
            <w:tcW w:type="dxa" w:w="3389"/>
            <w:vAlign w:val="top"/>
          </w:tcPr>
          <w:p>
            <w:r>
              <w:rPr>
                <w:sz w:val="16"/>
              </w:rPr>
              <w:t>Evita la autorización, pero no verifica ni desarrolla una respuesta activa.</w:t>
            </w:r>
          </w:p>
        </w:tc>
      </w:tr>
    </w:tbl>
    <w:p/>
    <w:p>
      <w:pPr>
        <w:pStyle w:val="Heading2"/>
      </w:pPr>
      <w:r>
        <w:t>6. Qué significa cada tipo de resultado</w:t>
      </w:r>
    </w:p>
    <w:p>
      <w:pPr>
        <w:pStyle w:val="ListBullet"/>
      </w:pPr>
      <w:r>
        <w:t>Positivo: la presión del contexto no se convierte automáticamente en autorización; se construye una respuesta segura y viable.</w:t>
      </w:r>
    </w:p>
    <w:p>
      <w:pPr>
        <w:pStyle w:val="ListBullet"/>
      </w:pPr>
      <w:r>
        <w:t>Neutro: no se concede el acceso, pero la decisión se apoya sobre todo en evitar actuar; el riesgo inmediato baja, la capacidad sigue incompleta.</w:t>
      </w:r>
    </w:p>
    <w:p>
      <w:pPr>
        <w:pStyle w:val="ListBullet"/>
      </w:pPr>
      <w:r>
        <w:t>Negativo: MIRA aprovecha urgencia, jerarquía o miedo a equivocarse para obtener acceso; actuar pareció más fácil que verificar o construir alternativas.</w:t>
      </w:r>
    </w:p>
    <w:p>
      <w:pPr>
        <w:pStyle w:val="Heading2"/>
      </w:pPr>
      <w:r>
        <w:t>7. Feedback offline y debrief</w:t>
      </w:r>
    </w:p>
    <w:p>
      <w:pPr>
        <w:pStyle w:val="DebriefBox"/>
        <w:shd w:fill="F3E8FF"/>
      </w:pPr>
      <w:r>
        <w:t>Foco principal: METACOGNICIÓN. El mensaje del caso es que nuestra mayor capacidad defensiva no es memorizar más señales, sino poder observar cómo una decisión se está construyendo mientras ocurre.</w:t>
      </w:r>
    </w:p>
    <w:p>
      <w:pPr>
        <w:pStyle w:val="ListBullet"/>
      </w:pPr>
      <w:r>
        <w:t>La decisión se trabaja como proceso, no como un instante.</w:t>
      </w:r>
    </w:p>
    <w:p>
      <w:pPr>
        <w:pStyle w:val="ListBullet"/>
      </w:pPr>
      <w:r>
        <w:t>El mapa operativo agrupa condiciones de entrada, construcción de sentido y condiciones de salida.</w:t>
      </w:r>
    </w:p>
    <w:p>
      <w:pPr>
        <w:pStyle w:val="ListBullet"/>
      </w:pPr>
      <w:r>
        <w:t>La metacognición no elimina urgencia, jerarquía o emoción; las hace visibles.</w:t>
      </w:r>
    </w:p>
    <w:p>
      <w:pPr>
        <w:pStyle w:val="ListBullet"/>
      </w:pPr>
      <w:r>
        <w:t>OOB no siempre es llamar directamente: también puede ser segundo aprobador, canal institucional, acción reversible, escalamiento o ganancia de tiempo.</w:t>
      </w:r>
    </w:p>
    <w:p>
      <w:pPr>
        <w:pStyle w:val="ListBullet"/>
      </w:pPr>
      <w:r>
        <w:t>La respuesta más segura en abstracto no siempre es viable; el objetivo es ampliar alternativas dentro del contexto.</w:t>
      </w:r>
    </w:p>
    <w:p>
      <w:pPr>
        <w:pStyle w:val="ListBullet"/>
      </w:pPr>
      <w:r>
        <w:t>Aquí se integran los aprendizajes de los tres casos anteriores: confianza, señales, Digital Self y verificación.</w:t>
      </w:r>
    </w:p>
    <w:p>
      <w:pPr>
        <w:pStyle w:val="Heading3"/>
      </w:pPr>
      <w:r>
        <w:t>Datos grupales útiles para mostrar</w:t>
      </w:r>
    </w:p>
    <w:p>
      <w:pPr>
        <w:pStyle w:val="ListBullet"/>
      </w:pPr>
      <w:r>
        <w:t>Impulso inicial vs. decisión final.</w:t>
      </w:r>
    </w:p>
    <w:p>
      <w:pPr>
        <w:pStyle w:val="ListBullet"/>
      </w:pPr>
      <w:r>
        <w:t>Qué factor declaró pesar más: responsabilidad, conflicto, protección, pérdida, competencia o tiempo.</w:t>
      </w:r>
    </w:p>
    <w:p>
      <w:pPr>
        <w:pStyle w:val="ListBullet"/>
      </w:pPr>
      <w:r>
        <w:t>Cuántos encontraron alternativas reversibles o compartidas.</w:t>
      </w:r>
    </w:p>
    <w:p>
      <w:pPr>
        <w:pStyle w:val="ListBullet"/>
      </w:pPr>
      <w:r>
        <w:t>Cuántos verificaron y cuántos simplemente rechazaron/esperaron.</w:t>
      </w:r>
    </w:p>
    <w:p>
      <w:pPr>
        <w:pStyle w:val="Heading1"/>
      </w:pPr>
      <w:r>
        <w:t>Lectura transversal actual</w:t>
      </w:r>
    </w:p>
    <w:p>
      <w:pPr>
        <w:pStyle w:val="Heading2"/>
      </w:pPr>
      <w:r>
        <w:t>Qué está haciendo cada caso dentro del arco</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D9EEF2"/>
          </w:tcPr>
          <w:p>
            <w:r>
              <w:rPr>
                <w:b/>
              </w:rPr>
              <w:t>Caso</w:t>
            </w:r>
          </w:p>
        </w:tc>
        <w:tc>
          <w:tcPr>
            <w:tcW w:type="dxa" w:w="2541"/>
            <w:shd w:fill="D9EEF2"/>
          </w:tcPr>
          <w:p>
            <w:r>
              <w:rPr>
                <w:b/>
              </w:rPr>
              <w:t>Verbo</w:t>
            </w:r>
          </w:p>
        </w:tc>
        <w:tc>
          <w:tcPr>
            <w:tcW w:type="dxa" w:w="2541"/>
            <w:shd w:fill="D9EEF2"/>
          </w:tcPr>
          <w:p>
            <w:r>
              <w:rPr>
                <w:b/>
              </w:rPr>
              <w:t>Pregunta</w:t>
            </w:r>
          </w:p>
        </w:tc>
        <w:tc>
          <w:tcPr>
            <w:tcW w:type="dxa" w:w="2541"/>
            <w:shd w:fill="D9EEF2"/>
          </w:tcPr>
          <w:p>
            <w:r>
              <w:rPr>
                <w:b/>
              </w:rPr>
              <w:t>Aprendizaje</w:t>
            </w:r>
          </w:p>
        </w:tc>
      </w:tr>
      <w:tr>
        <w:tc>
          <w:tcPr>
            <w:tcW w:type="dxa" w:w="2541"/>
          </w:tcPr>
          <w:p>
            <w:r>
              <w:rPr>
                <w:sz w:val="16"/>
              </w:rPr>
              <w:t>1</w:t>
            </w:r>
          </w:p>
        </w:tc>
        <w:tc>
          <w:tcPr>
            <w:tcW w:type="dxa" w:w="2541"/>
          </w:tcPr>
          <w:p>
            <w:r>
              <w:rPr>
                <w:sz w:val="16"/>
              </w:rPr>
              <w:t>Confiar</w:t>
            </w:r>
          </w:p>
        </w:tc>
        <w:tc>
          <w:tcPr>
            <w:tcW w:type="dxa" w:w="2541"/>
          </w:tcPr>
          <w:p>
            <w:r>
              <w:rPr>
                <w:sz w:val="16"/>
              </w:rPr>
              <w:t>¿Cuánta agencia cedemos a un sistema que parece capaz y seguro?</w:t>
            </w:r>
          </w:p>
        </w:tc>
        <w:tc>
          <w:tcPr>
            <w:tcW w:type="dxa" w:w="2541"/>
          </w:tcPr>
          <w:p>
            <w:r>
              <w:rPr>
                <w:sz w:val="16"/>
              </w:rPr>
              <w:t>Confianza calibrada</w:t>
            </w:r>
          </w:p>
        </w:tc>
      </w:tr>
      <w:tr>
        <w:tc>
          <w:tcPr>
            <w:tcW w:type="dxa" w:w="2541"/>
          </w:tcPr>
          <w:p>
            <w:r>
              <w:rPr>
                <w:sz w:val="16"/>
              </w:rPr>
              <w:t>2</w:t>
            </w:r>
          </w:p>
        </w:tc>
        <w:tc>
          <w:tcPr>
            <w:tcW w:type="dxa" w:w="2541"/>
          </w:tcPr>
          <w:p>
            <w:r>
              <w:rPr>
                <w:sz w:val="16"/>
              </w:rPr>
              <w:t>Detectar</w:t>
            </w:r>
          </w:p>
        </w:tc>
        <w:tc>
          <w:tcPr>
            <w:tcW w:type="dxa" w:w="2541"/>
          </w:tcPr>
          <w:p>
            <w:r>
              <w:rPr>
                <w:sz w:val="16"/>
              </w:rPr>
              <w:t>¿Qué hacemos cuando la apariencia ya no alcanza para distinguir lo verdadero?</w:t>
            </w:r>
          </w:p>
        </w:tc>
        <w:tc>
          <w:tcPr>
            <w:tcW w:type="dxa" w:w="2541"/>
          </w:tcPr>
          <w:p>
            <w:r>
              <w:rPr>
                <w:sz w:val="16"/>
              </w:rPr>
              <w:t>Lectura integrada + OOB</w:t>
            </w:r>
          </w:p>
        </w:tc>
      </w:tr>
      <w:tr>
        <w:tc>
          <w:tcPr>
            <w:tcW w:type="dxa" w:w="2541"/>
          </w:tcPr>
          <w:p>
            <w:r>
              <w:rPr>
                <w:sz w:val="16"/>
              </w:rPr>
              <w:t>3</w:t>
            </w:r>
          </w:p>
        </w:tc>
        <w:tc>
          <w:tcPr>
            <w:tcW w:type="dxa" w:w="2541"/>
          </w:tcPr>
          <w:p>
            <w:r>
              <w:rPr>
                <w:sz w:val="16"/>
              </w:rPr>
              <w:t>Representar</w:t>
            </w:r>
          </w:p>
        </w:tc>
        <w:tc>
          <w:tcPr>
            <w:tcW w:type="dxa" w:w="2541"/>
          </w:tcPr>
          <w:p>
            <w:r>
              <w:rPr>
                <w:sz w:val="16"/>
              </w:rPr>
              <w:t>¿Cómo se construye una versión digital útil para predecirnos e influirnos?</w:t>
            </w:r>
          </w:p>
        </w:tc>
        <w:tc>
          <w:tcPr>
            <w:tcW w:type="dxa" w:w="2541"/>
          </w:tcPr>
          <w:p>
            <w:r>
              <w:rPr>
                <w:sz w:val="16"/>
              </w:rPr>
              <w:t>Digital Self</w:t>
            </w:r>
          </w:p>
        </w:tc>
      </w:tr>
      <w:tr>
        <w:tc>
          <w:tcPr>
            <w:tcW w:type="dxa" w:w="2541"/>
          </w:tcPr>
          <w:p>
            <w:r>
              <w:rPr>
                <w:sz w:val="16"/>
              </w:rPr>
              <w:t>4</w:t>
            </w:r>
          </w:p>
        </w:tc>
        <w:tc>
          <w:tcPr>
            <w:tcW w:type="dxa" w:w="2541"/>
          </w:tcPr>
          <w:p>
            <w:r>
              <w:rPr>
                <w:sz w:val="16"/>
              </w:rPr>
              <w:t>Observarse</w:t>
            </w:r>
          </w:p>
        </w:tc>
        <w:tc>
          <w:tcPr>
            <w:tcW w:type="dxa" w:w="2541"/>
          </w:tcPr>
          <w:p>
            <w:r>
              <w:rPr>
                <w:sz w:val="16"/>
              </w:rPr>
              <w:t>¿Cómo recuperamos alternativas cuando el contexto está presionando la decisión?</w:t>
            </w:r>
          </w:p>
        </w:tc>
        <w:tc>
          <w:tcPr>
            <w:tcW w:type="dxa" w:w="2541"/>
          </w:tcPr>
          <w:p>
            <w:r>
              <w:rPr>
                <w:sz w:val="16"/>
              </w:rPr>
              <w:t>Metacognición</w:t>
            </w:r>
          </w:p>
        </w:tc>
      </w:tr>
    </w:tbl>
    <w:p/>
    <w:p>
      <w:pPr>
        <w:pStyle w:val="KeyBox"/>
        <w:shd w:fill="EEF7F8"/>
      </w:pPr>
      <w:r>
        <w:t>Tal como está hoy, el Caso 2 y el Caso 4 son los que más se solapan: ambos trabajan señales internas, verificación, alternativas y proceso de decisión. La diferencia actual es que el Caso 2 se centra en la CLASIFICACIÓN de una señal y en cómo verificar su autenticidad, mientras el Caso 4 se centra en la CONSTRUCCIÓN de la decisión dentro de un contexto social y jerárquico. Esta distinción será importante al momento de ajustar contenido.</w:t>
      </w:r>
    </w:p>
    <w:p>
      <w:pPr>
        <w:pStyle w:val="Heading2"/>
      </w:pPr>
      <w:r>
        <w:t>Qué debería ocurrir en el feedback offline de todos los casos</w:t>
      </w:r>
    </w:p>
    <w:p>
      <w:pPr>
        <w:pStyle w:val="ListBullet"/>
      </w:pPr>
      <w:r>
        <w:t>Primero mostrar qué hizo el grupo, no empezar por la teoría.</w:t>
      </w:r>
    </w:p>
    <w:p>
      <w:pPr>
        <w:pStyle w:val="ListBullet"/>
      </w:pPr>
      <w:r>
        <w:t>Comparar impulso inicial con decisión final para hacer visible el efecto de Analizar/Revisar.</w:t>
      </w:r>
    </w:p>
    <w:p>
      <w:pPr>
        <w:pStyle w:val="ListBullet"/>
      </w:pPr>
      <w:r>
        <w:t>Mostrar que una respuesta 'correcta' no necesariamente implica un buen proceso.</w:t>
      </w:r>
    </w:p>
    <w:p>
      <w:pPr>
        <w:pStyle w:val="ListBullet"/>
      </w:pPr>
      <w:r>
        <w:t>Usar las Puertas como hipótesis de qué recibió prioridad, nunca como diagnóstico personal.</w:t>
      </w:r>
    </w:p>
    <w:p>
      <w:pPr>
        <w:pStyle w:val="ListBullet"/>
      </w:pPr>
      <w:r>
        <w:t>Conectar el resultado con el módulo narrativo que se recupera o queda comprometido.</w:t>
      </w:r>
    </w:p>
    <w:p>
      <w:pPr>
        <w:pStyle w:val="ListBullet"/>
      </w:pPr>
      <w:r>
        <w:t>Cerrar con 2–4 mensajes conceptuales, no con una explicación larga.</w:t>
      </w:r>
    </w:p>
    <w:p>
      <w:pPr>
        <w:pStyle w:val="ListBullet"/>
      </w:pPr>
      <w:r>
        <w:t>Dejar deliberadamente profundidad sin explicar para conservar el carácter comercial del webinar.</w:t>
      </w:r>
    </w:p>
    <w:p>
      <w:pPr>
        <w:pStyle w:val="Heading2"/>
      </w:pPr>
      <w:r>
        <w:t>Nota de revisión</w:t>
      </w:r>
    </w:p>
    <w:p>
      <w:r>
        <w:t>Este documento describe la versión vigente del contenido. Los indicadores 1/2/3 corresponden al libreto actual y no deben interpretarse todavía como una rúbrica definitiva. Precisamente la siguiente etapa de trabajo puede revisar si cada problema, revisión, alternativa y aprendizaje está suficientemente diferenciado y alineado con el objetivo de cada caso.</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B8794"/>
        <w:sz w:val="14"/>
      </w:rPr>
      <w:t>Digital Self &amp; Attention Doors · Resumen de los cuatro casos · Agosto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B7285"/>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102A43"/>
      <w:sz w:val="27"/>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w:hAnsi="Aptos"/>
      <w:b/>
      <w:bCs/>
      <w:color w:val="334E6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02A4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8658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yBox">
    <w:name w:val="KeyBox"/>
    <w:pPr>
      <w:spacing w:before="60" w:after="100"/>
      <w:ind w:left="173" w:right="86"/>
    </w:pPr>
    <w:rPr>
      <w:rFonts w:ascii="Aptos" w:hAnsi="Aptos"/>
      <w:color w:val="102A43"/>
      <w:sz w:val="18"/>
    </w:rPr>
  </w:style>
  <w:style w:type="paragraph" w:customStyle="1" w:styleId="DecisionBox">
    <w:name w:val="DecisionBox"/>
    <w:pPr>
      <w:spacing w:before="60" w:after="100"/>
      <w:ind w:left="173" w:right="86"/>
    </w:pPr>
    <w:rPr>
      <w:rFonts w:ascii="Aptos" w:hAnsi="Aptos"/>
      <w:color w:val="7A3E00"/>
      <w:sz w:val="18"/>
    </w:rPr>
  </w:style>
  <w:style w:type="paragraph" w:customStyle="1" w:styleId="DebriefBox">
    <w:name w:val="DebriefBox"/>
    <w:pPr>
      <w:spacing w:before="60" w:after="100"/>
      <w:ind w:left="173" w:right="86"/>
    </w:pPr>
    <w:rPr>
      <w:rFonts w:ascii="Aptos" w:hAnsi="Aptos"/>
      <w:color w:val="4C1D9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