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1500 Gateway Hot Wash</w:t>
      </w:r>
    </w:p>
    <w:p>
      <w:pPr>
        <w:spacing w:after="120"/>
      </w:pPr>
      <w:r>
        <w:t xml:space="preserve">Run of show and discussion points · Staff session · October 5, 2026 · 60 minutes</w:t>
      </w:r>
    </w:p>
    <w:p>
      <w:pPr>
        <w:spacing w:after="120"/>
      </w:pPr>
      <w:r>
        <w:rPr>
          <w:b/>
          <w:bCs/>
        </w:rPr>
        <w:t xml:space="preserve">On screen: </w:t>
      </w:r>
      <w:r>
        <w:t xml:space="preserve">the Hot Wash page, https://claude.ai/artifact/RakA49fn1wXvKCDLRtFsJZ. Each segment below notes which part of the page to show.</w:t>
      </w:r>
    </w:p>
    <w:p>
      <w:pPr>
        <w:pStyle w:val="Heading1"/>
      </w:pPr>
      <w:r>
        <w:t xml:space="preserve">Run of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2300"/>
        <w:gridCol w:w="4560"/>
      </w:tblGrid>
      <w:tr>
        <w:trPr>
          <w:tblHeader/>
        </w:trPr>
        <w:tc>
          <w:tcPr>
            <w:tcW w:type="dxa" w:w="170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Time</w:t>
            </w:r>
          </w:p>
        </w:tc>
        <w:tc>
          <w:tcPr>
            <w:tcW w:type="dxa" w:w="80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Min</w:t>
            </w:r>
          </w:p>
        </w:tc>
        <w:tc>
          <w:tcPr>
            <w:tcW w:type="dxa" w:w="230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Speaker</w:t>
            </w:r>
          </w:p>
        </w:tc>
        <w:tc>
          <w:tcPr>
            <w:tcW w:type="dxa" w:w="456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Segment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0:00 to 0:06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Ben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project and the winner's fee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0:06 to 0:12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Dave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overall problem and the challenge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0:12 to 0:18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Chad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Tactics we ran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0:18 to 0:23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Chad and Jeremy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Union outreach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0:23 to 0:26</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John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Data and tracking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0:26 to 0:41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Group (Dave facilitates)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seven tools: vote, assign owners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0:41 to 1:00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19</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Whole room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Open discussion, then owners and next steps</w:t>
            </w:r>
          </w:p>
        </w:tc>
      </w:tr>
    </w:tbl>
    <w:p>
      <w:pPr>
        <w:spacing w:after="120" w:before="120"/>
      </w:pPr>
      <w:r>
        <w:rPr>
          <w:i/>
          <w:iCs/>
        </w:rPr>
        <w:t xml:space="preserve">Times run from the start of the session. Speaker segments are set at the middle of the 5 to 7 minute range so the tools and the open discussion keep their time.</w:t>
      </w:r>
    </w:p>
    <w:p>
      <w:pPr>
        <w:pStyle w:val="Heading1"/>
      </w:pPr>
      <w:r>
        <w:t xml:space="preserve">Before the session</w:t>
      </w:r>
    </w:p>
    <w:p>
      <w:pPr>
        <w:pStyle w:val="ListParagraph"/>
        <w:numPr>
          <w:ilvl w:val="0"/>
          <w:numId w:val="2"/>
        </w:numPr>
        <w:spacing w:after="60"/>
      </w:pPr>
      <w:r>
        <w:t xml:space="preserve">Share the page with every attendee as a Contributor so they can vote and comment. Check that link access is limited to the RenUSA organization.</w:t>
      </w:r>
    </w:p>
    <w:p>
      <w:pPr>
        <w:pStyle w:val="ListParagraph"/>
        <w:numPr>
          <w:ilvl w:val="0"/>
          <w:numId w:val="2"/>
        </w:numPr>
        <w:spacing w:after="60"/>
      </w:pPr>
      <w:r>
        <w:t xml:space="preserve">Fill in the eight blank "What we ran" lines: council engagement, schools, messaging, opposition research, national and trade media, paid digital, digital advocacy and public events. Chad is the natural owner.</w:t>
      </w:r>
    </w:p>
    <w:p>
      <w:pPr>
        <w:pStyle w:val="ListParagraph"/>
        <w:numPr>
          <w:ilvl w:val="0"/>
          <w:numId w:val="2"/>
        </w:numPr>
        <w:spacing w:after="60"/>
      </w:pPr>
      <w:r>
        <w:t xml:space="preserve">Ben: confirm what can be said in the room about the winner's fee terms.</w:t>
      </w:r>
    </w:p>
    <w:p>
      <w:pPr>
        <w:pStyle w:val="ListParagraph"/>
        <w:numPr>
          <w:ilvl w:val="0"/>
          <w:numId w:val="2"/>
        </w:numPr>
        <w:spacing w:after="60"/>
      </w:pPr>
      <w:r>
        <w:t xml:space="preserve">John: bring whatever we tracked on 1500 Gateway (turnout counts, speaker lists, mail and call volumes, any supporter ID). The page has none of it.</w:t>
      </w:r>
    </w:p>
    <w:p>
      <w:pPr>
        <w:pStyle w:val="Heading1"/>
      </w:pPr>
      <w:r>
        <w:t xml:space="preserve">Segment notes</w:t>
      </w:r>
    </w:p>
    <w:p>
      <w:pPr>
        <w:pStyle w:val="Heading2"/>
      </w:pPr>
      <w:r>
        <w:t xml:space="preserve">0:00 to 0:06 · Ben · The project and the winner's fee</w:t>
      </w:r>
    </w:p>
    <w:p>
      <w:pPr>
        <w:spacing w:after="60" w:before="120"/>
      </w:pPr>
      <w:r>
        <w:rPr>
          <w:b/>
          <w:bCs/>
        </w:rPr>
        <w:t xml:space="preserve">Show: page header and the campaign timeline in Part 1</w:t>
      </w:r>
    </w:p>
    <w:p>
      <w:pPr>
        <w:pStyle w:val="ListParagraph"/>
        <w:numPr>
          <w:ilvl w:val="0"/>
          <w:numId w:val="2"/>
        </w:numPr>
        <w:spacing w:after="60"/>
      </w:pPr>
      <w:r>
        <w:t xml:space="preserve">1500 Gateway, Fredericksburg, Virginia. Penzance is the client.</w:t>
      </w:r>
    </w:p>
    <w:p>
      <w:pPr>
        <w:pStyle w:val="ListParagraph"/>
        <w:numPr>
          <w:ilvl w:val="0"/>
          <w:numId w:val="2"/>
        </w:numPr>
        <w:spacing w:after="60"/>
      </w:pPr>
      <w:r>
        <w:t xml:space="preserve">About four months in a support capacity, focused on business and union education, then a three-month intensive campaign with RenUSA in the lead.</w:t>
      </w:r>
    </w:p>
    <w:p>
      <w:pPr>
        <w:pStyle w:val="ListParagraph"/>
        <w:numPr>
          <w:ilvl w:val="0"/>
          <w:numId w:val="2"/>
        </w:numPr>
        <w:spacing w:after="60"/>
      </w:pPr>
      <w:r>
        <w:t xml:space="preserve">The winner's fee: how it was structured and how it shaped our role. Ben to cover; the details are not in the page or the survey.</w:t>
      </w:r>
    </w:p>
    <w:p>
      <w:pPr>
        <w:pStyle w:val="ListParagraph"/>
        <w:numPr>
          <w:ilvl w:val="0"/>
          <w:numId w:val="2"/>
        </w:numPr>
        <w:spacing w:after="60"/>
      </w:pPr>
      <w:r>
        <w:t xml:space="preserve">Outcome: the City Council voted it down 7-0. Dave's read is that the vote turned more on the technology overlay district than on the project itself.</w:t>
      </w:r>
    </w:p>
    <w:p>
      <w:pPr>
        <w:spacing w:after="60" w:before="120"/>
      </w:pPr>
      <w:r>
        <w:rPr>
          <w:b/>
          <w:bCs/>
        </w:rPr>
        <w:t xml:space="preserve">Question to leave with the room</w:t>
      </w:r>
    </w:p>
    <w:p>
      <w:pPr>
        <w:pStyle w:val="ListParagraph"/>
        <w:numPr>
          <w:ilvl w:val="0"/>
          <w:numId w:val="2"/>
        </w:numPr>
        <w:spacing w:after="60"/>
      </w:pPr>
      <w:r>
        <w:t xml:space="preserve">Did the fee structure change how hard, or how early, we pushed?</w:t>
      </w:r>
    </w:p>
    <w:p>
      <w:pPr>
        <w:pStyle w:val="Heading2"/>
      </w:pPr>
      <w:r>
        <w:t xml:space="preserve">0:06 to 0:12 · Dave · The overall problem and the challenge</w:t>
      </w:r>
    </w:p>
    <w:p>
      <w:pPr>
        <w:spacing w:after="60" w:before="120"/>
      </w:pPr>
      <w:r>
        <w:rPr>
          <w:b/>
          <w:bCs/>
        </w:rPr>
        <w:t xml:space="preserve">Show: page header, then the test at the top of Part 3</w:t>
      </w:r>
    </w:p>
    <w:p>
      <w:pPr>
        <w:pStyle w:val="ListParagraph"/>
        <w:numPr>
          <w:ilvl w:val="0"/>
          <w:numId w:val="2"/>
        </w:numPr>
        <w:spacing w:after="60"/>
      </w:pPr>
      <w:r>
        <w:t xml:space="preserve">Headline from the survey: well run, not enough. Five of us scored 15 campaign components. On 12 of the 15 we rated impact below execution.</w:t>
      </w:r>
    </w:p>
    <w:p>
      <w:pPr>
        <w:pStyle w:val="ListParagraph"/>
        <w:numPr>
          <w:ilvl w:val="0"/>
          <w:numId w:val="2"/>
        </w:numPr>
        <w:spacing w:after="60"/>
      </w:pPr>
      <w:r>
        <w:t xml:space="preserve">The council's question changed. Our tools were built to prove supporters exist. The live question is whether a yes vote survives the next election.</w:t>
      </w:r>
    </w:p>
    <w:p>
      <w:pPr>
        <w:pStyle w:val="ListParagraph"/>
        <w:numPr>
          <w:ilvl w:val="0"/>
          <w:numId w:val="2"/>
        </w:numPr>
        <w:spacing w:after="60"/>
      </w:pPr>
      <w:r>
        <w:t xml:space="preserve">Applicant-side volume now reads as manufactured. On 1500 Gateway a council member posted our reply postcard online, and opponents called the patch-through calls robocalls.</w:t>
      </w:r>
    </w:p>
    <w:p>
      <w:pPr>
        <w:pStyle w:val="ListParagraph"/>
        <w:numPr>
          <w:ilvl w:val="0"/>
          <w:numId w:val="2"/>
        </w:numPr>
        <w:spacing w:after="60"/>
      </w:pPr>
      <w:r>
        <w:t xml:space="preserve">The one test for every tool today: does it give a swing member cover to vote yes?</w:t>
      </w:r>
    </w:p>
    <w:p>
      <w:pPr>
        <w:pStyle w:val="ListParagraph"/>
        <w:numPr>
          <w:ilvl w:val="0"/>
          <w:numId w:val="2"/>
        </w:numPr>
        <w:spacing w:after="60"/>
      </w:pPr>
      <w:r>
        <w:t xml:space="preserve">We were in the lead with the developer while the other consultants took a back seat. Perhaps too much of one.</w:t>
      </w:r>
    </w:p>
    <w:p>
      <w:pPr>
        <w:pStyle w:val="Heading2"/>
      </w:pPr>
      <w:r>
        <w:t xml:space="preserve">0:12 to 0:18 · Chad · Tactics we ran</w:t>
      </w:r>
    </w:p>
    <w:p>
      <w:pPr>
        <w:spacing w:after="60" w:before="120"/>
      </w:pPr>
      <w:r>
        <w:rPr>
          <w:b/>
          <w:bCs/>
        </w:rPr>
        <w:t xml:space="preserve">Show: Part 1 component list (execution and impact side by side), then the Part 2 chart</w:t>
      </w:r>
    </w:p>
    <w:p>
      <w:pPr>
        <w:pStyle w:val="ListParagraph"/>
        <w:numPr>
          <w:ilvl w:val="0"/>
          <w:numId w:val="2"/>
        </w:numPr>
        <w:spacing w:after="60"/>
      </w:pPr>
      <w:r>
        <w:t xml:space="preserve">What we ran in the intensive phase: the PLA and union mobilization, patch-through calls, two rounds of mail to all of Fredericksburg, an extensive letters-to-the-editor campaign and an extensive media campaign.</w:t>
      </w:r>
    </w:p>
    <w:p>
      <w:pPr>
        <w:pStyle w:val="ListParagraph"/>
        <w:numPr>
          <w:ilvl w:val="0"/>
          <w:numId w:val="2"/>
        </w:numPr>
        <w:spacing w:after="60"/>
      </w:pPr>
      <w:r>
        <w:t xml:space="preserve">Scored well on both: Labor and PLA (4.8 execution, 4.4 impact) and client counsel (4.2 and 4.2). No other component reached 4 on both.</w:t>
      </w:r>
    </w:p>
    <w:p>
      <w:pPr>
        <w:pStyle w:val="ListParagraph"/>
        <w:numPr>
          <w:ilvl w:val="0"/>
          <w:numId w:val="2"/>
        </w:numPr>
        <w:spacing w:after="60"/>
      </w:pPr>
      <w:r>
        <w:t xml:space="preserve">Well run, little effect: national and trade media (3.8 vs 2.0), direct mail (3.4 vs 1.8), paid digital (3.2 vs 2.0), digital advocacy (3.0 vs 2.0).</w:t>
      </w:r>
    </w:p>
    <w:p>
      <w:pPr>
        <w:pStyle w:val="ListParagraph"/>
        <w:numPr>
          <w:ilvl w:val="0"/>
          <w:numId w:val="2"/>
        </w:numPr>
        <w:spacing w:after="60"/>
      </w:pPr>
      <w:r>
        <w:t xml:space="preserve">Last on both: patch-through calls (1.8 and 1.4). Two of four "never again" answers named them.</w:t>
      </w:r>
    </w:p>
    <w:p>
      <w:pPr>
        <w:pStyle w:val="ListParagraph"/>
        <w:numPr>
          <w:ilvl w:val="0"/>
          <w:numId w:val="2"/>
        </w:numPr>
        <w:spacing w:after="60"/>
      </w:pPr>
      <w:r>
        <w:t xml:space="preserve">Where we disagree: paid digital and schools outreach both drew execution scores from 5 to 1.</w:t>
      </w:r>
    </w:p>
    <w:p>
      <w:pPr>
        <w:spacing w:after="60" w:before="120"/>
      </w:pPr>
      <w:r>
        <w:rPr>
          <w:b/>
          <w:bCs/>
        </w:rPr>
        <w:t xml:space="preserve">Questions</w:t>
      </w:r>
    </w:p>
    <w:p>
      <w:pPr>
        <w:pStyle w:val="ListParagraph"/>
        <w:numPr>
          <w:ilvl w:val="0"/>
          <w:numId w:val="2"/>
        </w:numPr>
        <w:spacing w:after="60"/>
      </w:pPr>
      <w:r>
        <w:t xml:space="preserve">Which of these did we run because they were in the plan, not because they moved votes?</w:t>
      </w:r>
    </w:p>
    <w:p>
      <w:pPr>
        <w:pStyle w:val="ListParagraph"/>
        <w:numPr>
          <w:ilvl w:val="0"/>
          <w:numId w:val="2"/>
        </w:numPr>
        <w:spacing w:after="60"/>
      </w:pPr>
      <w:r>
        <w:t xml:space="preserve">What did the reply postcard and the robocall story cost us with the council?</w:t>
      </w:r>
    </w:p>
    <w:p>
      <w:pPr>
        <w:pStyle w:val="Heading2"/>
      </w:pPr>
      <w:r>
        <w:t xml:space="preserve">0:18 to 0:23 · Chad and Jeremy · Union outreach</w:t>
      </w:r>
    </w:p>
    <w:p>
      <w:pPr>
        <w:spacing w:after="60" w:before="120"/>
      </w:pPr>
      <w:r>
        <w:rPr>
          <w:b/>
          <w:bCs/>
        </w:rPr>
        <w:t xml:space="preserve">Show: Labor and PLA in Part 1 (scores and what we wrote)</w:t>
      </w:r>
    </w:p>
    <w:p>
      <w:pPr>
        <w:pStyle w:val="ListParagraph"/>
        <w:numPr>
          <w:ilvl w:val="0"/>
          <w:numId w:val="2"/>
        </w:numPr>
        <w:spacing w:after="60"/>
      </w:pPr>
      <w:r>
        <w:t xml:space="preserve">Top-scoring component on both execution (4.8) and impact (4.4). Two of five named it as the one thing to replicate.</w:t>
      </w:r>
    </w:p>
    <w:p>
      <w:pPr>
        <w:pStyle w:val="ListParagraph"/>
        <w:numPr>
          <w:ilvl w:val="0"/>
          <w:numId w:val="2"/>
        </w:numPr>
        <w:spacing w:after="60"/>
      </w:pPr>
      <w:r>
        <w:t xml:space="preserve">About 50 union supporters showed up at the May City Council meeting out of nowhere, and 20 of them spoke. We matched it on hearing night.</w:t>
      </w:r>
    </w:p>
    <w:p>
      <w:pPr>
        <w:pStyle w:val="ListParagraph"/>
        <w:numPr>
          <w:ilvl w:val="0"/>
          <w:numId w:val="2"/>
        </w:numPr>
        <w:spacing w:after="60"/>
      </w:pPr>
      <w:r>
        <w:t xml:space="preserve">Follow-up value beyond the room: letters to the editor, written comments and media quotes.</w:t>
      </w:r>
    </w:p>
    <w:p>
      <w:pPr>
        <w:spacing w:after="60" w:before="120"/>
      </w:pPr>
      <w:r>
        <w:rPr>
          <w:b/>
          <w:bCs/>
        </w:rPr>
        <w:t xml:space="preserve">Questions</w:t>
      </w:r>
    </w:p>
    <w:p>
      <w:pPr>
        <w:pStyle w:val="ListParagraph"/>
        <w:numPr>
          <w:ilvl w:val="0"/>
          <w:numId w:val="2"/>
        </w:numPr>
        <w:spacing w:after="60"/>
      </w:pPr>
      <w:r>
        <w:t xml:space="preserve">What made the May turnout possible, and what would it take to do it without a PLA in hand?</w:t>
      </w:r>
    </w:p>
    <w:p>
      <w:pPr>
        <w:pStyle w:val="ListParagraph"/>
        <w:numPr>
          <w:ilvl w:val="0"/>
          <w:numId w:val="2"/>
        </w:numPr>
        <w:spacing w:after="60"/>
      </w:pPr>
      <w:r>
        <w:t xml:space="preserve">Could the PLA and union push have started during the four-month support phase?</w:t>
      </w:r>
    </w:p>
    <w:p>
      <w:pPr>
        <w:pStyle w:val="ListParagraph"/>
        <w:numPr>
          <w:ilvl w:val="0"/>
          <w:numId w:val="2"/>
        </w:numPr>
        <w:spacing w:after="60"/>
      </w:pPr>
      <w:r>
        <w:t xml:space="preserve">Turnout was strong and we still lost 7-0. What does that tell us about what the council needed?</w:t>
      </w:r>
    </w:p>
    <w:p>
      <w:pPr>
        <w:pStyle w:val="Heading2"/>
      </w:pPr>
      <w:r>
        <w:t xml:space="preserve">0:23 to 0:26 · John · Data and tracking</w:t>
      </w:r>
    </w:p>
    <w:p>
      <w:pPr>
        <w:spacing w:after="60" w:before="120"/>
      </w:pPr>
      <w:r>
        <w:rPr>
          <w:b/>
          <w:bCs/>
        </w:rPr>
        <w:t xml:space="preserve">Show: Part 2, the themes from the written answers</w:t>
      </w:r>
    </w:p>
    <w:p>
      <w:pPr>
        <w:pStyle w:val="ListParagraph"/>
        <w:numPr>
          <w:ilvl w:val="0"/>
          <w:numId w:val="2"/>
        </w:numPr>
        <w:spacing w:after="60"/>
      </w:pPr>
      <w:r>
        <w:t xml:space="preserve">How the survey worked: five staff responses, 15 components, each scored 1 to 5 on execution and impact, plus three written questions. Digital advocacy had four responses.</w:t>
      </w:r>
    </w:p>
    <w:p>
      <w:pPr>
        <w:pStyle w:val="ListParagraph"/>
        <w:numPr>
          <w:ilvl w:val="0"/>
          <w:numId w:val="2"/>
        </w:numPr>
        <w:spacing w:after="60"/>
      </w:pPr>
      <w:r>
        <w:t xml:space="preserve">What we tracked on 1500 Gateway and what we did not. John to fill in; not in the page.</w:t>
      </w:r>
    </w:p>
    <w:p>
      <w:pPr>
        <w:pStyle w:val="ListParagraph"/>
        <w:numPr>
          <w:ilvl w:val="0"/>
          <w:numId w:val="2"/>
        </w:numPr>
        <w:spacing w:after="60"/>
      </w:pPr>
      <w:r>
        <w:t xml:space="preserve">Gaps worth naming: no whip count of the council, and no supporter ID once the phones stopped working. The telephone town hall keypad poll (tool 3) and the whip count (tool 1) are both answers to this.</w:t>
      </w:r>
    </w:p>
    <w:p>
      <w:pPr>
        <w:pStyle w:val="Heading2"/>
      </w:pPr>
      <w:r>
        <w:t xml:space="preserve">0:26 to 0:41 · Group · The seven tools</w:t>
      </w:r>
    </w:p>
    <w:p>
      <w:pPr>
        <w:spacing w:after="60" w:before="120"/>
      </w:pPr>
      <w:r>
        <w:rPr>
          <w:b/>
          <w:bCs/>
        </w:rPr>
        <w:t xml:space="preserve">Show: Part 3. About two minutes per tool.</w:t>
      </w:r>
    </w:p>
    <w:p>
      <w:pPr>
        <w:spacing w:after="120"/>
      </w:pPr>
      <w:r>
        <w:t xml:space="preserve">For each tool: read the one-liner, read what 1500 Gateway says, take the room's vote (Try it, Needs work, Pass), and name an owner before moving on. Dave uses the plus and minus buttons to record room votes and changed minds; staff can also vote on their own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000"/>
        <w:gridCol w:w="3960"/>
      </w:tblGrid>
      <w:tr>
        <w:trPr>
          <w:tblHeader/>
        </w:trPr>
        <w:tc>
          <w:tcPr>
            <w:tcW w:type="dxa" w:w="50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w:t>
            </w:r>
          </w:p>
        </w:tc>
        <w:tc>
          <w:tcPr>
            <w:tcW w:type="dxa" w:w="290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Tool</w:t>
            </w:r>
          </w:p>
        </w:tc>
        <w:tc>
          <w:tcPr>
            <w:tcW w:type="dxa" w:w="200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Replaces</w:t>
            </w:r>
          </w:p>
        </w:tc>
        <w:tc>
          <w:tcPr>
            <w:tcW w:type="dxa" w:w="396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What 1500 Gateway says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Council interviews and a whip count, from day 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Council member engagement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Impact 2.4. Three of five named earlier, harder, more direct council engagement as the decision most likely to change the outcome.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Project-level community task force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Public events and community meetings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One answer said never skip the real community engagement phase again. Public events was one of two components rated higher on impact than execution.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Telephone town halls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Patch-through calls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Patch-through scored last on both (1.8 and 1.4). Opponents called them robocalls.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Mail as an invitation, not a reply card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Direct mail</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Execution 3.4, impact 1.8. A council member posted our reply postcard online with her objections.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Institutions that ask, not just support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Schools outreach and coalition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Schools impact 2.6, with execution scores ranging from 5 to 1.</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Post-vote defense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Nothing sold today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Not tested on 1500 Gateway. Answers the question every council member asks: does a yes vote cost me my seat?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Polling that sizes the room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Support polling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Gives members a number to stand on other than the hearing room.</w:t>
            </w:r>
          </w:p>
        </w:tc>
      </w:tr>
    </w:tbl>
    <w:p>
      <w:pPr>
        <w:spacing w:after="120" w:before="120"/>
      </w:pPr>
      <w:r>
        <w:rPr>
          <w:i/>
          <w:iCs/>
        </w:rPr>
        <w:t xml:space="preserve">Tools 1 and 4 have not been debated before. Expect them to take longer.</w:t>
      </w:r>
    </w:p>
    <w:p>
      <w:pPr>
        <w:pStyle w:val="Heading2"/>
      </w:pPr>
      <w:r>
        <w:t xml:space="preserve">0:41 to 1:00 · Whole room · Open discussion</w:t>
      </w:r>
    </w:p>
    <w:p>
      <w:pPr>
        <w:spacing w:after="60" w:before="120"/>
      </w:pPr>
      <w:r>
        <w:rPr>
          <w:b/>
          <w:bCs/>
        </w:rPr>
        <w:t xml:space="preserve">Prompts, in rough priority order</w:t>
      </w:r>
    </w:p>
    <w:p>
      <w:pPr>
        <w:pStyle w:val="ListParagraph"/>
        <w:numPr>
          <w:ilvl w:val="0"/>
          <w:numId w:val="2"/>
        </w:numPr>
        <w:spacing w:after="60"/>
      </w:pPr>
      <w:r>
        <w:t xml:space="preserve">The council. Three of five said earlier, harder, more direct council engagement was the decision most likely to change the outcome. Who owns that relationship on the next project, and when does it start?</w:t>
      </w:r>
    </w:p>
    <w:p>
      <w:pPr>
        <w:pStyle w:val="ListParagraph"/>
        <w:numPr>
          <w:ilvl w:val="0"/>
          <w:numId w:val="2"/>
        </w:numPr>
        <w:spacing w:after="60"/>
      </w:pPr>
      <w:r>
        <w:t xml:space="preserve">The technology overlay district. One answer called for a harder political campaign at the TOD, run earlier and through every channel. Was the TOD fight ours to run, and could we have?</w:t>
      </w:r>
    </w:p>
    <w:p>
      <w:pPr>
        <w:pStyle w:val="ListParagraph"/>
        <w:numPr>
          <w:ilvl w:val="0"/>
          <w:numId w:val="2"/>
        </w:numPr>
        <w:spacing w:after="60"/>
      </w:pPr>
      <w:r>
        <w:t xml:space="preserve">The back seat. Were we too far in front, with the other consultants too far back? What does the right division of labor look like next time?</w:t>
      </w:r>
    </w:p>
    <w:p>
      <w:pPr>
        <w:pStyle w:val="ListParagraph"/>
        <w:numPr>
          <w:ilvl w:val="0"/>
          <w:numId w:val="2"/>
        </w:numPr>
        <w:spacing w:after="60"/>
      </w:pPr>
      <w:r>
        <w:t xml:space="preserve">Community engagement. One answer said never skip the real community engagement phase again; another said a public information session and door-to-door could have changed the outcome. Is the task force (tool 2) the answer, or something lighter?</w:t>
      </w:r>
    </w:p>
    <w:p>
      <w:pPr>
        <w:pStyle w:val="ListParagraph"/>
        <w:numPr>
          <w:ilvl w:val="0"/>
          <w:numId w:val="2"/>
        </w:numPr>
        <w:spacing w:after="60"/>
      </w:pPr>
      <w:r>
        <w:t xml:space="preserve">What we stop doing. Patch-through calls and reply-card mail. Does anyone want to defend them for a different kind of project?</w:t>
      </w:r>
    </w:p>
    <w:p>
      <w:pPr>
        <w:pStyle w:val="ListParagraph"/>
        <w:numPr>
          <w:ilvl w:val="0"/>
          <w:numId w:val="2"/>
        </w:numPr>
        <w:spacing w:after="60"/>
      </w:pPr>
      <w:r>
        <w:t xml:space="preserve">What goes into the next proposal. Which of the seven tools do we price in, and which do we pilot first?</w:t>
      </w:r>
    </w:p>
    <w:p>
      <w:pPr>
        <w:spacing w:after="60" w:before="120"/>
      </w:pPr>
      <w:r>
        <w:rPr>
          <w:b/>
          <w:bCs/>
        </w:rPr>
        <w:t xml:space="preserve">Last three minutes</w:t>
      </w:r>
    </w:p>
    <w:p>
      <w:pPr>
        <w:pStyle w:val="ListParagraph"/>
        <w:numPr>
          <w:ilvl w:val="0"/>
          <w:numId w:val="2"/>
        </w:numPr>
        <w:spacing w:after="60"/>
      </w:pPr>
      <w:r>
        <w:t xml:space="preserve">Read back the owners for each tool.</w:t>
      </w:r>
    </w:p>
    <w:p>
      <w:pPr>
        <w:pStyle w:val="ListParagraph"/>
        <w:numPr>
          <w:ilvl w:val="0"/>
          <w:numId w:val="2"/>
        </w:numPr>
        <w:spacing w:after="60"/>
      </w:pPr>
      <w:r>
        <w:t xml:space="preserve">Export notes from the page (top right) for the minutes.</w:t>
      </w:r>
    </w:p>
    <w:p>
      <w:pPr>
        <w:pStyle w:val="Heading1"/>
      </w:pPr>
      <w:r>
        <w:t xml:space="preserve">Source notes</w:t>
      </w:r>
    </w:p>
    <w:p>
      <w:pPr>
        <w:pStyle w:val="ListParagraph"/>
        <w:numPr>
          <w:ilvl w:val="0"/>
          <w:numId w:val="2"/>
        </w:numPr>
        <w:spacing w:after="60"/>
      </w:pPr>
      <w:r>
        <w:t xml:space="preserve">Scores come from the 1500 Gateway team survey (five responses). Themes from the written answers were coded by Claude and are counts of answers.</w:t>
      </w:r>
    </w:p>
    <w:p>
      <w:pPr>
        <w:pStyle w:val="ListParagraph"/>
        <w:numPr>
          <w:ilvl w:val="0"/>
          <w:numId w:val="2"/>
        </w:numPr>
        <w:spacing w:after="60"/>
      </w:pPr>
      <w:r>
        <w:t xml:space="preserve">The campaign account is Dave's, from his notes on the campaign.</w:t>
      </w:r>
    </w:p>
    <w:p>
      <w:pPr>
        <w:pStyle w:val="ListParagraph"/>
        <w:numPr>
          <w:ilvl w:val="0"/>
          <w:numId w:val="2"/>
        </w:numPr>
        <w:spacing w:after="60"/>
      </w:pPr>
      <w:r>
        <w:t xml:space="preserve">Winner's fee terms and tracking data are not in these materials. Ben and John to supply.</w:t>
      </w:r>
    </w:p>
    <w:p>
      <w:r>
        <w:br w:type="page"/>
      </w:r>
    </w:p>
    <w:p>
      <w:pPr>
        <w:pStyle w:val="Heading1"/>
      </w:pPr>
      <w:r>
        <w:t xml:space="preserve">Your feedback</w:t>
      </w:r>
    </w:p>
    <w:p>
      <w:pPr>
        <w:spacing w:after="120"/>
      </w:pPr>
      <w:r>
        <w:t xml:space="preserve">Write your name and at least one positive and one negative from 1500 Gateway or from this session. Be specific: what happened, and what it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700"/>
        <w:gridCol w:w="3700"/>
      </w:tblGrid>
      <w:tr>
        <w:trPr>
          <w:tblHeader/>
        </w:trPr>
        <w:tc>
          <w:tcPr>
            <w:tcW w:type="dxa" w:w="196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Name</w:t>
            </w:r>
          </w:p>
        </w:tc>
        <w:tc>
          <w:tcPr>
            <w:tcW w:type="dxa" w:w="370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Positives: what worked</w:t>
            </w:r>
          </w:p>
        </w:tc>
        <w:tc>
          <w:tcPr>
            <w:tcW w:type="dxa" w:w="3700"/>
            <w:tcBorders>
              <w:top w:val="single" w:color="BFBFBF" w:sz="4"/>
              <w:left w:val="single" w:color="BFBFBF" w:sz="4"/>
              <w:bottom w:val="single" w:color="BFBFBF" w:sz="4"/>
              <w:right w:val="single" w:color="BFBFBF" w:sz="4"/>
            </w:tcBorders>
            <w:shd w:fill="E8ECF2" w:color="auto" w:val="clear"/>
            <w:tcMar>
              <w:top w:type="dxa" w:w="80"/>
              <w:left w:type="dxa" w:w="120"/>
              <w:bottom w:type="dxa" w:w="80"/>
              <w:right w:type="dxa" w:w="120"/>
            </w:tcMar>
          </w:tcPr>
          <w:p>
            <w:r>
              <w:rPr>
                <w:b/>
                <w:bCs/>
              </w:rPr>
              <w:t xml:space="preserve">Negatives: what didn't</w:t>
            </w: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Height w:val="1300" w:hRule="atLeast"/>
        </w:trPr>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RenUSA East Team · Internal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2"/>
        <w:szCs w:val="22"/>
      </w:rPr>
    </w:rPrDefault>
    <w:pPrDefault>
      <w:pPr>
        <w:spacing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Roboto" w:cs="Roboto" w:eastAsia="Roboto" w:hAnsi="Roboto"/>
      <w:b/>
      <w:bCs/>
      <w:color w:val="0A3161"/>
      <w:sz w:val="48"/>
      <w:szCs w:val="48"/>
    </w:rPr>
  </w:style>
  <w:style w:type="paragraph" w:styleId="Heading1">
    <w:name w:val="Heading 1"/>
    <w:basedOn w:val="Normal"/>
    <w:next w:val="Normal"/>
    <w:qFormat/>
    <w:pPr>
      <w:spacing w:after="140" w:before="320"/>
      <w:outlineLvl w:val="0"/>
    </w:pPr>
    <w:rPr>
      <w:rFonts w:ascii="Roboto" w:cs="Roboto" w:eastAsia="Roboto" w:hAnsi="Roboto"/>
      <w:b/>
      <w:bCs/>
      <w:color w:val="0A3161"/>
      <w:sz w:val="30"/>
      <w:szCs w:val="30"/>
    </w:rPr>
  </w:style>
  <w:style w:type="paragraph" w:styleId="Heading2">
    <w:name w:val="Heading 2"/>
    <w:basedOn w:val="Normal"/>
    <w:next w:val="Normal"/>
    <w:qFormat/>
    <w:pPr>
      <w:keepNext/>
      <w:spacing w:after="80" w:before="260"/>
      <w:outlineLvl w:val="1"/>
    </w:pPr>
    <w:rPr>
      <w:rFonts w:ascii="Roboto" w:cs="Roboto" w:eastAsia="Roboto" w:hAnsi="Roboto"/>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1500 Gateway Hot Wash run of show</dc:title>
  <dc:creator>RenUSA East Team</dc:creator>
  <cp:lastModifiedBy>Un-named</cp:lastModifiedBy>
  <cp:revision>1</cp:revision>
  <dcterms:created xsi:type="dcterms:W3CDTF">2026-10-07T17:04:32.375Z</dcterms:created>
  <dcterms:modified xsi:type="dcterms:W3CDTF">2026-10-07T17:04:32.384Z</dcterms:modified>
</cp:coreProperties>
</file>

<file path=docProps/custom.xml><?xml version="1.0" encoding="utf-8"?>
<Properties xmlns="http://schemas.openxmlformats.org/officeDocument/2006/custom-properties" xmlns:vt="http://schemas.openxmlformats.org/officeDocument/2006/docPropsVTypes"/>
</file>