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9.jpg" ContentType="image/jpeg"/>
  <Override PartName="/word/media/rId24.jpg" ContentType="image/jpeg"/>
  <Override PartName="/word/media/rId57.jpg" ContentType="image/jpeg"/>
  <Override PartName="/word/media/rId53.jpg" ContentType="image/jpeg"/>
  <Override PartName="/word/media/rId65.jpg" ContentType="image/jpeg"/>
  <Override PartName="/word/media/rId61.jpg" ContentType="image/jpeg"/>
  <Override PartName="/word/media/rId69.jpg" ContentType="image/jpeg"/>
  <Override PartName="/word/media/rId73.jpg" ContentType="image/jpeg"/>
  <Override PartName="/word/media/rId189.jpg" ContentType="image/jpeg"/>
  <Override PartName="/word/media/rId192.jpg" ContentType="image/jpeg"/>
  <Override PartName="/word/media/rId77.jpg" ContentType="image/jpeg"/>
  <Override PartName="/word/media/rId195.jpg" ContentType="image/jpeg"/>
  <Override PartName="/word/media/rId81.jpg" ContentType="image/jpeg"/>
  <Override PartName="/word/media/rId97.jpg" ContentType="image/jpeg"/>
  <Override PartName="/word/media/rId85.jpg" ContentType="image/jpeg"/>
  <Override PartName="/word/media/rId89.jpg" ContentType="image/jpeg"/>
  <Override PartName="/word/media/rId93.jpg" ContentType="image/jpeg"/>
  <Override PartName="/word/media/rId101.jpg" ContentType="image/jpeg"/>
  <Override PartName="/word/media/rId198.jpg" ContentType="image/jpeg"/>
  <Override PartName="/word/media/rId105.jpg" ContentType="image/jpeg"/>
  <Override PartName="/word/media/rId207.jpg" ContentType="image/jpeg"/>
  <Override PartName="/word/media/rId204.jpg" ContentType="image/jpeg"/>
  <Override PartName="/word/media/rId201.jpg" ContentType="image/jpeg"/>
  <Override PartName="/word/media/rId109.jpg" ContentType="image/jpeg"/>
  <Override PartName="/word/media/rId113.jpg" ContentType="image/jpeg"/>
  <Override PartName="/word/media/rId121.jpg" ContentType="image/jpeg"/>
  <Override PartName="/word/media/rId117.jpg" ContentType="image/jpeg"/>
  <Override PartName="/word/media/rId125.jpg" ContentType="image/jpeg"/>
  <Override PartName="/word/media/rId219.jpg" ContentType="image/jpeg"/>
  <Override PartName="/word/media/rId141.jpg" ContentType="image/jpeg"/>
  <Override PartName="/word/media/rId129.jpg" ContentType="image/jpeg"/>
  <Override PartName="/word/media/rId210.jpg" ContentType="image/jpeg"/>
  <Override PartName="/word/media/rId213.jpg" ContentType="image/jpeg"/>
  <Override PartName="/word/media/rId137.jpg" ContentType="image/jpeg"/>
  <Override PartName="/word/media/rId133.jpg" ContentType="image/jpeg"/>
  <Override PartName="/word/media/rId216.jpg" ContentType="image/jpeg"/>
  <Override PartName="/word/media/rId145.jpg" ContentType="image/jpeg"/>
  <Override PartName="/word/media/rId149.jpg" ContentType="image/jpeg"/>
  <Override PartName="/word/media/rId153.jpg" ContentType="image/jpeg"/>
  <Override PartName="/word/media/rId222.jpg" ContentType="image/jpeg"/>
  <Override PartName="/word/media/rId225.jpg" ContentType="image/jpeg"/>
  <Override PartName="/word/media/rId228.jpg" ContentType="image/jpeg"/>
  <Override PartName="/word/media/rId158.jpg" ContentType="image/jpeg"/>
  <Override PartName="/word/media/rId162.jpg" ContentType="image/jpeg"/>
  <Override PartName="/word/media/rId166.jpg" ContentType="image/jpeg"/>
  <Override PartName="/word/media/rId170.jpg" ContentType="image/jpeg"/>
  <Override PartName="/word/media/rId234.jpg" ContentType="image/jpeg"/>
  <Override PartName="/word/media/rId231.jpg" ContentType="image/jpeg"/>
  <Override PartName="/word/media/rId175.jpg" ContentType="image/jpeg"/>
  <Override PartName="/word/media/rId179.jpg" ContentType="image/jpeg"/>
  <Override PartName="/word/media/rId237.jpg" ContentType="image/jpeg"/>
  <Override PartName="/word/media/rId18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Title"/>
      </w:pPr>
      <w:r>
        <w:t xml:space="preserve">THE FORGOTTEN FOREVER GIFT TO PUBLIC SCHOOLS</w:t>
      </w:r>
    </w:p>
    <w:bookmarkStart w:id="19" w:name="Xc7b91bce76232c1856c188db487c8753b6ff511"/>
    <w:p>
      <w:pPr>
        <w:pStyle w:val="Heading3"/>
      </w:pPr>
      <w:r>
        <w:t xml:space="preserve">The Story of the Land America Set Aside for Its Schools — and What Became of It</w:t>
      </w:r>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iCs/>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iCs/>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“A Living Record”</w:t>
      </w:r>
      <w:r>
        <w:t xml:space="preserve"> </w:t>
      </w:r>
      <w:r>
        <w:t xml:space="preserve">in the front matter and the code at the foot of each state entry.</w:t>
      </w:r>
    </w:p>
    <w:p>
      <w:pPr>
        <w:pStyle w:val="BodyText"/>
      </w:pPr>
      <w:r>
        <w:t xml:space="preserve">This book is not intended to provide legal advice. It describes the history and law of America’s school land trusts for a general reader; anyone with a legal question about a specific trust should consult a qualified attorney.</w:t>
      </w:r>
    </w:p>
    <w:p>
      <w:pPr>
        <w:pStyle w:val="BodyText"/>
      </w:pPr>
      <w:r>
        <w:t xml:space="preserve">A free PDF of this book, and its living online companion, are available at schooltrusts.net.</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iCs/>
        </w:rPr>
        <w:t xml:space="preserve">For the children who are its beneficiaries —</w:t>
      </w:r>
    </w:p>
    <w:p>
      <w:pPr>
        <w:pStyle w:val="BodyText"/>
      </w:pPr>
      <w:r>
        <w:rPr>
          <w:i/>
          <w:iCs/>
        </w:rPr>
        <w:t xml:space="preserve">and do not yet know it.</w:t>
      </w:r>
    </w:p>
    <w:p>
      <w:r>
        <w:br w:type="page"/>
      </w:r>
    </w:p>
    <w:p>
      <w:r>
        <w:br w:type="page"/>
      </w:r>
    </w:p>
    <w:p>
      <w:pPr>
        <w:pStyle w:val="TOCHeading"/>
      </w:pPr>
      <w:r>
        <w:t>Contents</w:t>
      </w:r>
    </w:p>
    <w:p>
      <w:pPr>
        <w:pStyle w:val="TOC1"/>
      </w:pPr>
      <w:r>
        <w:fldChar w:fldCharType="begin"/>
      </w:r>
      <w:r>
        <w:instrText xml:space="preserve"> TOC \o "1-1" \h \z \u </w:instrText>
      </w:r>
      <w:r>
        <w:fldChar w:fldCharType="separate"/>
      </w:r>
      <w:r>
        <w:t>Update field to build contents.</w:t>
      </w:r>
      <w:r>
        <w:fldChar w:fldCharType="end"/>
      </w:r>
    </w:p>
    <w:p>
      <w:r>
        <w:br w:type="page"/>
      </w:r>
    </w:p>
    <w:bookmarkEnd w:id="19"/>
    <w:bookmarkStart w:id="20" w:name="about-this-book"/>
    <w:p>
      <w:pPr>
        <w:pStyle w:val="Heading1"/>
      </w:pPr>
      <w:r>
        <w:t xml:space="preserve">About This Book</w:t>
      </w:r>
    </w:p>
    <w:p>
      <w:pPr>
        <w:pStyle w:val="FirstParagraph"/>
      </w:pPr>
      <w:r>
        <w:t xml:space="preserve">Imagine an inheritance set aside for every child in a public school — not a metaphor, but real land, granted by the founders at each state’s birth and held in trust for the schools ever since. In about twenty states it still exists, and in a few it has grown into a permanent fund worth billions. Almost no one knows it is there.</w:t>
      </w:r>
    </w:p>
    <w:p>
      <w:pPr>
        <w:pStyle w:val="BodyText"/>
      </w:pPr>
      <w:r>
        <w:t xml:space="preserve">This is the story of that gift: how a young and nearly bankrupt republic reserved a portion of a continent for the education of children not yet born; what the law has always required of the states that hold it; and how, state by state, the promise was kept, neglected, or quietly broken. It is the first of three companion volumes — this one looking back at the history, with later volumes on the present fight and the work ahead.</w:t>
      </w:r>
    </w:p>
    <w:p>
      <w:pPr>
        <w:pStyle w:val="BodyText"/>
      </w:pPr>
      <w:r>
        <w:t xml:space="preserve">It was meant to be a forever gift, to forever schools, for a forever democracy. Whether it is handed forward now is up to people who know it exists.</w:t>
      </w:r>
    </w:p>
    <w:bookmarkEnd w:id="20"/>
    <w:bookmarkStart w:id="22" w:name="why-this-matters"/>
    <w:p>
      <w:pPr>
        <w:pStyle w:val="Heading1"/>
      </w:pPr>
      <w:r>
        <w:t xml:space="preserve">Why This Matters</w:t>
      </w:r>
    </w:p>
    <w:bookmarkStart w:id="21" w:name="a-note-from-the-authors"/>
    <w:p>
      <w:pPr>
        <w:pStyle w:val="Heading3"/>
      </w:pPr>
      <w:r>
        <w:t xml:space="preserve">A Note from the Authors</w:t>
      </w:r>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“free”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state records compiled by Advocates for School Trust Lands show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bookmarkEnd w:id="21"/>
    <w:bookmarkEnd w:id="22"/>
    <w:bookmarkStart w:id="23" w:name="a-note-from-the-first-author"/>
    <w:p>
      <w:pPr>
        <w:pStyle w:val="Heading1"/>
      </w:pPr>
      <w:r>
        <w:t xml:space="preserve">A Note from the First Author</w:t>
      </w:r>
    </w:p>
    <w:p>
      <w:pPr>
        <w:pStyle w:val="FirstParagraph"/>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iCs/>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iCs/>
        </w:rPr>
        <w:t xml:space="preserve">Margaret Bird</w:t>
      </w:r>
    </w:p>
    <w:p>
      <w:r>
        <w:br w:type="page"/>
      </w:r>
    </w:p>
    <w:bookmarkEnd w:id="23"/>
    <w:bookmarkStart w:id="27" w:name="a-note-on-this-edition"/>
    <w:p>
      <w:pPr>
        <w:pStyle w:val="Heading1"/>
      </w:pPr>
      <w:r>
        <w:t xml:space="preserve">A Note on This Edition</w:t>
      </w:r>
    </w:p>
    <w:p>
      <w:pPr>
        <w:pStyle w:val="FirstParagraph"/>
      </w:pPr>
      <w:r>
        <w:t xml:space="preserve">This is a working revision of</w:t>
      </w:r>
      <w:r>
        <w:t xml:space="preserve"> </w:t>
      </w:r>
      <w:r>
        <w:rPr>
          <w:i/>
          <w:iCs/>
        </w:rPr>
        <w:t xml:space="preserve">The Forgotten Forever Gift to Public Schools</w:t>
      </w:r>
      <w:r>
        <w:t xml:space="preserve"> </w:t>
      </w:r>
      <w:r>
        <w:t xml:space="preserve">(Volume One - Looking Back), prepared after Margaret Bird’s June 2026 margin review. It is not yet the final print text. The revision does three things at once: it removes language that could imply there was ever no real trust; it expands the early American history Margaret asked for; and it moves the future-facing design lessons toward the companion volume, leaving this book to do its own work first - tell the history and help citizens protect the trusts that still survive.</w:t>
      </w:r>
    </w:p>
    <w:p>
      <w:pPr>
        <w:pStyle w:val="BodyText"/>
      </w:pPr>
      <w:r>
        <w:rPr>
          <w:b/>
          <w:bCs/>
        </w:rPr>
        <w:t xml:space="preserve">This book is the first of three.</w:t>
      </w:r>
      <w:r>
        <w:t xml:space="preserve"> </w:t>
      </w:r>
      <w:r>
        <w:rPr>
          <w:i/>
          <w:iCs/>
        </w:rPr>
        <w:t xml:space="preserve">The Forgotten Forever Gift to Public Schools</w:t>
      </w:r>
      <w:r>
        <w:t xml:space="preserve"> </w:t>
      </w:r>
      <w:r>
        <w:t xml:space="preserve">looks</w:t>
      </w:r>
      <w:r>
        <w:t xml:space="preserve"> </w:t>
      </w:r>
      <w:r>
        <w:rPr>
          <w:b/>
          <w:bCs/>
        </w:rPr>
        <w:t xml:space="preserve">back</w:t>
      </w:r>
      <w:r>
        <w:t xml:space="preserve"> </w:t>
      </w:r>
      <w:r>
        <w:t xml:space="preserve">- how the gift was made and what became of it. A companion volume looks at the</w:t>
      </w:r>
      <w:r>
        <w:t xml:space="preserve"> </w:t>
      </w:r>
      <w:r>
        <w:rPr>
          <w:b/>
          <w:bCs/>
        </w:rPr>
        <w:t xml:space="preserve">present</w:t>
      </w:r>
      <w:r>
        <w:t xml:space="preserve">, a recurring account of who is defending the trust today and who is raiding it; and a third looks</w:t>
      </w:r>
      <w:r>
        <w:t xml:space="preserve"> </w:t>
      </w:r>
      <w:r>
        <w:rPr>
          <w:b/>
          <w:bCs/>
        </w:rPr>
        <w:t xml:space="preserve">forward</w:t>
      </w:r>
      <w:r>
        <w:t xml:space="preserve">, at how the next generation should build defenses that do not depend on anyone happening to be watching. Each stands alone; together they are one argument across time.</w:t>
      </w:r>
    </w:p>
    <w:p>
      <w:pPr>
        <w:pStyle w:val="BodyText"/>
      </w:pPr>
      <w:r>
        <w:rPr>
          <w:b/>
          <w:bCs/>
        </w:rPr>
        <w:t xml:space="preserve">A Living Record.</w:t>
      </w:r>
      <w:r>
        <w:t xml:space="preserve"> </w:t>
      </w:r>
      <w:r>
        <w:t xml:space="preserve">The history and law in this book are documented in the Notes at the back. The fifty state portraits in Part Two are deliberately brief because living trusts change: lands are sold and exchanged, fund balances move, officers change, and litigation develops. Each state entry carries a code you can scan to reach its living page at schooltrusts.net, where the full record can be corrected and kept current. The book is the doorway to the record, not the record itself.</w:t>
      </w:r>
    </w:p>
    <w:p>
      <w:pPr>
        <w:pStyle w:val="BodyText"/>
      </w:pPr>
      <w:r>
        <w:drawing>
          <wp:inline>
            <wp:extent cx="914400" cy="914400"/>
            <wp:effectExtent b="0" l="0" r="0" t="0"/>
            <wp:docPr descr="" title="" id="25" name="Picture"/>
            <a:graphic>
              <a:graphicData uri="http://schemas.openxmlformats.org/drawingml/2006/picture">
                <pic:pic>
                  <pic:nvPicPr>
                    <pic:cNvPr descr="C:/Users/drdav/My%20Drive/Claude%20Cowork/_tools/_web_cache/qr_hub_884487fd4ee0_1200x_q90.jpg" id="26" name="Picture"/>
                    <pic:cNvPicPr>
                      <a:picLocks noChangeArrowheads="1" noChangeAspect="1"/>
                    </pic:cNvPicPr>
                  </pic:nvPicPr>
                  <pic:blipFill>
                    <a:blip r:embed="rId24"/>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iCs/>
        </w:rPr>
        <w:t xml:space="preserve">Scan for the full index of state pages at schooltrusts.net/reading.</w:t>
      </w:r>
    </w:p>
    <w:p>
      <w:r>
        <w:br w:type="page"/>
      </w:r>
    </w:p>
    <w:bookmarkEnd w:id="27"/>
    <w:bookmarkStart w:id="28" w:name="part-one---the-gift-and-the-duty"/>
    <w:p>
      <w:pPr>
        <w:pStyle w:val="Heading1"/>
      </w:pPr>
      <w:r>
        <w:t xml:space="preserve">PART ONE - The Gift and the Duty</w:t>
      </w:r>
    </w:p>
    <w:p>
      <w:pPr>
        <w:pStyle w:val="PullQuote"/>
      </w:pPr>
      <w:r>
        <w:t xml:space="preserve">“Religion, morality, and knowledge, being necessary to good government and the happiness of mankind, schools and the means of education shall forever be encouraged.”</w:t>
      </w:r>
      <w:r>
        <w:t xml:space="preserve"> </w:t>
      </w:r>
      <w:r>
        <w:t xml:space="preserve">- Northwest Ordinance, 1787</w:t>
      </w:r>
    </w:p>
    <w:p>
      <w:pPr>
        <w:pStyle w:val="BodyText"/>
      </w:pPr>
      <w:r>
        <w:t xml:space="preserve">This book is in two parts because the story is two things at once: an argument and a record. Part One is the argument.</w:t>
      </w:r>
    </w:p>
    <w:p>
      <w:pPr>
        <w:pStyle w:val="BodyText"/>
      </w:pPr>
      <w:r>
        <w:t xml:space="preserve">It begins with the gift - what still survives, why it was astonishing, and why a country with almost no money chose to reserve land for children not yet born. It then turns to the duty, because property held for someone else is a trust, and a trust binds the one who holds it. The duties are not decorative. They are loyalty, prudence, honest accounting, and enforcement. Each is shown in the breach and in the recovery, because a duty is easiest to see when someone tries to evade it.</w:t>
      </w:r>
    </w:p>
    <w:p>
      <w:pPr>
        <w:pStyle w:val="BodyText"/>
      </w:pPr>
      <w:r>
        <w:t xml:space="preserve">Part One ends where Margaret Bird’s review says the book must end: not with abstraction, but with preservation. How does the money reach the beneficiary? Who sees it? Who has standing to object when the stream is diverted? What can a citizen in a trust-land state do now?</w:t>
      </w:r>
    </w:p>
    <w:p>
      <w:pPr>
        <w:pStyle w:val="BodyText"/>
      </w:pPr>
      <w:r>
        <w:t xml:space="preserve">Read Part One to understand what was promised and what is owed. Then read Part Two to see, state by state, what became of it.</w:t>
      </w:r>
    </w:p>
    <w:p>
      <w:r>
        <w:br w:type="page"/>
      </w:r>
    </w:p>
    <w:bookmarkEnd w:id="28"/>
    <w:bookmarkStart w:id="32" w:name="chapter-1-the-inheritance-still-standing"/>
    <w:p>
      <w:pPr>
        <w:pStyle w:val="Heading1"/>
      </w:pPr>
      <w:r>
        <w:t xml:space="preserve">Chapter 1 — The Inheritance Still Standing</w:t>
      </w:r>
    </w:p>
    <w:p>
      <w:pPr>
        <w:pStyle w:val="PullQuote"/>
      </w:pPr>
      <w:r>
        <w:t xml:space="preserve">“A popular Government, without popular information, or the means of acquiring it, is but a Prologue to a Farce or a Tragedy; or, perhaps both.”</w:t>
      </w:r>
      <w:r>
        <w:rPr>
          <w:vertAlign w:val="superscript"/>
        </w:rPr>
        <w:t xml:space="preserve">1</w:t>
      </w:r>
      <w:r>
        <w:t xml:space="preserve"> </w:t>
      </w:r>
      <w:r>
        <w:t xml:space="preserve">— James Madison to W. T. Barry, 1822</w:t>
      </w:r>
    </w:p>
    <w:p>
      <w:pPr>
        <w:pStyle w:val="BodyText"/>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iCs/>
        </w:rPr>
        <w:t xml:space="preserve">own</w:t>
      </w:r>
      <w:r>
        <w:t xml:space="preserve">, in trust, set aside for them at the moment each territory became a state, and held for them ever since. Add it up and, today, the surviving estate comes to more than forty-five million acres — an area smaller than the state of Utah.</w:t>
      </w:r>
    </w:p>
    <w:p>
      <w:pPr>
        <w:pStyle w:val="BodyText"/>
      </w:pPr>
      <w:r>
        <w:t xml:space="preserve">That is what survives. It is not what was given. Counted state by state — a section, and later two, of every survey township across some thirty states — the original grant for the common schools came to about seventy-eight million acres. That is more land than the whole of Colorado, and half again the size of Utah. About forty-five million acres of it remain in trust today; the rest — roughly two acres of every five — has been sold, lost, or signed away (Figure 1). And the loss is wildly uneven. The states admitted before 1850 parted with essentially all of theirs; Nevada, granted some two million acres, has almost none left. The arid Western states admitted around 1890 kept nearly all of theirs — which is why almost every surviving trust acre lies west of the Rockies.</w:t>
      </w:r>
    </w:p>
    <w:p>
      <w:pPr>
        <w:pStyle w:val="CaptionedFigure"/>
      </w:pPr>
      <w:r>
        <w:drawing>
          <wp:inline>
            <wp:extent cx="4470400" cy="2292161"/>
            <wp:effectExtent b="0" l="0" r="0" t="0"/>
            <wp:docPr descr="Figure 1. The scale of the gift — and what is left of it. 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 State Trust Lands (1995), Table Two (~78 million acres), consistent with the 77.6-million-acre common-school total reported by the Center on Education Policy (2011); surviving acreage from Advocates for School Trust Lands." title="" id="30" name="Picture"/>
            <a:graphic>
              <a:graphicData uri="http://schemas.openxmlformats.org/drawingml/2006/picture">
                <pic:pic>
                  <pic:nvPicPr>
                    <pic:cNvPr descr="C:/Users/drdav/My%20Drive/Claude%20Cowork/_tools/_web_cache/fig_scale_4d23387e6cef_1200x_q90.jpg" id="31" name="Picture"/>
                    <pic:cNvPicPr>
                      <a:picLocks noChangeArrowheads="1" noChangeAspect="1"/>
                    </pic:cNvPicPr>
                  </pic:nvPicPr>
                  <pic:blipFill>
                    <a:blip r:embed="rId29"/>
                    <a:stretch>
                      <a:fillRect/>
                    </a:stretch>
                  </pic:blipFill>
                  <pic:spPr bwMode="auto">
                    <a:xfrm>
                      <a:off x="0" y="0"/>
                      <a:ext cx="4470400" cy="2292161"/>
                    </a:xfrm>
                    <a:prstGeom prst="rect">
                      <a:avLst/>
                    </a:prstGeom>
                    <a:noFill/>
                    <a:ln w="9525">
                      <a:noFill/>
                      <a:headEnd/>
                      <a:tailEnd/>
                    </a:ln>
                  </pic:spPr>
                </pic:pic>
              </a:graphicData>
            </a:graphic>
          </wp:inline>
        </w:drawing>
      </w:r>
    </w:p>
    <w:p>
      <w:pPr>
        <w:pStyle w:val="ImageCaption"/>
      </w:pPr>
      <w:r>
        <w:rPr>
          <w:b/>
          <w:bCs/>
        </w:rPr>
        <w:t xml:space="preserve">Figure 1. The scale of the gift — and what is left of it.</w:t>
      </w:r>
      <w:r>
        <w:t xml:space="preserve"> </w:t>
      </w:r>
      <w:r>
        <w:t xml:space="preserve">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w:t>
      </w:r>
      <w:r>
        <w:t xml:space="preserve"> </w:t>
      </w:r>
      <w:r>
        <w:rPr>
          <w:i/>
          <w:iCs/>
        </w:rPr>
        <w:t xml:space="preserve">State Trust Lands</w:t>
      </w:r>
      <w:r>
        <w:t xml:space="preserve"> </w:t>
      </w:r>
      <w:r>
        <w:t xml:space="preserve">(1995), Table Two (~78 million acres), consistent with the 77.6-million-acre common-school total reported by the Center on Education Policy (2011); surviving acreage from Advocates for School Trust Lands.</w:t>
      </w:r>
    </w:p>
    <w:p>
      <w:pPr>
        <w:pStyle w:val="BodyText"/>
      </w:pP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“rate bills”</w:t>
      </w:r>
      <w:r>
        <w:rPr>
          <w:vertAlign w:val="superscript"/>
        </w:rPr>
        <w:t xml:space="preserve">2</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“Poor School Fund”</w:t>
      </w:r>
      <w:r>
        <w:t xml:space="preserve"> </w:t>
      </w:r>
      <w:r>
        <w:t xml:space="preserve">to pay the tuition of indigent children, the schools that took the money became known as</w:t>
      </w:r>
      <w:r>
        <w:t xml:space="preserve"> </w:t>
      </w:r>
      <w:r>
        <w:t xml:space="preserve">“pauper schools,”</w:t>
      </w:r>
      <w:r>
        <w:t xml:space="preserve"> </w:t>
      </w:r>
      <w:r>
        <w:t xml:space="preserve">and parents kept their children home rather than be marked by them. In Bryan County in 1847, 164 children were entitled to the fund; no more than 16 attended</w:t>
      </w:r>
      <w:r>
        <w:rPr>
          <w:vertAlign w:val="superscript"/>
        </w:rPr>
        <w:t xml:space="preserve">3</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iCs/>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iCs/>
        </w:rPr>
        <w:t xml:space="preserve">United States v. Morrison</w:t>
      </w:r>
      <w:r>
        <w:t xml:space="preserve">, the Court held that because Congress</w:t>
      </w:r>
      <w:r>
        <w:t xml:space="preserve"> </w:t>
      </w:r>
      <w:r>
        <w:t xml:space="preserve">“used the same phrase substantially in nearly every one of the school grants,</w:t>
      </w:r>
      <w:r>
        <w:rPr>
          <w:vertAlign w:val="superscript"/>
        </w:rPr>
        <w:t xml:space="preserve">4</w:t>
      </w:r>
      <w:r>
        <w:t xml:space="preserve">”</w:t>
      </w:r>
      <w:r>
        <w:t xml:space="preserve"> </w:t>
      </w:r>
      <w:r>
        <w:t xml:space="preserve">with</w:t>
      </w:r>
      <w:r>
        <w:t xml:space="preserve"> </w:t>
      </w:r>
      <w:r>
        <w:t xml:space="preserve">“the manifest intention to place the states on the same footing,”</w:t>
      </w:r>
      <w:r>
        <w:t xml:space="preserve"> </w:t>
      </w:r>
      <w:r>
        <w:t xml:space="preserve">the grant</w:t>
      </w:r>
      <w:r>
        <w:t xml:space="preserve"> </w:t>
      </w:r>
      <w:r>
        <w:t xml:space="preserve">“did not have one meaning in one grant and a different meaning in another.”</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iCs/>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bookmarkEnd w:id="32"/>
    <w:bookmarkStart w:id="33" w:name="chapter-2---the-world-that-made-the-gift"/>
    <w:p>
      <w:pPr>
        <w:pStyle w:val="Heading1"/>
      </w:pPr>
      <w:r>
        <w:t xml:space="preserve">Chapter 2 - The World That Made the Gift</w:t>
      </w:r>
    </w:p>
    <w:p>
      <w:pPr>
        <w:pStyle w:val="PullQuote"/>
      </w:pPr>
      <w:r>
        <w:t xml:space="preserve">“Laws for the liberal education of youth, especially of the lower class of people, are so extremely wise and useful, that to a humane and generous mind, no expense for this purpose would be thought extravagant.”</w:t>
      </w:r>
      <w:r>
        <w:rPr>
          <w:vertAlign w:val="superscript"/>
        </w:rPr>
        <w:t xml:space="preserve">1</w:t>
      </w:r>
      <w:r>
        <w:t xml:space="preserve"> </w:t>
      </w:r>
      <w:r>
        <w:t xml:space="preserve">- John Adams</w:t>
      </w:r>
    </w:p>
    <w:p>
      <w:pPr>
        <w:pStyle w:val="BodyText"/>
      </w:pPr>
      <w:r>
        <w:t xml:space="preserve">It is hard, from here, to feel how strange and bold the school-land grant was. We are used to public schools. We are used to a federal government with a treasury, taxing power, agencies, courts, roads, and maps. The men who made the first school reservation had almost none of that.</w:t>
      </w:r>
    </w:p>
    <w:p>
      <w:pPr>
        <w:pStyle w:val="BodyText"/>
      </w:pPr>
      <w:r>
        <w:t xml:space="preserve">The Revolution had been won, but victory had not made the country rich. The Confederation Congress could not levy a direct national tax. Soldiers had gone unpaid. Domestic and foreign creditors waited. The states had their own jealousies, their own debts, and their own western claims. The new United States was a government trying to become a nation before it had the ordinary tools of a nation.</w:t>
      </w:r>
    </w:p>
    <w:p>
      <w:pPr>
        <w:pStyle w:val="BodyText"/>
      </w:pPr>
      <w:r>
        <w:t xml:space="preserve">What it did have was land, or at least a claim to land. Britain had ceded territory east of the Mississippi in the Treaty of Paris, but that paper description did not make the West simple. Several original states claimed enormous western reaches, some on maps that ran toward an ocean almost no American official had seen. Native nations lived there, governed there, fought there, and did not regard the land as empty. British troops remained at frontier posts. Spain controlled the lower Mississippi, the river the settlers would need if the West was to become more than a map. The country possessed a vast asset and a vast problem at the same time.</w:t>
      </w:r>
    </w:p>
    <w:p>
      <w:pPr>
        <w:pStyle w:val="BodyText"/>
      </w:pPr>
      <w:r>
        <w:t xml:space="preserve">The first problem was political: what would the western country become? If it stayed attached to the older states, Virginia and other large claimants might dominate the Union. If it became colonies, the Revolution would have reproduced the very structure it had rejected. If it became states, those states would need a path from unsettled territory to equal membership in the Union. That was the question Thomas Jefferson’s committee took up in 1784.</w:t>
      </w:r>
    </w:p>
    <w:p>
      <w:pPr>
        <w:pStyle w:val="BodyText"/>
      </w:pPr>
      <w:r>
        <w:t xml:space="preserve">Jefferson’s plan was not the school-section grant. That came the next year. His 1784 report was a state-making plan: temporary government, organized territory, then new states admitted on equal footing with the old. It also carried one of the great might-have-beens of American history. Jefferson proposed that, after 1800, slavery be barred from the western states. The clause failed by a single state vote. New Jersey would likely have supplied the missing vote, but one of its delegates was ill and absent. Three years later, the Northwest Ordinance would bar slavery north of the Ohio. In 1784, the line between freedom and slavery in the future West turned, for a moment, on an empty chair.</w:t>
      </w:r>
      <w:r>
        <w:rPr>
          <w:vertAlign w:val="superscript"/>
        </w:rPr>
        <w:t xml:space="preserve">2</w:t>
      </w:r>
    </w:p>
    <w:p>
      <w:pPr>
        <w:pStyle w:val="BodyText"/>
      </w:pPr>
      <w:r>
        <w:t xml:space="preserve">The second problem was fiscal. Land was the only national asset large enough to answer the debt. But land that could not be surveyed, defended, titled, and settled was not yet a treasury. A government can sell a continent on paper; families will not move to a dangerous, unmapped place unless they believe civil society will arrive with them. Roads mattered. Courts mattered. Clear title mattered. So did schools.</w:t>
      </w:r>
    </w:p>
    <w:p>
      <w:pPr>
        <w:pStyle w:val="BodyText"/>
      </w:pPr>
      <w:r>
        <w:t xml:space="preserve">That is why the Land Ordinance of May 20, 1785 is more than a surveying statute. It divided the public domain into townships six miles square, each township into thirty-six sections of one square mile. And then, in the middle of that fiscal machine, Congress did something that cost it real money: it reserved Lot No. 16 of every township for the maintenance of public schools within that township.</w:t>
      </w:r>
      <w:r>
        <w:rPr>
          <w:vertAlign w:val="superscript"/>
        </w:rPr>
        <w:t xml:space="preserve">3</w:t>
      </w:r>
      <w:r>
        <w:t xml:space="preserve"> </w:t>
      </w:r>
      <w:r>
        <w:t xml:space="preserve">One section out of thirty-six was not sold for the creditors. It was held back for children.</w:t>
      </w:r>
    </w:p>
    <w:p>
      <w:pPr>
        <w:pStyle w:val="BodyText"/>
      </w:pPr>
      <w:r>
        <w:t xml:space="preserve">That is easy to sentimentalize and just as easy to understate. The government was not giving away spare land. It was reserving one thirty-sixth of the very asset it hoped would save its credit. The school section was a public purpose written into the geometry of settlement. Every township would carry its own local endowment. Every map would show, before the town existed, that the future community was expected to educate its children.</w:t>
      </w:r>
    </w:p>
    <w:p>
      <w:pPr>
        <w:pStyle w:val="PullQuote"/>
      </w:pPr>
      <w:r>
        <w:rPr>
          <w:b/>
          <w:bCs/>
        </w:rPr>
        <w:t xml:space="preserve">BOX - The World of 1785</w:t>
      </w:r>
    </w:p>
    <w:p>
      <w:pPr>
        <w:pStyle w:val="PullQuote"/>
      </w:pPr>
      <w:r>
        <w:t xml:space="preserve">The United States in 1785 had debt, land claims, unpaid soldiers, no reliable national tax, British posts still in the Northwest, Spanish control of the Mississippi, and Native nations whose title and sovereignty stood between paper maps and actual settlement. To reserve school land in that world was not a decorative gesture. It was a decision to spend the country’s most valuable asset on the civic equipment of a republic that did not yet fully exist.</w:t>
      </w:r>
    </w:p>
    <w:p>
      <w:pPr>
        <w:pStyle w:val="BodyText"/>
      </w:pPr>
      <w:r>
        <w:t xml:space="preserve">The third problem was moral, and it cannot be skipped. The public domain was not created out of emptiness. The school lands were carved from territory Native nations occupied, defended, and understood as their own. The 1785 ordinance itself assumed that land would be disposed of only after Indian title had been purchased or otherwise extinguished, but the federal system quickly learned to treat Indigenous title as an obstacle to be cleared on the government’s timetable. The school-section reservation was therefore born inside a contradiction: a civic endowment for future children, built into a westward system that displaced the peoples already there.</w:t>
      </w:r>
      <w:r>
        <w:rPr>
          <w:vertAlign w:val="superscript"/>
        </w:rPr>
        <w:t xml:space="preserve">4</w:t>
      </w:r>
    </w:p>
    <w:p>
      <w:pPr>
        <w:pStyle w:val="BodyText"/>
      </w:pPr>
      <w:r>
        <w:t xml:space="preserve">A truthful history has to carry both facts at once. The school grant was one of the most generous civic acts in American founding law. It was also part of the machinery by which the United States transformed Indigenous homelands into surveyed, saleable, state-making property. That tension does not make the trust less real. It makes the duty heavier. If land came into the schools through a national act of conquest, bargain, survey, and settlement, the least later trustees could do was keep faith with the children for whom the land was reserved.</w:t>
      </w:r>
    </w:p>
    <w:p>
      <w:pPr>
        <w:pStyle w:val="BodyText"/>
      </w:pPr>
      <w:r>
        <w:t xml:space="preserve">The 1787 Northwest Ordinance gave the school reservation its famous sentence:</w:t>
      </w:r>
      <w:r>
        <w:t xml:space="preserve"> </w:t>
      </w:r>
      <w:r>
        <w:t xml:space="preserve">“Religion, morality, and knowledge”</w:t>
      </w:r>
      <w:r>
        <w:t xml:space="preserve"> </w:t>
      </w:r>
      <w:r>
        <w:t xml:space="preserve">were necessary to good government and human happiness, and therefore</w:t>
      </w:r>
      <w:r>
        <w:t xml:space="preserve"> </w:t>
      </w:r>
      <w:r>
        <w:t xml:space="preserve">“schools and the means of education shall forever be encouraged.”</w:t>
      </w:r>
      <w:r>
        <w:t xml:space="preserve"> </w:t>
      </w:r>
      <w:r>
        <w:t xml:space="preserve">The 1787 ordinance did not itself create the section-sixteen grant; the 1785 ordinance did that. But the two belong together. One supplied the land mechanism. The other supplied the civic reason.</w:t>
      </w:r>
    </w:p>
    <w:p>
      <w:pPr>
        <w:pStyle w:val="BodyText"/>
      </w:pPr>
      <w:r>
        <w:t xml:space="preserve">From there the pattern moved into statehood. Ohio entered in 1803, the first public-land state. Because so much land inside the new state remained federal, Ohio could not tax it the way the original states taxed their own land. The school grant became part of the bargain: the United States gave land for schools; the new state accepted terms and agreed not to tax federal land. Later states accepted the same bargain in their own admission and enabling acts. That is the compact theory in plain English. The school lands were not a casual gift tossed into statehood. They were consideration in the founding deal between a new state and the Union.</w:t>
      </w:r>
      <w:r>
        <w:rPr>
          <w:vertAlign w:val="superscript"/>
        </w:rPr>
        <w:t xml:space="preserve">5</w:t>
      </w:r>
    </w:p>
    <w:p>
      <w:pPr>
        <w:pStyle w:val="BodyText"/>
      </w:pPr>
      <w:r>
        <w:t xml:space="preserve">This is also where the original states and the later public-land states part company. Rhode Island, Delaware, Connecticut, New Jersey, New Hampshire, Massachusetts, Maryland, and the other original states entered the Union already holding their own soil. Vermont, Kentucky, Tennessee, Maine, and West Virginia came by different paths. Many of them built school funds or education clauses from state sources. Some were honorable. Some were later weakened or undone because the same people who created them could amend or repeal them. The federal school-land compact was different. It came from the terms of statehood itself, repeated across the public-land states, and later read by the Supreme Court as the same grant made for the same purpose.</w:t>
      </w:r>
    </w:p>
    <w:p>
      <w:pPr>
        <w:pStyle w:val="BodyText"/>
      </w:pPr>
      <w:r>
        <w:t xml:space="preserve">That is the history Margaret keeps insisting the book tell first. Before Alabama loses the money in a bank, before Oregon sells a forest to itself, before Utah rebuilds from near collapse, the reader has to see the founding choice. A poor republic looked west, saw debt, danger, ambition, speculation, civic fragility, and children who had not yet been born, and reserved land for their schools.</w:t>
      </w:r>
    </w:p>
    <w:p>
      <w:pPr>
        <w:pStyle w:val="BodyText"/>
      </w:pPr>
      <w:r>
        <w:t xml:space="preserve">The gift was not charity. It was not a slogan. It was public land put into fiduciary form for a public purpose that was meant to outlive the founders. That is why the trust matters, and why the word does not have to appear in every statute for the duty to exist. Property was set apart. A beneficiary was named. The state held what the schools were to receive. That is the substance of a trust.</w:t>
      </w:r>
    </w:p>
    <w:p>
      <w:pPr>
        <w:pStyle w:val="BodyText"/>
      </w:pPr>
      <w:r>
        <w:t xml:space="preserve">What that substance required of the states is the subject of the next chapter.</w:t>
      </w:r>
    </w:p>
    <w:p>
      <w:r>
        <w:br w:type="page"/>
      </w:r>
    </w:p>
    <w:bookmarkEnd w:id="33"/>
    <w:bookmarkStart w:id="34" w:name="chapter-3-the-punctilio-of-honor"/>
    <w:p>
      <w:pPr>
        <w:pStyle w:val="Heading1"/>
      </w:pPr>
      <w:r>
        <w:t xml:space="preserve">Chapter 3 — The Punctilio of Honor</w:t>
      </w:r>
    </w:p>
    <w:p>
      <w:pPr>
        <w:pStyle w:val="PullQuote"/>
      </w:pPr>
      <w:r>
        <w:t xml:space="preserve">“A trustee is held to something stricter than the morals of the market place. Not honesty alone, but the punctilio of an honor the most sensitive, is then the standard of behavior.”</w:t>
      </w:r>
      <w:r>
        <w:t xml:space="preserve"> </w:t>
      </w:r>
      <w:r>
        <w:t xml:space="preserve">— Benjamin Cardozo,</w:t>
      </w:r>
      <w:r>
        <w:t xml:space="preserve"> </w:t>
      </w:r>
      <w:r>
        <w:rPr>
          <w:i/>
          <w:iCs/>
        </w:rPr>
        <w:t xml:space="preserve">Meinhard v. Salmon</w:t>
      </w:r>
      <w:r>
        <w:t xml:space="preserve"> </w:t>
      </w:r>
      <w:r>
        <w:t xml:space="preserve">(1928)</w:t>
      </w:r>
    </w:p>
    <w:p>
      <w:pPr>
        <w:pStyle w:val="BodyText"/>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“not honesty alone, but the punctilio of an honor the most sensitive.”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pStyle w:val="Compact"/>
        <w:numPr>
          <w:ilvl w:val="0"/>
          <w:numId w:val="1001"/>
        </w:numPr>
      </w:pPr>
      <w:r>
        <w:rPr>
          <w:b/>
          <w:bCs/>
        </w:rPr>
        <w:t xml:space="preserve">Undivided loyalty.</w:t>
      </w:r>
      <w:r>
        <w:t xml:space="preserve"> </w:t>
      </w:r>
      <w:r>
        <w:t xml:space="preserve">The trustee acts only for the beneficiary — here, the schools — and never to serve the state’s general budget, a favored industry, or the trustee’s own convenience.</w:t>
      </w:r>
    </w:p>
    <w:p>
      <w:pPr>
        <w:pStyle w:val="Compact"/>
        <w:numPr>
          <w:ilvl w:val="0"/>
          <w:numId w:val="1001"/>
        </w:numPr>
      </w:pPr>
      <w:r>
        <w:rPr>
          <w:b/>
          <w:bCs/>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pStyle w:val="Compact"/>
        <w:numPr>
          <w:ilvl w:val="0"/>
          <w:numId w:val="1001"/>
        </w:numPr>
      </w:pPr>
      <w:r>
        <w:rPr>
          <w:b/>
          <w:bCs/>
        </w:rPr>
        <w:t xml:space="preserve">Competence and the duty to account.</w:t>
      </w:r>
      <w:r>
        <w:t xml:space="preserve"> </w:t>
      </w:r>
      <w:r>
        <w:t xml:space="preserve">A trustee must know what the trust holds, manage it with skill, and be able to show, to the penny, what came in and where it went.</w:t>
      </w:r>
    </w:p>
    <w:p>
      <w:pPr>
        <w:pStyle w:val="Compact"/>
        <w:numPr>
          <w:ilvl w:val="0"/>
          <w:numId w:val="1001"/>
        </w:numPr>
      </w:pPr>
      <w:r>
        <w:rPr>
          <w:b/>
          <w:bCs/>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“trust”</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w:t>
      </w:r>
    </w:p>
    <w:p>
      <w:pPr>
        <w:pStyle w:val="BodyText"/>
      </w:pPr>
      <w:r>
        <w:t xml:space="preserve">One distinction has to be made before the breach stories begin, because it is where this revision changes course. The school trust is not doubtful. The duty is not a coin toss. A state that accepted school lands accepted fiduciary obligations, whether or not the first statute used the word</w:t>
      </w:r>
      <w:r>
        <w:t xml:space="preserve"> </w:t>
      </w:r>
      <w:r>
        <w:t xml:space="preserve">“trust.”</w:t>
      </w:r>
      <w:r>
        <w:t xml:space="preserve"> </w:t>
      </w:r>
      <w:r>
        <w:t xml:space="preserve">The Supreme Court’s school-land cases have never given a state permission, on the merits, to treat the school corpus as its own pocket money.</w:t>
      </w:r>
    </w:p>
    <w:p>
      <w:pPr>
        <w:pStyle w:val="BodyText"/>
      </w:pPr>
      <w:r>
        <w:t xml:space="preserve">What has failed, over and over, is enforcement. Sometimes no one knew enough to object. Sometimes the money vanished into general finance so quietly that no beneficiary could see what had been lost. Sometimes a court told the schools they were too late, or in the wrong forum, or facing a sovereign that had not consented to be sued. Those losses are real. Oregon has lived inside them. But they are not losses about whether the duty exists. They are losses about whether anyone can make the trustee honor it.</w:t>
      </w:r>
    </w:p>
    <w:p>
      <w:pPr>
        <w:pStyle w:val="BodyText"/>
      </w:pPr>
      <w:r>
        <w:t xml:space="preserve">That distinction is the spine of everything that follows:</w:t>
      </w:r>
      <w:r>
        <w:t xml:space="preserve"> </w:t>
      </w:r>
      <w:r>
        <w:rPr>
          <w:b/>
          <w:bCs/>
        </w:rPr>
        <w:t xml:space="preserve">the duty is binding law; the remedy has to be built.</w:t>
      </w:r>
      <w:r>
        <w:t xml:space="preserve"> </w:t>
      </w:r>
      <w:r>
        <w:t xml:space="preserve">A trust without a visible beneficiary, a clear account, a named enforcer, and a courthouse door still may be a trust. It is simply an unguarded one. Every broken state in this book is the story of that gap. Every recovery begins when someone stands where the missing guard should have stood.</w:t>
      </w:r>
    </w:p>
    <w:p>
      <w:r>
        <w:br w:type="page"/>
      </w:r>
    </w:p>
    <w:bookmarkEnd w:id="34"/>
    <w:bookmarkStart w:id="38" w:name="Xf0721b9a7c84c277dfa52e2a9db37e4de03c9e3"/>
    <w:p>
      <w:pPr>
        <w:pStyle w:val="Heading1"/>
      </w:pPr>
      <w:r>
        <w:t xml:space="preserve">Chapter 4 — Loyalty: The Gift Treated as Pocket Money</w:t>
      </w:r>
    </w:p>
    <w:p>
      <w:pPr>
        <w:pStyle w:val="PullQuote"/>
      </w:pPr>
      <w:r>
        <w:t xml:space="preserve">“He that is entrusted with the interest of others, cannot be allowed to make the business an object of interest to himself.”</w:t>
      </w:r>
      <w:r>
        <w:rPr>
          <w:vertAlign w:val="superscript"/>
        </w:rPr>
        <w:t xml:space="preserve">1</w:t>
      </w:r>
    </w:p>
    <w:p>
      <w:pPr>
        <w:pStyle w:val="PullQuote"/>
      </w:pPr>
      <w:r>
        <w:t xml:space="preserve">— Lord Chancellor King,</w:t>
      </w:r>
      <w:r>
        <w:t xml:space="preserve"> </w:t>
      </w:r>
      <w:r>
        <w:rPr>
          <w:i/>
          <w:iCs/>
        </w:rPr>
        <w:t xml:space="preserve">Keech v. Sandford</w:t>
      </w:r>
      <w:r>
        <w:t xml:space="preserve"> </w:t>
      </w:r>
      <w:r>
        <w:t xml:space="preserve">(1726)</w:t>
      </w:r>
    </w:p>
    <w:p>
      <w:pPr>
        <w:pStyle w:val="BodyText"/>
      </w:pPr>
      <w:r>
        <w:t xml:space="preserve">Trust law begins with a plain sentence: the trustee does not own the trust for himself. He holds it for another. In the school-land grants, the</w:t>
      </w:r>
      <w:r>
        <w:t xml:space="preserve"> </w:t>
      </w:r>
      <w:r>
        <w:t xml:space="preserve">“another”</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bookmarkStart w:id="35" w:name="principle"/>
    <w:p>
      <w:pPr>
        <w:pStyle w:val="Heading2"/>
      </w:pPr>
      <w:r>
        <w:t xml:space="preserve">Principle</w:t>
      </w:r>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iCs/>
        </w:rPr>
        <w:t xml:space="preserve">Magruder v. Drury</w:t>
      </w:r>
      <w:r>
        <w:t xml:space="preserve"> </w:t>
      </w:r>
      <w:r>
        <w:t xml:space="preserve">put the baseline plainly:</w:t>
      </w:r>
      <w:r>
        <w:t xml:space="preserve"> </w:t>
      </w:r>
      <w:r>
        <w:t xml:space="preserve">“a trustee can make no profit out of his trust.”</w:t>
      </w:r>
      <w:r>
        <w:rPr>
          <w:vertAlign w:val="superscript"/>
        </w:rPr>
        <w:t xml:space="preserve">2</w:t>
      </w:r>
      <w:r>
        <w:t xml:space="preserve"> </w:t>
      </w:r>
      <w:r>
        <w:t xml:space="preserve">And Cardozo, in</w:t>
      </w:r>
      <w:r>
        <w:t xml:space="preserve"> </w:t>
      </w:r>
      <w:r>
        <w:rPr>
          <w:i/>
          <w:iCs/>
        </w:rPr>
        <w:t xml:space="preserve">Meinhard v. Salmon</w:t>
      </w:r>
      <w:r>
        <w:t xml:space="preserve">, set the standard that has governed ever since</w:t>
      </w:r>
      <w:r>
        <w:rPr>
          <w:vertAlign w:val="superscript"/>
        </w:rPr>
        <w:t xml:space="preserve">3</w:t>
      </w:r>
      <w:r>
        <w:t xml:space="preserve">:</w:t>
      </w:r>
      <w:r>
        <w:t xml:space="preserve"> </w:t>
      </w:r>
      <w:r>
        <w:t xml:space="preserve">“A trustee is held to something stricter than the morals of the market place. Not honesty alone, but the punctilio of an honor the most sensitive, is then the standard of behavior.”</w:t>
      </w:r>
    </w:p>
    <w:p>
      <w:pPr>
        <w:pStyle w:val="BodyText"/>
      </w:pPr>
      <w:r>
        <w:t xml:space="preserve">The school trust is not exempt from that standard because its trustee is a state.</w:t>
      </w:r>
    </w:p>
    <w:bookmarkEnd w:id="35"/>
    <w:bookmarkStart w:id="36" w:name="abuse"/>
    <w:p>
      <w:pPr>
        <w:pStyle w:val="Heading2"/>
      </w:pPr>
      <w:r>
        <w:t xml:space="preserve">Abuse</w:t>
      </w:r>
    </w:p>
    <w:p>
      <w:pPr>
        <w:pStyle w:val="FirstParagraph"/>
      </w:pPr>
      <w:r>
        <w:t xml:space="preserve">The simplest loyalty breach is the one New Mexico tried in the early twentieth century</w:t>
      </w:r>
      <w:r>
        <w:rPr>
          <w:vertAlign w:val="superscript"/>
        </w:rPr>
        <w:t xml:space="preserve">4</w:t>
      </w:r>
      <w:r>
        <w:t xml:space="preserve">. Congress had granted land for schools and other institutions. New Mexico used income from those lands to advertise the state. In</w:t>
      </w:r>
      <w:r>
        <w:t xml:space="preserve"> </w:t>
      </w:r>
      <w:r>
        <w:rPr>
          <w:i/>
          <w:iCs/>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oxedHeaderSimple"/>
      </w:pPr>
      <w:r>
        <w:t xml:space="preserve">When the Seller Is Also the Buyer</w:t>
      </w:r>
    </w:p>
    <w:p>
      <w:pPr>
        <w:pStyle w:val="BoxBody"/>
      </w:pPr>
      <w:r>
        <w:t xml:space="preserve">Oregon’s Elliott State Forest shows why loyalty is not a decorative doctrine. In 2022 testimony to Oregon’s State Land Board, Margaret Bird pointed to a Mason, Bruce &amp; Girard</w:t>
      </w:r>
      <w:r>
        <w:t xml:space="preserve"> </w:t>
      </w:r>
      <w:r>
        <w:t xml:space="preserve">“investment value”</w:t>
      </w:r>
      <w:r>
        <w:t xml:space="preserve"> </w:t>
      </w:r>
      <w:r>
        <w:t xml:space="preserve">of</w:t>
      </w:r>
      <w:r>
        <w:t xml:space="preserve"> </w:t>
      </w:r>
      <w:r>
        <w:rPr>
          <w:b/>
          <w:bCs/>
        </w:rPr>
        <w:t xml:space="preserve">$99.6 million</w:t>
      </w:r>
      <w:r>
        <w:t xml:space="preserve"> </w:t>
      </w:r>
      <w:r>
        <w:t xml:space="preserve">for the school trust’s interest, while public-market evidence discussed in the same record put the larger forest value roughly in the</w:t>
      </w:r>
      <w:r>
        <w:t xml:space="preserve"> </w:t>
      </w:r>
      <w:r>
        <w:rPr>
          <w:b/>
          <w:bCs/>
        </w:rPr>
        <w:t xml:space="preserve">$1 billion to $1.3 billion</w:t>
      </w:r>
      <w:r>
        <w:t xml:space="preserve"> </w:t>
      </w:r>
      <w:r>
        <w:t xml:space="preserve">range. The 2024 legislative funding package for decoupling supplied</w:t>
      </w:r>
      <w:r>
        <w:t xml:space="preserve"> </w:t>
      </w:r>
      <w:r>
        <w:rPr>
          <w:b/>
          <w:bCs/>
        </w:rPr>
        <w:t xml:space="preserve">$121 million in General Fund money</w:t>
      </w:r>
      <w:r>
        <w:t xml:space="preserve"> </w:t>
      </w:r>
      <w:r>
        <w:t xml:space="preserve">and</w:t>
      </w:r>
      <w:r>
        <w:t xml:space="preserve"> </w:t>
      </w:r>
      <w:r>
        <w:rPr>
          <w:b/>
          <w:bCs/>
        </w:rPr>
        <w:t xml:space="preserve">$100 million in bond funding</w:t>
      </w:r>
      <w:r>
        <w:t xml:space="preserve">, for a total of</w:t>
      </w:r>
      <w:r>
        <w:t xml:space="preserve"> </w:t>
      </w:r>
      <w:r>
        <w:rPr>
          <w:b/>
          <w:bCs/>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odyText"/>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bCs/>
        </w:rPr>
        <w:t xml:space="preserve">$50 million</w:t>
      </w:r>
      <w:r>
        <w:t xml:space="preserve"> </w:t>
      </w:r>
      <w:r>
        <w:t xml:space="preserve">cash component</w:t>
      </w:r>
      <w:r>
        <w:rPr>
          <w:vertAlign w:val="superscript"/>
        </w:rPr>
        <w:t xml:space="preserve">5</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bookmarkEnd w:id="36"/>
    <w:bookmarkStart w:id="37" w:name="honorable-counterexample"/>
    <w:p>
      <w:pPr>
        <w:pStyle w:val="Heading2"/>
      </w:pPr>
      <w:r>
        <w:t xml:space="preserve">Honorable Counterexample</w:t>
      </w:r>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iCs/>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iCs/>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bookmarkEnd w:id="37"/>
    <w:bookmarkEnd w:id="38"/>
    <w:bookmarkStart w:id="42" w:name="Xb03ca550012684e798b5a556422781d37a83e68"/>
    <w:p>
      <w:pPr>
        <w:pStyle w:val="Heading1"/>
      </w:pPr>
      <w:r>
        <w:t xml:space="preserve">Chapter 5 — Prudence: Do Not Eat the Seed Corn</w:t>
      </w:r>
    </w:p>
    <w:p>
      <w:pPr>
        <w:pStyle w:val="PullQuote"/>
      </w:pPr>
      <w:r>
        <w:t xml:space="preserve">“The trust must be administered with an eye single to the interests of the beneficiaries.”</w:t>
      </w:r>
      <w:r>
        <w:rPr>
          <w:vertAlign w:val="superscript"/>
        </w:rPr>
        <w:t xml:space="preserve">1</w:t>
      </w:r>
    </w:p>
    <w:p>
      <w:pPr>
        <w:pStyle w:val="PullQuote"/>
      </w:pPr>
      <w:r>
        <w:t xml:space="preserve">—</w:t>
      </w:r>
      <w:r>
        <w:t xml:space="preserve"> </w:t>
      </w:r>
      <w:r>
        <w:rPr>
          <w:i/>
          <w:iCs/>
        </w:rPr>
        <w:t xml:space="preserve">Lassen v. Arizona ex rel. Arizona Highway Department</w:t>
      </w:r>
      <w:r>
        <w:t xml:space="preserve"> </w:t>
      </w:r>
      <w:r>
        <w:t xml:space="preserve">(1967)</w:t>
      </w:r>
    </w:p>
    <w:p>
      <w:pPr>
        <w:pStyle w:val="BodyText"/>
      </w:pPr>
      <w:r>
        <w:t xml:space="preserve">Prudence is loyalty’s practical twin. Loyalty asks,</w:t>
      </w:r>
      <w:r>
        <w:t xml:space="preserve"> </w:t>
      </w:r>
      <w:r>
        <w:t xml:space="preserve">“Who are you serving?”</w:t>
      </w:r>
      <w:r>
        <w:t xml:space="preserve"> </w:t>
      </w:r>
      <w:r>
        <w:t xml:space="preserve">Prudence asks,</w:t>
      </w:r>
      <w:r>
        <w:t xml:space="preserve"> </w:t>
      </w:r>
      <w:r>
        <w:t xml:space="preserve">“Are you keeping the thing you were given?”</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bookmarkStart w:id="39" w:name="principle-1"/>
    <w:p>
      <w:pPr>
        <w:pStyle w:val="Heading2"/>
      </w:pPr>
      <w:r>
        <w:t xml:space="preserve">Principle</w:t>
      </w:r>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bookmarkEnd w:id="39"/>
    <w:bookmarkStart w:id="40" w:name="abuse-1"/>
    <w:p>
      <w:pPr>
        <w:pStyle w:val="Heading2"/>
      </w:pPr>
      <w:r>
        <w:t xml:space="preserve">Abuse</w:t>
      </w:r>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iCs/>
        </w:rPr>
        <w:t xml:space="preserve">principal</w:t>
      </w:r>
      <w:r>
        <w:t xml:space="preserve"> </w:t>
      </w:r>
      <w:r>
        <w:t xml:space="preserve">and</w:t>
      </w:r>
      <w:r>
        <w:t xml:space="preserve"> </w:t>
      </w:r>
      <w:r>
        <w:rPr>
          <w:i/>
          <w:iCs/>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“both as to principal and income.”</w:t>
      </w:r>
      <w:r>
        <w:t xml:space="preserve"> </w:t>
      </w:r>
      <w:r>
        <w:t xml:space="preserve">California failed more quietly, by omission: the first state to receive the doubled two-section grant never even</w:t>
      </w:r>
      <w:r>
        <w:t xml:space="preserve"> </w:t>
      </w:r>
      <w:r>
        <w:rPr>
          <w:i/>
          <w:iCs/>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2</w:t>
      </w:r>
      <w:r>
        <w:t xml:space="preserve">, and it sold</w:t>
      </w:r>
      <w:r>
        <w:t xml:space="preserve"> </w:t>
      </w:r>
      <w:r>
        <w:rPr>
          <w:i/>
          <w:iCs/>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iCs/>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“a man of ordinary judgment”</w:t>
      </w:r>
      <w:r>
        <w:rPr>
          <w:vertAlign w:val="superscript"/>
        </w:rPr>
        <w:t xml:space="preserve">3</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iCs/>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4</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bCs/>
        </w:rPr>
        <w:t xml:space="preserve">2,914 acres</w:t>
      </w:r>
      <w:r>
        <w:t xml:space="preserve">, producing</w:t>
      </w:r>
      <w:r>
        <w:t xml:space="preserve"> </w:t>
      </w:r>
      <w:r>
        <w:rPr>
          <w:b/>
          <w:bCs/>
        </w:rPr>
        <w:t xml:space="preserve">less than $5,000 a year</w:t>
      </w:r>
      <w:r>
        <w:rPr>
          <w:vertAlign w:val="superscript"/>
        </w:rPr>
        <w:t xml:space="preserve">5</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bCs/>
        </w:rPr>
        <w:t xml:space="preserve">$2 billion</w:t>
      </w:r>
      <w:r>
        <w:t xml:space="preserve"> </w:t>
      </w:r>
      <w:r>
        <w:t xml:space="preserve">draw against corpus. (An earlier draft of this book used a later shorthand for the post-raid loss; that estimate stays out until it is pinned to an audited source.)</w:t>
      </w:r>
    </w:p>
    <w:p>
      <w:pPr>
        <w:pStyle w:val="BoxedHeaderSimple"/>
      </w:pPr>
      <w:r>
        <w:t xml:space="preserve">Don’t Eat the Seed Corn</w:t>
      </w:r>
    </w:p>
    <w:p>
      <w:pPr>
        <w:pStyle w:val="BoxBody"/>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“excess earnings.”</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oxedHeaderSimple"/>
      </w:pPr>
      <w:r>
        <w:t xml:space="preserve">The Corpus Test</w:t>
      </w:r>
    </w:p>
    <w:p>
      <w:pPr>
        <w:pStyle w:val="BoxBody"/>
      </w:pPr>
      <w:r>
        <w:t xml:space="preserve">Before any sale, exchange, raid, or diversion, ask four questions.</w:t>
      </w:r>
    </w:p>
    <w:p>
      <w:pPr>
        <w:pStyle w:val="Compact"/>
        <w:numPr>
          <w:ilvl w:val="0"/>
          <w:numId w:val="1002"/>
        </w:numPr>
      </w:pPr>
      <w:r>
        <w:t xml:space="preserve">Is the trust receiving fair market value or a clearly documented equivalent?</w:t>
      </w:r>
    </w:p>
    <w:p>
      <w:pPr>
        <w:pStyle w:val="Compact"/>
        <w:numPr>
          <w:ilvl w:val="0"/>
          <w:numId w:val="1002"/>
        </w:numPr>
      </w:pPr>
      <w:r>
        <w:t xml:space="preserve">Is the principal preserved, or is principal being spent as if it were income?</w:t>
      </w:r>
    </w:p>
    <w:p>
      <w:pPr>
        <w:pStyle w:val="Compact"/>
        <w:numPr>
          <w:ilvl w:val="0"/>
          <w:numId w:val="1002"/>
        </w:numPr>
      </w:pPr>
      <w:r>
        <w:t xml:space="preserve">Would a private trustee, accountable only to the beneficiary, make the same transaction?</w:t>
      </w:r>
    </w:p>
    <w:p>
      <w:pPr>
        <w:pStyle w:val="Compact"/>
        <w:numPr>
          <w:ilvl w:val="0"/>
          <w:numId w:val="1002"/>
        </w:numPr>
      </w:pPr>
      <w:r>
        <w:t xml:space="preserve">Can the trustee show the calculation in public?</w:t>
      </w:r>
    </w:p>
    <w:p>
      <w:pPr>
        <w:pStyle w:val="BoxBody"/>
      </w:pPr>
      <w:r>
        <w:t xml:space="preserve">If the answer to any of these is no, the burden should fall on the trustee, not on the schools.</w:t>
      </w:r>
    </w:p>
    <w:bookmarkEnd w:id="40"/>
    <w:bookmarkStart w:id="41" w:name="honorable-counterexample-1"/>
    <w:p>
      <w:pPr>
        <w:pStyle w:val="Heading2"/>
      </w:pPr>
      <w:r>
        <w:t xml:space="preserve">Honorable Counterexample</w:t>
      </w:r>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“were the great trust of the future commonwealth and should be absolutely secured from waste and cheap sales.”</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6</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“an educated and forewarned constituency”</w:t>
      </w:r>
      <w:r>
        <w:rPr>
          <w:vertAlign w:val="superscript"/>
        </w:rPr>
        <w:t xml:space="preserve">7</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8</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“Pettigrew and the Beadle Club”</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bCs/>
        </w:rPr>
        <w:t xml:space="preserve">$7.94 billion</w:t>
      </w:r>
      <w:r>
        <w:t xml:space="preserve"> </w:t>
      </w:r>
      <w:r>
        <w:t xml:space="preserve">[as of Dec. 11, 2025]</w:t>
      </w:r>
      <w:r>
        <w:rPr>
          <w:vertAlign w:val="superscript"/>
        </w:rPr>
        <w:t xml:space="preserve">9</w:t>
      </w:r>
      <w:r>
        <w:t xml:space="preserve"> </w:t>
      </w:r>
      <w:r>
        <w:t xml:space="preserve">in the Department of Trust Lands’ report to the Board of University and School Lands.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bCs/>
        </w:rPr>
        <w:t xml:space="preserve">about $32.97 billion</w:t>
      </w:r>
      <w:r>
        <w:t xml:space="preserve"> </w:t>
      </w:r>
      <w:r>
        <w:t xml:space="preserve">[as of Dec. 31, 2024]</w:t>
      </w:r>
      <w:r>
        <w:rPr>
          <w:vertAlign w:val="superscript"/>
        </w:rPr>
        <w:t xml:space="preserve">10</w:t>
      </w:r>
      <w:r>
        <w:t xml:space="preserve">, is the strongest single contemporary illustration in the record — and the story of</w:t>
      </w:r>
      <w:r>
        <w:t xml:space="preserve"> </w:t>
      </w:r>
      <w:r>
        <w:rPr>
          <w:i/>
          <w:iCs/>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bookmarkEnd w:id="41"/>
    <w:bookmarkEnd w:id="42"/>
    <w:bookmarkStart w:id="46" w:name="Xa785ff15bbc5aca2cde698441a7895191522807"/>
    <w:p>
      <w:pPr>
        <w:pStyle w:val="Heading1"/>
      </w:pPr>
      <w:r>
        <w:t xml:space="preserve">Chapter 6 — Competence and Accounting: The Books Must Tell the Truth</w:t>
      </w:r>
    </w:p>
    <w:p>
      <w:pPr>
        <w:pStyle w:val="PullQuote"/>
      </w:pP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p>
    <w:p>
      <w:pPr>
        <w:pStyle w:val="PullQuote"/>
      </w:pPr>
      <w:r>
        <w:t xml:space="preserve">—</w:t>
      </w:r>
      <w:r>
        <w:t xml:space="preserve"> </w:t>
      </w:r>
      <w:r>
        <w:rPr>
          <w:i/>
          <w:iCs/>
        </w:rPr>
        <w:t xml:space="preserve">SEC v. Chenery Corp.</w:t>
      </w:r>
      <w:r>
        <w:t xml:space="preserve"> </w:t>
      </w:r>
      <w:r>
        <w:t xml:space="preserve">(1943)</w:t>
      </w:r>
    </w:p>
    <w:p>
      <w:pPr>
        <w:pStyle w:val="BodyText"/>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bookmarkStart w:id="43" w:name="principle-2"/>
    <w:p>
      <w:pPr>
        <w:pStyle w:val="Heading2"/>
      </w:pPr>
      <w:r>
        <w:t xml:space="preserve">Principle</w:t>
      </w:r>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bookmarkEnd w:id="43"/>
    <w:bookmarkStart w:id="44" w:name="abuse-2"/>
    <w:p>
      <w:pPr>
        <w:pStyle w:val="Heading2"/>
      </w:pPr>
      <w:r>
        <w:t xml:space="preserve">Abuse</w:t>
      </w:r>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“history.”</w:t>
      </w:r>
      <w:r>
        <w:t xml:space="preserve"> </w:t>
      </w:r>
      <w:r>
        <w:t xml:space="preserve">If the beneficiary never receives a clear annual account, underperformance becomes atmosphere rather than evidence.</w:t>
      </w:r>
    </w:p>
    <w:bookmarkEnd w:id="44"/>
    <w:bookmarkStart w:id="45" w:name="honorable-counterexample-2"/>
    <w:p>
      <w:pPr>
        <w:pStyle w:val="Heading2"/>
      </w:pPr>
      <w:r>
        <w:t xml:space="preserve">Honorable Counterexample</w:t>
      </w:r>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bookmarkEnd w:id="45"/>
    <w:bookmarkEnd w:id="46"/>
    <w:bookmarkStart w:id="50" w:name="Xe82d56c33fc65cef5eb77d02ed3c998e49bfba3"/>
    <w:p>
      <w:pPr>
        <w:pStyle w:val="Heading1"/>
      </w:pPr>
      <w:r>
        <w:t xml:space="preserve">Chapter 7 — Supervision and Enforcement: Someone Has to Watch the Watcher</w:t>
      </w:r>
    </w:p>
    <w:p>
      <w:pPr>
        <w:pStyle w:val="PullQuote"/>
      </w:pPr>
      <w:r>
        <w:t xml:space="preserve">“The officers of the state, who are charged with the management of school lands, are trustees for the public schools.”</w:t>
      </w:r>
      <w:r>
        <w:rPr>
          <w:vertAlign w:val="superscript"/>
        </w:rPr>
        <w:t xml:space="preserve">1</w:t>
      </w:r>
    </w:p>
    <w:p>
      <w:pPr>
        <w:pStyle w:val="PullQuote"/>
      </w:pPr>
      <w:r>
        <w:t xml:space="preserve">—</w:t>
      </w:r>
      <w:r>
        <w:t xml:space="preserve"> </w:t>
      </w:r>
      <w:r>
        <w:rPr>
          <w:i/>
          <w:iCs/>
        </w:rPr>
        <w:t xml:space="preserve">State ex rel. Ebke v. Board of Educational Lands &amp; Funds</w:t>
      </w:r>
      <w:r>
        <w:t xml:space="preserve"> </w:t>
      </w:r>
      <w:r>
        <w:t xml:space="preserve">(Neb. 1951)</w:t>
      </w:r>
    </w:p>
    <w:p>
      <w:pPr>
        <w:pStyle w:val="BodyText"/>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bookmarkStart w:id="47" w:name="principle-3"/>
    <w:p>
      <w:pPr>
        <w:pStyle w:val="Heading2"/>
      </w:pPr>
      <w:r>
        <w:t xml:space="preserve">Principle</w:t>
      </w:r>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“trust us.”</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bookmarkEnd w:id="47"/>
    <w:bookmarkStart w:id="48" w:name="abuse-3"/>
    <w:p>
      <w:pPr>
        <w:pStyle w:val="Heading2"/>
      </w:pPr>
      <w:r>
        <w:t xml:space="preserve">Abuse</w:t>
      </w:r>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iCs/>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“grossly inadequate consideration.”</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“multiple use”</w:t>
      </w:r>
      <w:r>
        <w:t xml:space="preserve"> </w:t>
      </w:r>
      <w:r>
        <w:t xml:space="preserve">becomes a polite name for nobody paying the schools what they are owed.</w:t>
      </w:r>
    </w:p>
    <w:bookmarkEnd w:id="48"/>
    <w:bookmarkStart w:id="49" w:name="honorable-counterexample-3"/>
    <w:p>
      <w:pPr>
        <w:pStyle w:val="Heading2"/>
      </w:pPr>
      <w:r>
        <w:t xml:space="preserve">Honorable Counterexample</w:t>
      </w:r>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“held in trust”</w:t>
      </w:r>
      <w:r>
        <w:t xml:space="preserve">; spending the proceeds on anything outside the permitted purposes</w:t>
      </w:r>
      <w:r>
        <w:t xml:space="preserve"> </w:t>
      </w:r>
      <w:r>
        <w:t xml:space="preserve">“shall be deemed a breach of trust”</w:t>
      </w:r>
      <w:r>
        <w:t xml:space="preserve">; and — the part that changed everything — it was made the</w:t>
      </w:r>
      <w:r>
        <w:t xml:space="preserve"> </w:t>
      </w:r>
      <w:r>
        <w:rPr>
          <w:i/>
          <w:iCs/>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“resources and advantages,”</w:t>
      </w:r>
      <w:r>
        <w:t xml:space="preserve"> </w:t>
      </w:r>
      <w:r>
        <w:t xml:space="preserve">the United States sued, and in</w:t>
      </w:r>
      <w:r>
        <w:t xml:space="preserve"> </w:t>
      </w:r>
      <w:r>
        <w:rPr>
          <w:i/>
          <w:iCs/>
        </w:rPr>
        <w:t xml:space="preserve">Ervien v. United States</w:t>
      </w:r>
      <w:r>
        <w:t xml:space="preserve"> </w:t>
      </w:r>
      <w:r>
        <w:t xml:space="preserve">(1919) the Supreme Court shut the program down, reading the trust’s purposes as</w:t>
      </w:r>
      <w:r>
        <w:t xml:space="preserve"> </w:t>
      </w:r>
      <w:r>
        <w:t xml:space="preserve">“special and exact.”</w:t>
      </w:r>
      <w:r>
        <w:rPr>
          <w:vertAlign w:val="superscript"/>
        </w:rPr>
        <w:t xml:space="preserve">4</w:t>
      </w:r>
      <w:r>
        <w:t xml:space="preserve"> </w:t>
      </w:r>
      <w:r>
        <w:t xml:space="preserve">Half a century later it ran again: in</w:t>
      </w:r>
      <w:r>
        <w:t xml:space="preserve"> </w:t>
      </w:r>
      <w:r>
        <w:rPr>
          <w:i/>
          <w:iCs/>
        </w:rPr>
        <w:t xml:space="preserve">Lassen v. Arizona</w:t>
      </w:r>
      <w:r>
        <w:t xml:space="preserve"> </w:t>
      </w:r>
      <w:r>
        <w:t xml:space="preserve">(1967), under the same Act, the Court held that the trust must receive the</w:t>
      </w:r>
      <w:r>
        <w:t xml:space="preserve"> </w:t>
      </w:r>
      <w:r>
        <w:rPr>
          <w:i/>
          <w:iCs/>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bCs/>
        </w:rPr>
        <w:t xml:space="preserve">$32.97 billion</w:t>
      </w:r>
      <w:r>
        <w:t xml:space="preserve"> </w:t>
      </w:r>
      <w:r>
        <w:t xml:space="preserve">[as of Dec. 31, 2024] not because New Mexicans were more virtuous than their neighbors, but because the promise they inherited was written so that someone could be forced to keep it.</w:t>
      </w:r>
    </w:p>
    <w:p>
      <w:pPr>
        <w:pStyle w:val="BodyText"/>
      </w:pPr>
      <w:r>
        <w:t xml:space="preserve">But</w:t>
      </w:r>
      <w:r>
        <w:t xml:space="preserve"> </w:t>
      </w:r>
      <w:r>
        <w:rPr>
          <w:i/>
          <w:iCs/>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“one good attorney in the right place can make a difference.”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iCs/>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oxedHeaderSimple"/>
      </w:pPr>
      <w:r>
        <w:t xml:space="preserve">The land they bought for two dollars and a quarter** *(Utah: the coal-land swindle)</w:t>
      </w:r>
    </w:p>
    <w:p>
      <w:pPr>
        <w:pStyle w:val="BoxBody"/>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PullQuote"/>
      </w:pPr>
      <w:r>
        <w:rPr>
          <w:b/>
          <w:bCs/>
        </w:rPr>
        <w:t xml:space="preserve">The vote that sent a husband to the sofa</w:t>
      </w:r>
    </w:p>
    <w:p>
      <w:pPr>
        <w:pStyle w:val="PullQuote"/>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BodyText"/>
      </w:pPr>
      <w:r>
        <w:t xml:space="preserve">Two things made the Utah recovery hold. First, the constituency was made permanent by making the trust</w:t>
      </w:r>
      <w:r>
        <w:t xml:space="preserve"> </w:t>
      </w:r>
      <w:r>
        <w:rPr>
          <w:i/>
          <w:iCs/>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PullQuote"/>
      </w:pPr>
      <w:r>
        <w:rPr>
          <w:b/>
          <w:bCs/>
        </w:rPr>
        <w:t xml:space="preserve">The campout that never had to happen</w:t>
      </w:r>
    </w:p>
    <w:p>
      <w:pPr>
        <w:pStyle w:val="PullQuote"/>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BodyText"/>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bCs/>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iCs/>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odyText"/>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bookmarkEnd w:id="49"/>
    <w:bookmarkEnd w:id="50"/>
    <w:bookmarkStart w:id="51" w:name="chapter-8---the-money-must-be-seen"/>
    <w:p>
      <w:pPr>
        <w:pStyle w:val="Heading1"/>
      </w:pPr>
      <w:r>
        <w:t xml:space="preserve">Chapter 8 - The Money Must Be Seen</w:t>
      </w:r>
    </w:p>
    <w:p>
      <w:pPr>
        <w:pStyle w:val="FirstParagraph"/>
      </w:pPr>
      <w:r>
        <w:t xml:space="preserve">A trust can be perfectly real and still disappear from civic life. That is one of the hard lessons of this record.</w:t>
      </w:r>
    </w:p>
    <w:p>
      <w:pPr>
        <w:pStyle w:val="BodyText"/>
      </w:pPr>
      <w:r>
        <w:t xml:space="preserve">The law can say the land belongs to the schools. The constitution can say the principal is irreducible. A court can say the trustee owes loyalty and prudence. But if the money never visibly reaches a school, no parent feels the loss when it is diverted. If trust revenue merely replaces tax dollars the legislature would otherwise have appropriated, the beneficiary receives no visible gift. If the corpus is buried in a state balance sheet, the schools may be rich on paper and powerless in fact.</w:t>
      </w:r>
    </w:p>
    <w:p>
      <w:pPr>
        <w:pStyle w:val="BodyText"/>
      </w:pPr>
      <w:r>
        <w:t xml:space="preserve">Margaret’s Utah story is important because it proves the opposite. The School LAND Trust Program made trust income visible.</w:t>
      </w:r>
      <w:r>
        <w:rPr>
          <w:vertAlign w:val="superscript"/>
        </w:rPr>
        <w:t xml:space="preserve">1</w:t>
      </w:r>
      <w:r>
        <w:t xml:space="preserve"> </w:t>
      </w:r>
      <w:r>
        <w:t xml:space="preserve">It sent dollars to every school, where parent-majority councils could decide how to use them. Suddenly the trust was not an abstraction in Salt Lake City. It was a reading aide, a science kit, an art program, a field trip, a classroom technology grant. A parent could point to something and say: the trust paid for that.</w:t>
      </w:r>
    </w:p>
    <w:p>
      <w:pPr>
        <w:pStyle w:val="BodyText"/>
      </w:pPr>
      <w:r>
        <w:t xml:space="preserve">Visibility creates a constituency. A constituency creates enforcement.</w:t>
      </w:r>
    </w:p>
    <w:p>
      <w:pPr>
        <w:pStyle w:val="BodyText"/>
      </w:pPr>
      <w:r>
        <w:t xml:space="preserve">The states that lost their school trusts often lost them long before there was an organized beneficiary public. Ohio sold quickly. Alabama put proceeds into a bank. California let selection and sale drift into private hands. Arkansas dissolved the corpus into local ledgers. In each case the money moved away from the children before anyone had built a durable habit of watching it.</w:t>
      </w:r>
    </w:p>
    <w:p>
      <w:pPr>
        <w:pStyle w:val="BodyText"/>
      </w:pPr>
      <w:r>
        <w:t xml:space="preserve">The states that recovered did something different. Mississippi’s reformers made unfair sixteenth-section leases visible.</w:t>
      </w:r>
      <w:r>
        <w:rPr>
          <w:vertAlign w:val="superscript"/>
        </w:rPr>
        <w:t xml:space="preserve">2</w:t>
      </w:r>
      <w:r>
        <w:t xml:space="preserve"> </w:t>
      </w:r>
      <w:r>
        <w:t xml:space="preserve">New Mexico’s express enforcement clause let the United States stop a land commissioner from spending trust income on advertising. Montana’s MonTRUST litigation turned under-market leasing into a constitutional question. Utah’s education coalition made parents and school councils part of the trust’s defense. Oregon’s current fight exists because advocates refused to let the Elliott State Forest vanish into a transaction label.</w:t>
      </w:r>
    </w:p>
    <w:p>
      <w:pPr>
        <w:pStyle w:val="BodyText"/>
      </w:pPr>
      <w:r>
        <w:t xml:space="preserve">So the flow of money is not a bookkeeping detail. It is part of the architecture of fidelity.</w:t>
      </w:r>
    </w:p>
    <w:p>
      <w:pPr>
        <w:pStyle w:val="BodyText"/>
      </w:pPr>
      <w:r>
        <w:t xml:space="preserve">A healthy school trust has a clear chain:</w:t>
      </w:r>
    </w:p>
    <w:p>
      <w:pPr>
        <w:pStyle w:val="Compact"/>
        <w:numPr>
          <w:ilvl w:val="0"/>
          <w:numId w:val="1003"/>
        </w:numPr>
      </w:pPr>
      <w:r>
        <w:t xml:space="preserve">Land, minerals, timber, leases, sales, and exchanges produce value.</w:t>
      </w:r>
    </w:p>
    <w:p>
      <w:pPr>
        <w:pStyle w:val="Compact"/>
        <w:numPr>
          <w:ilvl w:val="0"/>
          <w:numId w:val="1003"/>
        </w:numPr>
      </w:pPr>
      <w:r>
        <w:t xml:space="preserve">Corpus value stays corpus - land remains land, or sale proceeds enter the permanent fund.</w:t>
      </w:r>
    </w:p>
    <w:p>
      <w:pPr>
        <w:pStyle w:val="Compact"/>
        <w:numPr>
          <w:ilvl w:val="0"/>
          <w:numId w:val="1003"/>
        </w:numPr>
      </w:pPr>
      <w:r>
        <w:t xml:space="preserve">Income is distributed under law to the schools or other named beneficiary.</w:t>
      </w:r>
    </w:p>
    <w:p>
      <w:pPr>
        <w:pStyle w:val="Compact"/>
        <w:numPr>
          <w:ilvl w:val="0"/>
          <w:numId w:val="1003"/>
        </w:numPr>
      </w:pPr>
      <w:r>
        <w:t xml:space="preserve">Beneficiaries can see what arrived and ask what did not.</w:t>
      </w:r>
    </w:p>
    <w:p>
      <w:pPr>
        <w:pStyle w:val="Compact"/>
        <w:numPr>
          <w:ilvl w:val="0"/>
          <w:numId w:val="1003"/>
        </w:numPr>
      </w:pPr>
      <w:r>
        <w:t xml:space="preserve">Someone with standing can sue when the chain breaks.</w:t>
      </w:r>
    </w:p>
    <w:p>
      <w:pPr>
        <w:pStyle w:val="FirstParagraph"/>
      </w:pPr>
      <w:r>
        <w:t xml:space="preserve">Break any link and the trust becomes easier to raid. Let corpus be called income and the seed corn is eaten. Let trust income substitute invisibly for general tax support and the schools will not know whether they gained anything. Let elected officials manage the trust while also needing money for every other state priority and loyalty begins to blur. Let no plaintiff have standing and all the beautiful words become a locked door with no key.</w:t>
      </w:r>
    </w:p>
    <w:p>
      <w:pPr>
        <w:pStyle w:val="BodyText"/>
      </w:pPr>
      <w:r>
        <w:t xml:space="preserve">This is why the oldest state-created school funds matter too. The original thirteen, plus Vermont, Kentucky, Tennessee, Maine, and West Virginia, did not receive the same federal section grant. Many created school funds or education clauses from state sources. Some were serious. Some were later amended away or emptied because the same political system that created them could redirect them. Their lesson is not that state-created funds are worthless. Texas proves the opposite. The lesson is that a school fund survives only when the beneficiary can see it, name it, and defend it.</w:t>
      </w:r>
    </w:p>
    <w:p>
      <w:pPr>
        <w:pStyle w:val="BodyText"/>
      </w:pPr>
      <w:r>
        <w:t xml:space="preserve">If this book has a practical claim, it is this: about twenty states still hold the gift, and every one of them can still make the trust more visible and harder to raid. The reform may be constitutional, statutory, administrative, or simply civic. Publish the annual flow. Put the distribution on every school’s agenda. Name the trustee. Name the beneficiary. Name the corpus. Name the forum. If money is being used to replace tax support, say so. If land is being sold to another state agency, demand full market value and an open record. If the trust is generating nothing, ask why.</w:t>
      </w:r>
    </w:p>
    <w:p>
      <w:pPr>
        <w:pStyle w:val="BodyText"/>
      </w:pPr>
      <w:r>
        <w:t xml:space="preserve">A trust hidden from its beneficiaries is a trust waiting to be used by someone else.</w:t>
      </w:r>
    </w:p>
    <w:p>
      <w:r>
        <w:br w:type="page"/>
      </w:r>
    </w:p>
    <w:bookmarkEnd w:id="51"/>
    <w:bookmarkStart w:id="52" w:name="chapter-9---what-citizens-can-do-now"/>
    <w:p>
      <w:pPr>
        <w:pStyle w:val="Heading1"/>
      </w:pPr>
      <w:r>
        <w:t xml:space="preserve">Chapter 9 - What Citizens Can Do Now</w:t>
      </w:r>
    </w:p>
    <w:p>
      <w:pPr>
        <w:pStyle w:val="FirstParagraph"/>
      </w:pPr>
      <w:r>
        <w:t xml:space="preserve">This book is not written to make the reader mourn a lost inheritance. It is written because the inheritance is still partly here.</w:t>
      </w:r>
    </w:p>
    <w:p>
      <w:pPr>
        <w:pStyle w:val="BodyText"/>
      </w:pPr>
      <w:r>
        <w:t xml:space="preserve">If you live in one of the states that still holds school trust lands, your public schools may own land, mineral rights, timber, grazing leases, commercial parcels, or a permanent fund built from those assets. The first act of citizenship is simply to find out. The second is to ask whether the trust is being managed only for the beneficiary. The third is to keep asking after the first answer arrives.</w:t>
      </w:r>
    </w:p>
    <w:p>
      <w:pPr>
        <w:pStyle w:val="BodyText"/>
      </w:pPr>
      <w:r>
        <w:t xml:space="preserve">The questions are plain:</w:t>
      </w:r>
    </w:p>
    <w:p>
      <w:pPr>
        <w:pStyle w:val="BodyText"/>
      </w:pPr>
      <w:r>
        <w:rPr>
          <w:b/>
          <w:bCs/>
        </w:rPr>
        <w:t xml:space="preserve">What does the trust own?</w:t>
      </w:r>
      <w:r>
        <w:t xml:space="preserve"> </w:t>
      </w:r>
      <w:r>
        <w:t xml:space="preserve">How many acres? What minerals? What timber? What water rights? What permanent fund? What other endowment assets?</w:t>
      </w:r>
    </w:p>
    <w:p>
      <w:pPr>
        <w:pStyle w:val="BodyText"/>
      </w:pPr>
      <w:r>
        <w:rPr>
          <w:b/>
          <w:bCs/>
        </w:rPr>
        <w:t xml:space="preserve">Who is the trustee?</w:t>
      </w:r>
      <w:r>
        <w:t xml:space="preserve"> </w:t>
      </w:r>
      <w:r>
        <w:t xml:space="preserve">Is it a land board, a commissioner, the governor, a treasurer, a statutory agency, a county board, or some scattered combination no ordinary citizen can follow?</w:t>
      </w:r>
    </w:p>
    <w:p>
      <w:pPr>
        <w:pStyle w:val="BodyText"/>
      </w:pPr>
      <w:r>
        <w:rPr>
          <w:b/>
          <w:bCs/>
        </w:rPr>
        <w:t xml:space="preserve">Who is the beneficiary?</w:t>
      </w:r>
      <w:r>
        <w:t xml:space="preserve"> </w:t>
      </w:r>
      <w:r>
        <w:t xml:space="preserve">Common schools? Universities? County schools? Named institutions? The general public? If the answer is vague, the trust is vulnerable.</w:t>
      </w:r>
    </w:p>
    <w:p>
      <w:pPr>
        <w:pStyle w:val="BodyText"/>
      </w:pPr>
      <w:r>
        <w:rPr>
          <w:b/>
          <w:bCs/>
        </w:rPr>
        <w:t xml:space="preserve">Where does the money go?</w:t>
      </w:r>
      <w:r>
        <w:t xml:space="preserve"> </w:t>
      </w:r>
      <w:r>
        <w:t xml:space="preserve">Does income reach schools visibly, or does it disappear into a statewide formula where it merely reduces what the legislature would otherwise appropriate?</w:t>
      </w:r>
    </w:p>
    <w:p>
      <w:pPr>
        <w:pStyle w:val="BodyText"/>
      </w:pPr>
      <w:r>
        <w:rPr>
          <w:b/>
          <w:bCs/>
        </w:rPr>
        <w:t xml:space="preserve">Is the corpus growing?</w:t>
      </w:r>
      <w:r>
        <w:t xml:space="preserve"> </w:t>
      </w:r>
      <w:r>
        <w:t xml:space="preserve">A permanent fund that is not growing across generations is not being preserved in any serious sense. A land estate that produces nothing and is never exchanged for productive value is not being prudently managed.</w:t>
      </w:r>
    </w:p>
    <w:p>
      <w:pPr>
        <w:pStyle w:val="BodyText"/>
      </w:pPr>
      <w:r>
        <w:rPr>
          <w:b/>
          <w:bCs/>
        </w:rPr>
        <w:t xml:space="preserve">Who can sue?</w:t>
      </w:r>
      <w:r>
        <w:t xml:space="preserve"> </w:t>
      </w:r>
      <w:r>
        <w:t xml:space="preserve">If the trustee breaches its duty, can a beneficiary, parent, school district, attorney general, trust protector, or citizen organization get into court? Or will the whole fight be spent at the courthouse door?</w:t>
      </w:r>
    </w:p>
    <w:p>
      <w:pPr>
        <w:pStyle w:val="BodyText"/>
      </w:pPr>
      <w:r>
        <w:t xml:space="preserve">Those questions do not require a law degree. They require beneficiaries who know they are beneficiaries.</w:t>
      </w:r>
    </w:p>
    <w:p>
      <w:pPr>
        <w:pStyle w:val="BodyText"/>
      </w:pPr>
      <w:r>
        <w:t xml:space="preserve">The history also suggests several reforms citizens can ask for without waiting for a crisis:</w:t>
      </w:r>
    </w:p>
    <w:p>
      <w:pPr>
        <w:pStyle w:val="Compact"/>
        <w:numPr>
          <w:ilvl w:val="0"/>
          <w:numId w:val="1004"/>
        </w:numPr>
      </w:pPr>
      <w:r>
        <w:t xml:space="preserve">Annual public reports written for schools and parents, not only bond lawyers.</w:t>
      </w:r>
    </w:p>
    <w:p>
      <w:pPr>
        <w:pStyle w:val="Compact"/>
        <w:numPr>
          <w:ilvl w:val="0"/>
          <w:numId w:val="1004"/>
        </w:numPr>
      </w:pPr>
      <w:r>
        <w:t xml:space="preserve">Direct, visible distributions to schools where the amount and source are named.</w:t>
      </w:r>
    </w:p>
    <w:p>
      <w:pPr>
        <w:pStyle w:val="Compact"/>
        <w:numPr>
          <w:ilvl w:val="0"/>
          <w:numId w:val="1004"/>
        </w:numPr>
      </w:pPr>
      <w:r>
        <w:t xml:space="preserve">Parent or beneficiary advisory bodies with access to trust accounts.</w:t>
      </w:r>
    </w:p>
    <w:p>
      <w:pPr>
        <w:pStyle w:val="Compact"/>
        <w:numPr>
          <w:ilvl w:val="0"/>
          <w:numId w:val="1004"/>
        </w:numPr>
      </w:pPr>
      <w:r>
        <w:t xml:space="preserve">Independent fiduciary agencies whose mission is only the trust.</w:t>
      </w:r>
    </w:p>
    <w:p>
      <w:pPr>
        <w:pStyle w:val="Compact"/>
        <w:numPr>
          <w:ilvl w:val="0"/>
          <w:numId w:val="1004"/>
        </w:numPr>
      </w:pPr>
      <w:r>
        <w:t xml:space="preserve">Full-market-value rules for every sale, exchange, easement, lease, or inter-agency transfer.</w:t>
      </w:r>
    </w:p>
    <w:p>
      <w:pPr>
        <w:pStyle w:val="Compact"/>
        <w:numPr>
          <w:ilvl w:val="0"/>
          <w:numId w:val="1004"/>
        </w:numPr>
      </w:pPr>
      <w:r>
        <w:t xml:space="preserve">Permanent-fund protections that distinguish corpus from income and forbid principal raids.</w:t>
      </w:r>
    </w:p>
    <w:p>
      <w:pPr>
        <w:pStyle w:val="Compact"/>
        <w:numPr>
          <w:ilvl w:val="0"/>
          <w:numId w:val="1004"/>
        </w:numPr>
      </w:pPr>
      <w:r>
        <w:t xml:space="preserve">Standing provisions that name who may enforce the trust, where, and with what remedy.</w:t>
      </w:r>
    </w:p>
    <w:p>
      <w:pPr>
        <w:pStyle w:val="Compact"/>
        <w:numPr>
          <w:ilvl w:val="0"/>
          <w:numId w:val="1004"/>
        </w:numPr>
      </w:pPr>
      <w:r>
        <w:t xml:space="preserve">Public notice before any transaction with another state agency or politically favored buyer.</w:t>
      </w:r>
    </w:p>
    <w:p>
      <w:pPr>
        <w:pStyle w:val="FirstParagraph"/>
      </w:pPr>
      <w:r>
        <w:t xml:space="preserve">This is not theoretical. Utah rebuilt because citizens and education organizations organized. Mississippi changed because unfair leases were challenged. New Mexico’s strict text mattered because someone could enforce it. Montana’s MonTRUST case mattered because citizens turned under-market management into a constitutional issue. Oregon’s Elliott fight matters because the beneficiaries refused to accept a transaction label in place of an accounting.</w:t>
      </w:r>
    </w:p>
    <w:p>
      <w:pPr>
        <w:pStyle w:val="BodyText"/>
      </w:pPr>
      <w:r>
        <w:t xml:space="preserve">The work is records, meetings, questions, lawsuits when necessary, and memory. That is how forever promises are kept: not by assuming the words will defend themselves, but by making sure someone is always close enough to notice when they are being broken.</w:t>
      </w:r>
    </w:p>
    <w:p>
      <w:pPr>
        <w:pStyle w:val="BodyText"/>
      </w:pPr>
      <w:r>
        <w:t xml:space="preserve">So the book ends where the duty begins: with the beneficiary. If your state still holds school trust lands, the inheritance is not an old story. It is present property. It was set aside for schools that could not yet speak. It will survive only if the people who can speak now learn to do it for them.</w:t>
      </w:r>
    </w:p>
    <w:p>
      <w:r>
        <w:br w:type="page"/>
      </w:r>
    </w:p>
    <w:bookmarkEnd w:id="52"/>
    <w:bookmarkStart w:id="187" w:name="part-two-the-granted-states-a-to-z"/>
    <w:p>
      <w:pPr>
        <w:pStyle w:val="Heading1"/>
      </w:pPr>
      <w:r>
        <w:t xml:space="preserve">PART TWO — The Granted States, A to Z</w:t>
      </w:r>
    </w:p>
    <w:p>
      <w:pPr>
        <w:pStyle w:val="FirstParagraph"/>
      </w:pPr>
      <w:r>
        <w:t xml:space="preserve">Part Two is the record. If Part One is the argument, this is the proof — the same story told once for each of the thirty-three states that received the federal school-land grant, arranged simply from A to Z. The pattern you read about in the first half of the book is not a thesis to be debated here; it is a record, repeated thirty-three times, in thirty-three different hands. Some states kept the gift and grew it into an endowment worth billions. Some sold it for a few dollars an acre and have nothing left to show. Most fall somewhere between — and the difference is almost never the land. It is whether anyone was watching.</w:t>
      </w:r>
    </w:p>
    <w:p>
      <w:pPr>
        <w:pStyle w:val="BodyText"/>
      </w:pPr>
      <w:r>
        <w:rPr>
          <w:i/>
          <w:iCs/>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PullQuote"/>
      </w:pPr>
      <w:r>
        <w:t xml:space="preserve">“It has been the cherished policy of the government of the United States to promote the establishment and progress of common schools, and to reserve for their endowment the sixteenth section in each township of the public lands.”</w:t>
      </w:r>
      <w:r>
        <w:rPr>
          <w:vertAlign w:val="superscript"/>
        </w:rPr>
        <w:t xml:space="preserve">1</w:t>
      </w:r>
      <w:r>
        <w:t xml:space="preserve"> </w:t>
      </w:r>
      <w:r>
        <w:t xml:space="preserve">—</w:t>
      </w:r>
      <w:r>
        <w:t xml:space="preserve"> </w:t>
      </w:r>
      <w:r>
        <w:rPr>
          <w:i/>
          <w:iCs/>
        </w:rPr>
        <w:t xml:space="preserve">Cooper v. Roberts</w:t>
      </w:r>
      <w:r>
        <w:t xml:space="preserve">, 59 U.S. (18 How.) 173, 178 (1855)</w:t>
      </w:r>
    </w:p>
    <w:p>
      <w:pPr>
        <w:pStyle w:val="BodyText"/>
      </w:pPr>
      <w:r>
        <w:rPr>
          <w:i/>
          <w:iCs/>
        </w:rPr>
        <w:t xml:space="preserve">Each of the thirty-three states that received the federal school-land grant, in the same six-part form: the ledger line, a telling fact, the story, and the lesson it leaves. The verdict is in the title; the arc is in the entry.</w:t>
      </w:r>
    </w:p>
    <w:p>
      <w:r>
        <w:br w:type="page"/>
      </w:r>
    </w:p>
    <w:bookmarkStart w:id="56" w:name="Xa1c318bd02259a6136fc008c875aa0f330e7d30"/>
    <w:p>
      <w:pPr>
        <w:pStyle w:val="Heading2"/>
      </w:pPr>
      <w:r>
        <w:t xml:space="preserve">Alabama - The Bank That Ate the Schoolhouse</w:t>
      </w:r>
    </w:p>
    <w:p>
      <w:pPr>
        <w:pStyle w:val="FirstParagraph"/>
      </w:pPr>
      <w:r>
        <w:drawing>
          <wp:inline>
            <wp:extent cx="731520" cy="853135"/>
            <wp:effectExtent b="0" l="0" r="0" t="0"/>
            <wp:docPr descr="QRFLOAT" title="" id="54" name="Picture"/>
            <a:graphic>
              <a:graphicData uri="http://schemas.openxmlformats.org/drawingml/2006/picture">
                <pic:pic>
                  <pic:nvPicPr>
                    <pic:cNvPr descr="C:/Users/drdav/My%20Drive/Claude%20Cowork/_tools/_web_cache/qr_us-al_bad729d0bd1b_1200x_q90.jpg" id="55" name="Picture"/>
                    <pic:cNvPicPr>
                      <a:picLocks noChangeArrowheads="1" noChangeAspect="1"/>
                    </pic:cNvPicPr>
                  </pic:nvPicPr>
                  <pic:blipFill>
                    <a:blip r:embed="rId53"/>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bCs/>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bCs/>
        </w:rPr>
        <w:t xml:space="preserve">The Story.</w:t>
      </w:r>
      <w:r>
        <w:t xml:space="preserve"> </w:t>
      </w:r>
      <w:r>
        <w:t xml:space="preserve">Alabama’s grant was a trust from the start: land set apart for the use of schools, held by the state for that purpose. The trouble was not that the trust failed to exist. The trouble was that no one built the machinery to keep the state from treating the children’s money as ordinary public capital.</w:t>
      </w:r>
    </w:p>
    <w:p>
      <w:pPr>
        <w:pStyle w:val="BodyText"/>
      </w:pPr>
      <w:r>
        <w:t xml:space="preserve">In 1827 Congress allowed Alabama to sell its school sections. The state then poured the proceeds into the State Bank of Alabama, using school money as part of the state’s own banking experiment. That was a prudence failure of the simplest kind: too much of the trust’s future placed in one state-controlled institution. The bank failed in 1843. Later federal findings put the loss at $1.3 million in school-land proceeds plus more than $300,000 in university money. The federal Surplus Distribution Act of 1836 had deposited $669,086.78 with Alabama, and that money also passed through the same failed bank. The state papered over the hole with certificates and interest promises, but Auditor Reynolds could not find an asset that made the schools whole. Judge Benjamin Porter’s effort to rebuild a permanent fund died in the legislature.</w:t>
      </w:r>
    </w:p>
    <w:p>
      <w:pPr>
        <w:pStyle w:val="BodyText"/>
      </w:pPr>
      <w:r>
        <w:t xml:space="preserve">Then enforcement failed too. In</w:t>
      </w:r>
      <w:r>
        <w:t xml:space="preserve"> </w:t>
      </w:r>
      <w:r>
        <w:rPr>
          <w:i/>
          <w:iCs/>
        </w:rPr>
        <w:t xml:space="preserve">Alabama v. Schmidt</w:t>
      </w:r>
      <w:r>
        <w:t xml:space="preserve"> </w:t>
      </w:r>
      <w:r>
        <w:t xml:space="preserve">(1914), Justice Holmes treated the school-use promise as an honorary obligation for federal purposes and allowed ordinary adverse-possession rules to run against school land. That did not mean Alabama had never held a trust. It meant the federal courts would not act as the trust’s policeman. The distinction matters: the duty existed; the remedy was missing.</w:t>
      </w:r>
    </w:p>
    <w:p>
      <w:pPr>
        <w:pStyle w:val="BodyText"/>
      </w:pPr>
      <w:r>
        <w:rPr>
          <w:b/>
          <w:bCs/>
        </w:rPr>
        <w:t xml:space="preserve">Then-&gt;now:</w:t>
      </w:r>
      <w:r>
        <w:t xml:space="preserve"> </w:t>
      </w:r>
      <w:r>
        <w:t xml:space="preserve">A grant of roughly 903,000 acres -&gt; a residual sixteenth-section fund that is a rounding error against a billions-dollar K-12 budget.</w:t>
      </w:r>
    </w:p>
    <w:p>
      <w:pPr>
        <w:pStyle w:val="BodyText"/>
      </w:pPr>
      <w:r>
        <w:rPr>
          <w:b/>
          <w:bCs/>
        </w:rPr>
        <w:t xml:space="preserve">Lesson:</w:t>
      </w:r>
      <w:r>
        <w:t xml:space="preserve"> </w:t>
      </w:r>
      <w:r>
        <w:t xml:space="preserve">A trust can be real and still be ruined by imprudence. Alabama did not need weaker words to lose the gift; it only needed a trustee willing to stake the children’s future on the state’s bank. (See Ch. 5.)</w:t>
      </w:r>
    </w:p>
    <w:p>
      <w:pPr>
        <w:pStyle w:val="BodyText"/>
      </w:pPr>
      <w:r>
        <w:rPr>
          <w:i/>
          <w:iCs/>
        </w:rPr>
        <w:t xml:space="preserve">Sources/notes:</w:t>
      </w:r>
      <w:r>
        <w:t xml:space="preserve"> </w:t>
      </w:r>
      <w:r>
        <w:t xml:space="preserve">1819 Enabling Act sec. 6, 3 Stat. 489;</w:t>
      </w:r>
      <w:r>
        <w:t xml:space="preserve"> </w:t>
      </w:r>
      <w:r>
        <w:rPr>
          <w:i/>
          <w:iCs/>
        </w:rPr>
        <w:t xml:space="preserve">Alabama v. Schmidt</w:t>
      </w:r>
      <w:r>
        <w:t xml:space="preserve">, 232 U.S. 168 (1914); Weeks,</w:t>
      </w:r>
      <w:r>
        <w:t xml:space="preserve"> </w:t>
      </w:r>
      <w:r>
        <w:rPr>
          <w:i/>
          <w:iCs/>
        </w:rPr>
        <w:t xml:space="preserve">History of Public School Education in Alabama</w:t>
      </w:r>
      <w:r>
        <w:t xml:space="preserve"> </w:t>
      </w:r>
      <w:r>
        <w:t xml:space="preserve">(1915), on the bank collapse and the 1869 Reynolds audit;</w:t>
      </w:r>
      <w:r>
        <w:t xml:space="preserve"> </w:t>
      </w:r>
      <w:r>
        <w:rPr>
          <w:i/>
          <w:iCs/>
        </w:rPr>
        <w:t xml:space="preserve">Knight v. Alabama</w:t>
      </w:r>
      <w:r>
        <w:t xml:space="preserve">, 458 F. Supp. 2d 1273 (N.D. Ala. 2004) (loss figures). The $669,086.78 federal surplus deposit (Deposit Act of June 23, 1836, 5 Stat. 52) passed through the same failed bank; on the collapse and the loss figures see Weeks (1915) and</w:t>
      </w:r>
      <w:r>
        <w:t xml:space="preserve"> </w:t>
      </w:r>
      <w:r>
        <w:rPr>
          <w:i/>
          <w:iCs/>
        </w:rPr>
        <w:t xml:space="preserve">Knight v. Alabama</w:t>
      </w:r>
      <w:r>
        <w:t xml:space="preserve">, above. Residual corpus remains to be pinned against State Lands Division / Dept. of Education records.</w:t>
      </w:r>
    </w:p>
    <w:p>
      <w:r>
        <w:pict>
          <v:rect style="width:0;height:1.5pt" o:hralign="center" o:hrstd="t" o:hr="t"/>
        </w:pict>
      </w:r>
    </w:p>
    <w:p>
      <w:r>
        <w:br w:type="page"/>
      </w:r>
    </w:p>
    <w:bookmarkEnd w:id="56"/>
    <w:bookmarkStart w:id="60" w:name="Xb604f1a3109c892ce417a0c64c450a01c12e687"/>
    <w:p>
      <w:pPr>
        <w:pStyle w:val="Heading2"/>
      </w:pPr>
      <w:r>
        <w:t xml:space="preserve">Alaska - The State That Chose a Different Trust</w:t>
      </w:r>
    </w:p>
    <w:p>
      <w:pPr>
        <w:pStyle w:val="FirstParagraph"/>
      </w:pPr>
      <w:r>
        <w:drawing>
          <wp:inline>
            <wp:extent cx="731520" cy="853135"/>
            <wp:effectExtent b="0" l="0" r="0" t="0"/>
            <wp:docPr descr="QRFLOAT" title="" id="58" name="Picture"/>
            <a:graphic>
              <a:graphicData uri="http://schemas.openxmlformats.org/drawingml/2006/picture">
                <pic:pic>
                  <pic:nvPicPr>
                    <pic:cNvPr descr="C:/Users/drdav/My%20Drive/Claude%20Cowork/_tools/_web_cache/qr_us-ak_6a179a6215da_1200x_q90.jpg" id="59" name="Picture"/>
                    <pic:cNvPicPr>
                      <a:picLocks noChangeArrowheads="1" noChangeAspect="1"/>
                    </pic:cNvPicPr>
                  </pic:nvPicPr>
                  <pic:blipFill>
                    <a:blip r:embed="rId5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Jan. 3, 1959 - Grant: no common-school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school support mostly outside the section-trust model.</w:t>
      </w:r>
    </w:p>
    <w:p>
      <w:pPr>
        <w:pStyle w:val="BodyText"/>
      </w:pPr>
      <w:r>
        <w:rPr>
          <w:b/>
          <w:bCs/>
        </w:rPr>
        <w:t xml:space="preserve">Telling fact:</w:t>
      </w:r>
      <w:r>
        <w:t xml:space="preserve"> </w:t>
      </w:r>
      <w:r>
        <w:t xml:space="preserve">In the same Statehood Act in which Congress declined to create a common-school land trust for Alaska’s general grant, it did create a strong Mental Health Trust. The omission was not ignorance. It was choice.</w:t>
      </w:r>
    </w:p>
    <w:p>
      <w:pPr>
        <w:pStyle w:val="BodyText"/>
      </w:pPr>
      <w:r>
        <w:rPr>
          <w:b/>
          <w:bCs/>
        </w:rPr>
        <w:t xml:space="preserve">The Story.</w:t>
      </w:r>
      <w:r>
        <w:t xml:space="preserve"> </w:t>
      </w:r>
      <w:r>
        <w:t xml:space="preserve">Alaska does not fit the section-sixteen story. Congress gave the new state the largest single land grant in American history - more than 102 million acres - but not as a dedicated common-school trust. The school-trust acreage Alaska does hold traces mainly to a modest 1915 territorial reservation of Sections 16 and 36 in surveyed townships. The great 1958 grant was general-purpose state land, not the public-land-school template that shaped Ohio, Oregon, Utah, or New Mexico.</w:t>
      </w:r>
    </w:p>
    <w:p>
      <w:pPr>
        <w:pStyle w:val="BodyText"/>
      </w:pPr>
      <w:r>
        <w:t xml:space="preserve">That does not mean Alaska rejected every trust. The same Statehood Act created the Alaska Mental Health Trust, and later litigation forced the state to respect and reconstitute it. Alaska’s record therefore teaches a narrower lesson than an earlier draft of this book stated: Congress and Alaska knew how to build a trust when they chose to. They simply did not make the 102-million-acre school-and-development grant into one.</w:t>
      </w:r>
    </w:p>
    <w:p>
      <w:pPr>
        <w:pStyle w:val="BodyText"/>
      </w:pPr>
      <w:r>
        <w:t xml:space="preserve">The Alaska Constitution reinforced that choice with a strong Dedicated Funds Clause, forbidding revenue dedication except by constitutional exception. Voters later carved out the Alaska Permanent Fund for citizens, not schools, and a Budget Reserve. The courts have enforced the no-dedication rule even against legislative efforts to protect school funding. The small school trust has its own scar: in</w:t>
      </w:r>
      <w:r>
        <w:t xml:space="preserve"> </w:t>
      </w:r>
      <w:r>
        <w:rPr>
          <w:i/>
          <w:iCs/>
        </w:rPr>
        <w:t xml:space="preserve">Kasayulie</w:t>
      </w:r>
      <w:r>
        <w:t xml:space="preserve"> </w:t>
      </w:r>
      <w:r>
        <w:t xml:space="preserve">(1999), a superior court found a breach in the state’s 1978 conversion of school lands to a cash trust without valuation.</w:t>
      </w:r>
    </w:p>
    <w:p>
      <w:pPr>
        <w:pStyle w:val="BodyText"/>
      </w:pPr>
      <w:r>
        <w:rPr>
          <w:b/>
          <w:bCs/>
        </w:rPr>
        <w:t xml:space="preserve">Lesson:</w:t>
      </w:r>
      <w:r>
        <w:t xml:space="preserve"> </w:t>
      </w:r>
      <w:r>
        <w:t xml:space="preserve">Alaska proves that trust architecture is a choice. A state can receive immense public land and still leave schoolchildren dependent on ordinary appropriations if the founding deal does not dedicate corpus to them. (See Ch. 8.)</w:t>
      </w:r>
    </w:p>
    <w:p>
      <w:pPr>
        <w:pStyle w:val="BodyText"/>
      </w:pPr>
      <w:r>
        <w:rPr>
          <w:i/>
          <w:iCs/>
        </w:rPr>
        <w:t xml:space="preserve">Sources/notes:</w:t>
      </w:r>
      <w:r>
        <w:t xml:space="preserve"> </w:t>
      </w:r>
      <w:r>
        <w:t xml:space="preserve">Alaska Statehood Act sec. 6, 72 Stat. 339; Act of Mar. 4, 1915, 38 Stat. 1214; Alaska Const. art. VII sec. 1, art. VIII, art. IX secs. 7, 15, 17;</w:t>
      </w:r>
      <w:r>
        <w:t xml:space="preserve"> </w:t>
      </w:r>
      <w:r>
        <w:rPr>
          <w:i/>
          <w:iCs/>
        </w:rPr>
        <w:t xml:space="preserve">Wielechowski v. State</w:t>
      </w:r>
      <w:r>
        <w:t xml:space="preserve">, 403 P.3d 1141 (2017);</w:t>
      </w:r>
      <w:r>
        <w:t xml:space="preserve"> </w:t>
      </w:r>
      <w:r>
        <w:rPr>
          <w:i/>
          <w:iCs/>
        </w:rPr>
        <w:t xml:space="preserve">Dunleavy v. Alaska Legislative Council</w:t>
      </w:r>
      <w:r>
        <w:t xml:space="preserve">, 515 P.3d 117 (2022);</w:t>
      </w:r>
      <w:r>
        <w:t xml:space="preserve"> </w:t>
      </w:r>
      <w:r>
        <w:rPr>
          <w:i/>
          <w:iCs/>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r>
        <w:br w:type="page"/>
      </w:r>
    </w:p>
    <w:bookmarkEnd w:id="60"/>
    <w:bookmarkStart w:id="64" w:name="arizona---strong-text-hard-lessons"/>
    <w:p>
      <w:pPr>
        <w:pStyle w:val="Heading2"/>
      </w:pPr>
      <w:r>
        <w:t xml:space="preserve">Arizona - Strong Text, Hard Lessons</w:t>
      </w:r>
    </w:p>
    <w:p>
      <w:pPr>
        <w:pStyle w:val="FirstParagraph"/>
      </w:pPr>
      <w:r>
        <w:drawing>
          <wp:inline>
            <wp:extent cx="731520" cy="853135"/>
            <wp:effectExtent b="0" l="0" r="0" t="0"/>
            <wp:docPr descr="QRFLOAT" title="" id="62" name="Picture"/>
            <a:graphic>
              <a:graphicData uri="http://schemas.openxmlformats.org/drawingml/2006/picture">
                <pic:pic>
                  <pic:nvPicPr>
                    <pic:cNvPr descr="C:/Users/drdav/My%20Drive/Claude%20Cowork/_tools/_web_cache/qr_us-az_20d70c38ad0a_1200x_q90.jpg" id="63" name="Picture"/>
                    <pic:cNvPicPr>
                      <a:picLocks noChangeArrowheads="1" noChangeAspect="1"/>
                    </pic:cNvPicPr>
                  </pic:nvPicPr>
                  <pic:blipFill>
                    <a:blip r:embed="rId61"/>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in law, left money on the table in practice.</w:t>
      </w:r>
    </w:p>
    <w:p>
      <w:pPr>
        <w:pStyle w:val="BodyText"/>
      </w:pPr>
      <w:r>
        <w:rPr>
          <w:b/>
          <w:bCs/>
        </w:rPr>
        <w:t xml:space="preserve">Telling fact:</w:t>
      </w:r>
      <w:r>
        <w:t xml:space="preserve"> </w:t>
      </w:r>
      <w:r>
        <w:t xml:space="preserve">Arizona and New Mexico received parallel 1910 trust language, but New Mexico’s much larger fund is not proof that words alone explain outcomes. Geology matters. New Mexico sits on extraordinary oil and gas wealth; Arizona does not.</w:t>
      </w:r>
    </w:p>
    <w:p>
      <w:pPr>
        <w:pStyle w:val="BodyText"/>
      </w:pPr>
      <w:r>
        <w:rPr>
          <w:b/>
          <w:bCs/>
        </w:rPr>
        <w:t xml:space="preserve">The Story.</w:t>
      </w:r>
      <w:r>
        <w:t xml:space="preserve"> </w:t>
      </w:r>
      <w:r>
        <w:t xml:space="preserve">Nowhere in America is the granting language harder than Arizona’s. The 1910 Enabling Act calls the lands</w:t>
      </w:r>
      <w:r>
        <w:t xml:space="preserve"> </w:t>
      </w:r>
      <w:r>
        <w:t xml:space="preserve">“in trust,”</w:t>
      </w:r>
      <w:r>
        <w:t xml:space="preserve"> </w:t>
      </w:r>
      <w:r>
        <w:t xml:space="preserve">brands any wrong disposition a</w:t>
      </w:r>
      <w:r>
        <w:t xml:space="preserve"> </w:t>
      </w:r>
      <w:r>
        <w:t xml:space="preserve">“breach of trust,”</w:t>
      </w:r>
      <w:r>
        <w:t xml:space="preserve"> </w:t>
      </w:r>
      <w:r>
        <w:t xml:space="preserve">voids non-conforming sales, and gives the United States Attorney General an enforcement role. Arizona’s own constitution mirrors the federal terms. When the text is invoked, it bites. In</w:t>
      </w:r>
      <w:r>
        <w:t xml:space="preserve"> </w:t>
      </w:r>
      <w:r>
        <w:rPr>
          <w:i/>
          <w:iCs/>
        </w:rPr>
        <w:t xml:space="preserve">Lassen</w:t>
      </w:r>
      <w:r>
        <w:t xml:space="preserve"> </w:t>
      </w:r>
      <w:r>
        <w:t xml:space="preserve">(1967), the U.S. Supreme Court made Arizona pay the trust in money for highway easements the state had taken without compensation. In</w:t>
      </w:r>
      <w:r>
        <w:t xml:space="preserve"> </w:t>
      </w:r>
      <w:r>
        <w:rPr>
          <w:i/>
          <w:iCs/>
        </w:rPr>
        <w:t xml:space="preserve">Kadish</w:t>
      </w:r>
      <w:r>
        <w:t xml:space="preserve"> </w:t>
      </w:r>
      <w:r>
        <w:t xml:space="preserve">(1988), the courts treated the state as a trustee, not merely as a public land manager.</w:t>
      </w:r>
    </w:p>
    <w:p>
      <w:pPr>
        <w:pStyle w:val="BodyText"/>
      </w:pPr>
      <w:r>
        <w:t xml:space="preserve">But strong text does not produce minerals that are not there, and it does not price every lease by itself. New Mexico’s fund dwarfs Arizona’s partly because New Mexico’s trust estate rides on richer oil and gas geology. Arizona’s failures are more practical: underpriced grazing, weak water pricing, slow rent adjustment, and political willingness to draw more heavily from the fund to settle school-finance pressure. A 1997 audit found grazing leases among the lowest in the West. A 2024 audit found the state had not adjusted some agricultural rents in seventeen years and had never charged the Saudi-owned firm Fondomonte for groundwater used to grow alfalfa for export, even though Arizona law treats groundwater under trust land as a product of the land. Proposition 123, adopted in 2016, increased distributions in a way critics treated as a principal draw.</w:t>
      </w:r>
    </w:p>
    <w:p>
      <w:pPr>
        <w:pStyle w:val="BodyText"/>
      </w:pPr>
      <w:r>
        <w:rPr>
          <w:b/>
          <w:bCs/>
        </w:rPr>
        <w:t xml:space="preserve">Pull-quote:</w:t>
      </w:r>
      <w:r>
        <w:t xml:space="preserve"> </w:t>
      </w:r>
      <w:r>
        <w:rPr>
          <w:i/>
          <w:iCs/>
        </w:rPr>
        <w:t xml:space="preserve">“The state’s duties are those of a trustee, not those of a good business manager.”</w:t>
      </w:r>
      <w:r>
        <w:rPr>
          <w:i/>
          <w:iCs/>
        </w:rPr>
        <w:t xml:space="preserve"> </w:t>
      </w:r>
      <w:r>
        <w:rPr>
          <w:i/>
          <w:iCs/>
        </w:rPr>
        <w:t xml:space="preserve">- the rule distilled from</w:t>
      </w:r>
      <w:r>
        <w:t xml:space="preserve"> </w:t>
      </w:r>
      <w:r>
        <w:t xml:space="preserve">Kadish v. Arizona State Land Department</w:t>
      </w:r>
      <w:r>
        <w:t xml:space="preserve"> </w:t>
      </w:r>
      <w:r>
        <w:rPr>
          <w:i/>
          <w:iCs/>
        </w:rPr>
        <w:t xml:space="preserve">(1988)</w:t>
      </w:r>
    </w:p>
    <w:p>
      <w:pPr>
        <w:pStyle w:val="BodyText"/>
      </w:pPr>
      <w:r>
        <w:rPr>
          <w:b/>
          <w:bCs/>
        </w:rPr>
        <w:t xml:space="preserve">Lesson:</w:t>
      </w:r>
      <w:r>
        <w:t xml:space="preserve"> </w:t>
      </w:r>
      <w:r>
        <w:t xml:space="preserve">Strong words make enforcement possible. They do not replace geology, pricing, accounting, or beneficiary vigilance. (See Ch. 8.)</w:t>
      </w:r>
    </w:p>
    <w:p>
      <w:pPr>
        <w:pStyle w:val="BodyText"/>
      </w:pPr>
      <w:r>
        <w:rPr>
          <w:i/>
          <w:iCs/>
        </w:rPr>
        <w:t xml:space="preserve">Sources/notes:</w:t>
      </w:r>
      <w:r>
        <w:t xml:space="preserve"> </w:t>
      </w:r>
      <w:r>
        <w:t xml:space="preserve">New Mexico-Arizona Enabling Act of June 20, 1910, sec. 28, 36 Stat. 574-75;</w:t>
      </w:r>
      <w:r>
        <w:t xml:space="preserve"> </w:t>
      </w:r>
      <w:r>
        <w:rPr>
          <w:i/>
          <w:iCs/>
        </w:rPr>
        <w:t xml:space="preserve">Lassen v. Arizona</w:t>
      </w:r>
      <w:r>
        <w:t xml:space="preserve">, 385 U.S. 458 (1967);</w:t>
      </w:r>
      <w:r>
        <w:t xml:space="preserve"> </w:t>
      </w:r>
      <w:r>
        <w:rPr>
          <w:i/>
          <w:iCs/>
        </w:rPr>
        <w:t xml:space="preserve">ASARCO Inc. v. Kadish</w:t>
      </w:r>
      <w:r>
        <w:t xml:space="preserve">, 490 U.S. 605 (1989); 2024 Auditor General Fondomonte audit; Prop 123 (2016, drew down principal). PLETF ~$8.8B is [as of June 2024] per State Treasurer; New Mexico comparator is about $32.97B [as of Dec. 31, 2024] per the New Mexico State Investment Council monthly performance reporting. Fondomonte groundwater is the live</w:t>
      </w:r>
      <w:r>
        <w:t xml:space="preserve"> </w:t>
      </w:r>
      <w:r>
        <w:t xml:space="preserve">“natural products”</w:t>
      </w:r>
      <w:r>
        <w:t xml:space="preserve"> </w:t>
      </w:r>
      <w:r>
        <w:t xml:space="preserve">breach question; Lassen is the doctrinal anchor.</w:t>
      </w:r>
    </w:p>
    <w:p>
      <w:r>
        <w:pict>
          <v:rect style="width:0;height:1.5pt" o:hralign="center" o:hrstd="t" o:hr="t"/>
        </w:pict>
      </w:r>
    </w:p>
    <w:p>
      <w:r>
        <w:br w:type="page"/>
      </w:r>
    </w:p>
    <w:bookmarkEnd w:id="64"/>
    <w:bookmarkStart w:id="68" w:name="Xe2503d51646a9308d17153e7e8bc20a6831ccf1"/>
    <w:p>
      <w:pPr>
        <w:pStyle w:val="Heading2"/>
      </w:pPr>
      <w:r>
        <w:t xml:space="preserve">Arkansas - The Endowment That Was Gone Before Anyone Looked</w:t>
      </w:r>
    </w:p>
    <w:p>
      <w:pPr>
        <w:pStyle w:val="FirstParagraph"/>
      </w:pPr>
      <w:r>
        <w:drawing>
          <wp:inline>
            <wp:extent cx="731520" cy="853135"/>
            <wp:effectExtent b="0" l="0" r="0" t="0"/>
            <wp:docPr descr="QRFLOAT" title="" id="66" name="Picture"/>
            <a:graphic>
              <a:graphicData uri="http://schemas.openxmlformats.org/drawingml/2006/picture">
                <pic:pic>
                  <pic:nvPicPr>
                    <pic:cNvPr descr="C:/Users/drdav/My%20Drive/Claude%20Cowork/_tools/_web_cache/qr_us-ar_9f458beeb522_1200x_q90.jpg" id="67" name="Picture"/>
                    <pic:cNvPicPr>
                      <a:picLocks noChangeArrowheads="1" noChangeAspect="1"/>
                    </pic:cNvPicPr>
                  </pic:nvPicPr>
                  <pic:blipFill>
                    <a:blip r:embed="rId6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bCs/>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file as archival rather than as a living trust.</w:t>
      </w:r>
    </w:p>
    <w:p>
      <w:pPr>
        <w:pStyle w:val="BodyText"/>
      </w:pPr>
      <w:r>
        <w:rPr>
          <w:b/>
          <w:bCs/>
        </w:rPr>
        <w:t xml:space="preserve">The Story.</w:t>
      </w:r>
      <w:r>
        <w:t xml:space="preserve"> </w:t>
      </w:r>
      <w:r>
        <w:t xml:space="preserve">Arkansas is the leanest school-trust story in the country, and the loss here is not dramatic theft but slow disappearance. The 1836 grant was the single-section template: Section 16 for the use of schools. That was enough to create the duty. What Arkansas lacked was durable machinery - no permanent-fund discipline strong enough to hold the proceeds, no federal enforcer, no visible statewide beneficiary constituency, and no land board whose only job was to watch.</w:t>
      </w:r>
    </w:p>
    <w:p>
      <w:pPr>
        <w:pStyle w:val="BodyText"/>
      </w:pPr>
      <w:r>
        <w:t xml:space="preserve">The 1843 federal sale authority converted land into sale proceeds and pushed the trust into hard-to-follow township administration. From there the corpus faded. Arkansas courts later read the state constitution’s anti-diversion rule functionally rather than strictly: under the</w:t>
      </w:r>
      <w:r>
        <w:t xml:space="preserve"> </w:t>
      </w:r>
      <w:r>
        <w:rPr>
          <w:i/>
          <w:iCs/>
        </w:rPr>
        <w:t xml:space="preserve">Rainwater</w:t>
      </w:r>
      <w:r>
        <w:t xml:space="preserve"> </w:t>
      </w:r>
      <w:r>
        <w:t xml:space="preserve">benefit test, school money could be spent on anything that benefited schools. By the time Arkansas’s modern school-finance cases matured in</w:t>
      </w:r>
      <w:r>
        <w:t xml:space="preserve"> </w:t>
      </w:r>
      <w:r>
        <w:rPr>
          <w:i/>
          <w:iCs/>
        </w:rPr>
        <w:t xml:space="preserve">DuPree</w:t>
      </w:r>
      <w:r>
        <w:t xml:space="preserve"> </w:t>
      </w:r>
      <w:r>
        <w:t xml:space="preserve">and</w:t>
      </w:r>
      <w:r>
        <w:t xml:space="preserve"> </w:t>
      </w:r>
      <w:r>
        <w:rPr>
          <w:i/>
          <w:iCs/>
        </w:rPr>
        <w:t xml:space="preserve">Lake View</w:t>
      </w:r>
      <w:r>
        <w:t xml:space="preserve">, the fight was over adequate current funding, not the preservation of a land endowment. Those cases could force a legislature to fund schools; they could not rebuild a corpus that had disappeared a century earlier.</w:t>
      </w:r>
    </w:p>
    <w:p>
      <w:pPr>
        <w:pStyle w:val="BodyText"/>
      </w:pPr>
      <w:r>
        <w:rPr>
          <w:b/>
          <w:bCs/>
        </w:rPr>
        <w:t xml:space="preserve">Lesson:</w:t>
      </w:r>
      <w:r>
        <w:t xml:space="preserve"> </w:t>
      </w:r>
      <w:r>
        <w:t xml:space="preserve">A trust can be lost before it has a constituency. Arkansas shows why visible money flow and permanent-fund discipline have to arrive early. (See Ch. 8.)</w:t>
      </w:r>
    </w:p>
    <w:p>
      <w:pPr>
        <w:pStyle w:val="BodyText"/>
      </w:pPr>
      <w:r>
        <w:rPr>
          <w:i/>
          <w:iCs/>
        </w:rPr>
        <w:t xml:space="preserve">Sources/notes:</w:t>
      </w:r>
      <w:r>
        <w:t xml:space="preserve"> </w:t>
      </w:r>
      <w:r>
        <w:t xml:space="preserve">Act of June 23, 1836, 5 Stat. 58 (school-land propositions);</w:t>
      </w:r>
      <w:r>
        <w:t xml:space="preserve"> </w:t>
      </w:r>
      <w:r>
        <w:rPr>
          <w:i/>
          <w:iCs/>
        </w:rPr>
        <w:t xml:space="preserve">Cooper v. Roberts</w:t>
      </w:r>
      <w:r>
        <w:t xml:space="preserve">, 59 U.S. 173 (1855); Ark. Const. art. 14 secs. 1-2;</w:t>
      </w:r>
      <w:r>
        <w:t xml:space="preserve"> </w:t>
      </w:r>
      <w:r>
        <w:rPr>
          <w:i/>
          <w:iCs/>
        </w:rPr>
        <w:t xml:space="preserve">Rainwater v. Haynes</w:t>
      </w:r>
      <w:r>
        <w:t xml:space="preserve"> </w:t>
      </w:r>
      <w:r>
        <w:t xml:space="preserve">(1968);</w:t>
      </w:r>
      <w:r>
        <w:t xml:space="preserve"> </w:t>
      </w:r>
      <w:r>
        <w:rPr>
          <w:i/>
          <w:iCs/>
        </w:rPr>
        <w:t xml:space="preserve">DuPree</w:t>
      </w:r>
      <w:r>
        <w:t xml:space="preserve"> </w:t>
      </w:r>
      <w:r>
        <w:t xml:space="preserve">(1983);</w:t>
      </w:r>
      <w:r>
        <w:t xml:space="preserve"> </w:t>
      </w:r>
      <w:r>
        <w:rPr>
          <w:i/>
          <w:iCs/>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r>
        <w:br w:type="page"/>
      </w:r>
    </w:p>
    <w:bookmarkEnd w:id="68"/>
    <w:bookmarkStart w:id="72" w:name="X322dc6b570f5ce55a60ae642fea004099d55329"/>
    <w:p>
      <w:pPr>
        <w:pStyle w:val="Heading2"/>
      </w:pPr>
      <w:r>
        <w:t xml:space="preserve">California — The Trust California Failed to Build</w:t>
      </w:r>
    </w:p>
    <w:p>
      <w:pPr>
        <w:pStyle w:val="FirstParagraph"/>
      </w:pPr>
      <w:r>
        <w:drawing>
          <wp:inline>
            <wp:extent cx="731520" cy="853135"/>
            <wp:effectExtent b="0" l="0" r="0" t="0"/>
            <wp:docPr descr="QRFLOAT" title="" id="70" name="Picture"/>
            <a:graphic>
              <a:graphicData uri="http://schemas.openxmlformats.org/drawingml/2006/picture">
                <pic:pic>
                  <pic:nvPicPr>
                    <pic:cNvPr descr="C:/Users/drdav/My%20Drive/Claude%20Cowork/_tools/_web_cache/qr_us-ca_87c83205390c_1200x_q90.jpg" id="71" name="Picture"/>
                    <pic:cNvPicPr>
                      <a:picLocks noChangeArrowheads="1" noChangeAspect="1"/>
                    </pic:cNvPicPr>
                  </pic:nvPicPr>
                  <pic:blipFill>
                    <a:blip r:embed="rId6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bCs/>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bCs/>
        </w:rPr>
        <w:t xml:space="preserve">The Story.</w:t>
      </w:r>
      <w:r>
        <w:t xml:space="preserve"> </w:t>
      </w:r>
      <w:r>
        <w:t xml:space="preserve">If Oregon is the case of strong architecture menaced, California is the case of architecture never faithfully built. The state got its doubled-section grant — conferred not by the 1850 Admission Act but by the 1853 survey act (§7 of which supplied the indemnity, or</w:t>
      </w:r>
      <w:r>
        <w:t xml:space="preserve"> </w:t>
      </w:r>
      <w:r>
        <w:t xml:space="preserve">“lieu,”</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little left to protect. California tried to rebuild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bCs/>
        </w:rPr>
        <w:t xml:space="preserve">Then→now:</w:t>
      </w:r>
      <w:r>
        <w:t xml:space="preserve"> </w:t>
      </w:r>
      <w:r>
        <w:t xml:space="preserve">A 5.5-million-acre grant in 1853 → roughly 459,000 fee acres and a fund too small to fight over.</w:t>
      </w:r>
    </w:p>
    <w:p>
      <w:pPr>
        <w:pStyle w:val="BodyText"/>
      </w:pPr>
      <w:r>
        <w:rPr>
          <w:b/>
          <w:bCs/>
        </w:rPr>
        <w:t xml:space="preserve">Lesson:</w:t>
      </w:r>
      <w:r>
        <w:t xml:space="preserve"> </w:t>
      </w:r>
      <w:r>
        <w:t xml:space="preserve">A federal grant can create the duty, but only disciplined trusteeship turns that duty into a durable corpus. Skip the discipline, and the endowment disappears without a single dramatic theft. (See Ch. 4,</w:t>
      </w:r>
      <w:r>
        <w:t xml:space="preserve"> </w:t>
      </w:r>
      <w:r>
        <w:t xml:space="preserve">“Failure by omission.”</w:t>
      </w:r>
      <w:r>
        <w:t xml:space="preserve">)</w:t>
      </w:r>
    </w:p>
    <w:p>
      <w:pPr>
        <w:pStyle w:val="BodyText"/>
      </w:pPr>
      <w:r>
        <w:rPr>
          <w:i/>
          <w:iCs/>
        </w:rPr>
        <w:t xml:space="preserve">Sources/notes:</w:t>
      </w:r>
      <w:r>
        <w:t xml:space="preserve"> </w:t>
      </w:r>
      <w:r>
        <w:t xml:space="preserve">Act of Sept. 9, 1850, 9 Stat. 452 (admission, no grant); Act of Mar. 3, 1853, 10 Stat. 244, §§6–7 (the operative grant; §7 supplied the indemnity, or</w:t>
      </w:r>
      <w:r>
        <w:t xml:space="preserve"> </w:t>
      </w:r>
      <w:r>
        <w:t xml:space="preserve">“lieu,”</w:t>
      </w:r>
      <w:r>
        <w:t xml:space="preserve"> </w:t>
      </w:r>
      <w:r>
        <w:t xml:space="preserve">selections); 1852 warrant system; Act of July 23, 1866, 14 Stat. 218; Cal. Pub. Res. Code §§8701 et seq. (1984); State Lands Commission FY 2024-25 Annual Report. Fund balance $65.7M and CalSTRS transfer $6.4M are [as of FY 2024-25]; Prop 98 ~$80B is [as of FY 2024-25]. Geothermal (Geysers) and downtown real estate income: Margaret Bird, recorded account, 2026.</w:t>
      </w:r>
    </w:p>
    <w:p>
      <w:r>
        <w:pict>
          <v:rect style="width:0;height:1.5pt" o:hralign="center" o:hrstd="t" o:hr="t"/>
        </w:pict>
      </w:r>
    </w:p>
    <w:p>
      <w:r>
        <w:br w:type="page"/>
      </w:r>
    </w:p>
    <w:bookmarkEnd w:id="72"/>
    <w:bookmarkStart w:id="76" w:name="Xe68d47f0c9cbccca06c05b9c6b20ac54f6ea66d"/>
    <w:p>
      <w:pPr>
        <w:pStyle w:val="Heading2"/>
      </w:pPr>
      <w:r>
        <w:t xml:space="preserve">Colorado — The State That Renegotiated Its Trust at the Ballot Box</w:t>
      </w:r>
    </w:p>
    <w:p>
      <w:pPr>
        <w:pStyle w:val="FirstParagraph"/>
      </w:pPr>
      <w:r>
        <w:drawing>
          <wp:inline>
            <wp:extent cx="731520" cy="853135"/>
            <wp:effectExtent b="0" l="0" r="0" t="0"/>
            <wp:docPr descr="QRFLOAT" title="" id="74" name="Picture"/>
            <a:graphic>
              <a:graphicData uri="http://schemas.openxmlformats.org/drawingml/2006/picture">
                <pic:pic>
                  <pic:nvPicPr>
                    <pic:cNvPr descr="C:/Users/drdav/My%20Drive/Claude%20Cowork/_tools/_web_cache/qr_us-co_e4228e570bc4_1200x_q90.jpg" id="75" name="Picture"/>
                    <pic:cNvPicPr>
                      <a:picLocks noChangeArrowheads="1" noChangeAspect="1"/>
                    </pic:cNvPicPr>
                  </pic:nvPicPr>
                  <pic:blipFill>
                    <a:blip r:embed="rId73"/>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bCs/>
        </w:rPr>
        <w:t xml:space="preserve">Telling fact:</w:t>
      </w:r>
      <w:r>
        <w:t xml:space="preserve"> </w:t>
      </w:r>
      <w:r>
        <w:t xml:space="preserve">Colorado is one of the only states that wrote the make-whole promise into its constitution —</w:t>
      </w:r>
      <w:r>
        <w:t xml:space="preserve"> </w:t>
      </w:r>
      <w:r>
        <w:t xml:space="preserve">“the state shall supply all losses thereof that may in any manner occur”</w:t>
      </w:r>
      <w:r>
        <w:t xml:space="preserve"> </w:t>
      </w:r>
      <w:r>
        <w:t xml:space="preserve">— and then, in 1996, rewrote the trustee itself by a margin of just 52,000 votes.</w:t>
      </w:r>
    </w:p>
    <w:p>
      <w:pPr>
        <w:pStyle w:val="BodyText"/>
      </w:pPr>
      <w:r>
        <w:rPr>
          <w:b/>
          <w:bCs/>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“maximum dollars”</w:t>
      </w:r>
      <w:r>
        <w:t xml:space="preserve"> </w:t>
      </w:r>
      <w:r>
        <w:t xml:space="preserve">mandate with a</w:t>
      </w:r>
      <w:r>
        <w:t xml:space="preserve"> </w:t>
      </w:r>
      <w:r>
        <w:t xml:space="preserve">“reasonable and consistent income over time”</w:t>
      </w:r>
      <w:r>
        <w:t xml:space="preserve"> </w:t>
      </w:r>
      <w:r>
        <w:t xml:space="preserve">stewardship standard, wrote</w:t>
      </w:r>
      <w:r>
        <w:t xml:space="preserve"> </w:t>
      </w:r>
      <w:r>
        <w:t xml:space="preserve">“trustee”</w:t>
      </w:r>
      <w:r>
        <w:t xml:space="preserve"> </w:t>
      </w:r>
      <w:r>
        <w:t xml:space="preserve">into the text, and created a 300,000-acre Stewardship Trust that keeps earning revenue while protecting natural values. The reform survived federal challenge in</w:t>
      </w:r>
      <w:r>
        <w:t xml:space="preserve"> </w:t>
      </w:r>
      <w:r>
        <w:rPr>
          <w:i/>
          <w:iCs/>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bCs/>
        </w:rPr>
        <w:t xml:space="preserve">Then→now:</w:t>
      </w:r>
      <w:r>
        <w:t xml:space="preserve"> </w:t>
      </w:r>
      <w:r>
        <w:t xml:space="preserve">A</w:t>
      </w:r>
      <w:r>
        <w:t xml:space="preserve"> </w:t>
      </w:r>
      <w:r>
        <w:t xml:space="preserve">“maximize every dollar”</w:t>
      </w:r>
      <w:r>
        <w:t xml:space="preserve"> </w:t>
      </w:r>
      <w:r>
        <w:t xml:space="preserve">mandate that drove fire-sales → a stewardship standard and a $1.85-billion fund grown on royalties.</w:t>
      </w:r>
    </w:p>
    <w:p>
      <w:pPr>
        <w:pStyle w:val="BodyText"/>
      </w:pPr>
      <w:r>
        <w:rPr>
          <w:b/>
          <w:bCs/>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“Kept and rebuilt.”</w:t>
      </w:r>
      <w:r>
        <w:t xml:space="preserve">)</w:t>
      </w:r>
    </w:p>
    <w:p>
      <w:pPr>
        <w:pStyle w:val="BodyText"/>
      </w:pPr>
      <w:r>
        <w:rPr>
          <w:i/>
          <w:iCs/>
        </w:rPr>
        <w:t xml:space="preserve">Sources/notes:</w:t>
      </w:r>
      <w:r>
        <w:t xml:space="preserve"> </w:t>
      </w:r>
      <w:r>
        <w:t xml:space="preserve">Colorado Enabling Act of 1875, 18 Stat. 474, §§7, 14; Colo. Const. art. IX §§3, 9; Amendment 16 (1996);</w:t>
      </w:r>
      <w:r>
        <w:t xml:space="preserve"> </w:t>
      </w:r>
      <w:r>
        <w:rPr>
          <w:i/>
          <w:iCs/>
        </w:rPr>
        <w:t xml:space="preserve">Branson Sch. Dist. RE-82 v. Romer</w:t>
      </w:r>
      <w:r>
        <w:t xml:space="preserve">, 161 F.3d 619 (10th Cir. 1998); FY 2024-25 Income and Inventory Report. Permanent Fund ~$1.85B is [as of June 30, 2025]. Colorado’s recovery is genuine but not total: the BEST program’s draw on gross trust income remains a live diversion concern, even as the corpus continues to grow on royalties.</w:t>
      </w:r>
    </w:p>
    <w:p>
      <w:r>
        <w:pict>
          <v:rect style="width:0;height:1.5pt" o:hralign="center" o:hrstd="t" o:hr="t"/>
        </w:pict>
      </w:r>
    </w:p>
    <w:p>
      <w:r>
        <w:br w:type="page"/>
      </w:r>
    </w:p>
    <w:bookmarkEnd w:id="76"/>
    <w:bookmarkStart w:id="80" w:name="Xa068f75dcc7dbde2a5a67c451c8678bc7c97b9b"/>
    <w:p>
      <w:pPr>
        <w:pStyle w:val="Heading2"/>
      </w:pPr>
      <w:r>
        <w:t xml:space="preserve">Florida — The Court That Would Not Bind the State</w:t>
      </w:r>
    </w:p>
    <w:p>
      <w:pPr>
        <w:pStyle w:val="FirstParagraph"/>
      </w:pPr>
      <w:r>
        <w:drawing>
          <wp:inline>
            <wp:extent cx="731520" cy="853135"/>
            <wp:effectExtent b="0" l="0" r="0" t="0"/>
            <wp:docPr descr="QRFLOAT" title="" id="78" name="Picture"/>
            <a:graphic>
              <a:graphicData uri="http://schemas.openxmlformats.org/drawingml/2006/picture">
                <pic:pic>
                  <pic:nvPicPr>
                    <pic:cNvPr descr="C:/Users/drdav/My%20Drive/Claude%20Cowork/_tools/_web_cache/qr_us-fl_ddb19706bebc_1200x_q90.jpg" id="79" name="Picture"/>
                    <pic:cNvPicPr>
                      <a:picLocks noChangeArrowheads="1" noChangeAspect="1"/>
                    </pic:cNvPicPr>
                  </pic:nvPicPr>
                  <pic:blipFill>
                    <a:blip r:embed="rId7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bCs/>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bCs/>
        </w:rPr>
        <w:t xml:space="preserve">The Story.</w:t>
      </w:r>
      <w:r>
        <w:t xml:space="preserve"> </w:t>
      </w:r>
      <w:r>
        <w:t xml:space="preserve">Florida’s school story is about strong words the courts would not carry all the way to remedy. The constitution calls education a</w:t>
      </w:r>
      <w:r>
        <w:t xml:space="preserve"> </w:t>
      </w:r>
      <w:r>
        <w:t xml:space="preserve">“fundamental value”</w:t>
      </w:r>
      <w:r>
        <w:t xml:space="preserve"> </w:t>
      </w:r>
      <w:r>
        <w:t xml:space="preserve">and a</w:t>
      </w:r>
      <w:r>
        <w:t xml:space="preserve"> </w:t>
      </w:r>
      <w:r>
        <w:t xml:space="preserve">“paramount duty”</w:t>
      </w:r>
      <w:r>
        <w:t xml:space="preserve"> </w:t>
      </w:r>
      <w:r>
        <w:t xml:space="preserve">and demands a</w:t>
      </w:r>
      <w:r>
        <w:t xml:space="preserve"> </w:t>
      </w:r>
      <w:r>
        <w:t xml:space="preserve">“uniform, efficient, safe, secure, and high quality”</w:t>
      </w:r>
      <w:r>
        <w:t xml:space="preserve"> </w:t>
      </w:r>
      <w:r>
        <w:t xml:space="preserve">system — among the most muscular text in the country. And yet the lived doctrine is one of fiduciary language untethered from fiduciary outcomes. The 1845 grant set aside one section per township for schools, and</w:t>
      </w:r>
      <w:r>
        <w:t xml:space="preserve"> </w:t>
      </w:r>
      <w:r>
        <w:rPr>
          <w:i/>
          <w:iCs/>
        </w:rPr>
        <w:t xml:space="preserve">Cooper v. Roberts</w:t>
      </w:r>
      <w:r>
        <w:t xml:space="preserve"> </w:t>
      </w:r>
      <w:r>
        <w:t xml:space="preserve">(1855) later named the federal obligation behind such grants. For a while Florida looked disciplined: through the protective-era cases —</w:t>
      </w:r>
      <w:r>
        <w:t xml:space="preserve"> </w:t>
      </w:r>
      <w:r>
        <w:rPr>
          <w:i/>
          <w:iCs/>
        </w:rPr>
        <w:t xml:space="preserve">Hampton</w:t>
      </w:r>
      <w:r>
        <w:t xml:space="preserve"> </w:t>
      </w:r>
      <w:r>
        <w:t xml:space="preserve">(1925),</w:t>
      </w:r>
      <w:r>
        <w:t xml:space="preserve"> </w:t>
      </w:r>
      <w:r>
        <w:rPr>
          <w:i/>
          <w:iCs/>
        </w:rPr>
        <w:t xml:space="preserve">Crescent City</w:t>
      </w:r>
      <w:r>
        <w:t xml:space="preserve"> </w:t>
      </w:r>
      <w:r>
        <w:t xml:space="preserve">(1942),</w:t>
      </w:r>
      <w:r>
        <w:t xml:space="preserve"> </w:t>
      </w:r>
      <w:r>
        <w:rPr>
          <w:i/>
          <w:iCs/>
        </w:rPr>
        <w:t xml:space="preserve">Watson</w:t>
      </w:r>
      <w:r>
        <w:t xml:space="preserve"> </w:t>
      </w:r>
      <w:r>
        <w:t xml:space="preserve">(1948) — the courts walled off school-land title and guarded the</w:t>
      </w:r>
      <w:r>
        <w:t xml:space="preserve"> </w:t>
      </w:r>
      <w:r>
        <w:t xml:space="preserve">“sacred and inviolate”</w:t>
      </w:r>
      <w:r>
        <w:t xml:space="preserve"> </w:t>
      </w:r>
      <w:r>
        <w:t xml:space="preserve">fund, and Attorney General Ellis’s 1908 opinion enforced the rule cleanly. Then</w:t>
      </w:r>
      <w:r>
        <w:t xml:space="preserve"> </w:t>
      </w:r>
      <w:r>
        <w:rPr>
          <w:i/>
          <w:iCs/>
        </w:rPr>
        <w:t xml:space="preserve">Askew v. Sonson</w:t>
      </w:r>
      <w:r>
        <w:t xml:space="preserve"> </w:t>
      </w:r>
      <w:r>
        <w:t xml:space="preserve">(1981) became the hinge: the Florida Supreme Court held that the state’s Marketable Record Title Act could</w:t>
      </w:r>
      <w:r>
        <w:t xml:space="preserve"> </w:t>
      </w:r>
      <w:r>
        <w:rPr>
          <w:i/>
          <w:iCs/>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iCs/>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bCs/>
        </w:rPr>
        <w:t xml:space="preserve">Lesson:</w:t>
      </w:r>
      <w:r>
        <w:t xml:space="preserve"> </w:t>
      </w:r>
      <w:r>
        <w:t xml:space="preserve">Stronger words alone do not produce stronger outcomes. Text without a court willing to enforce it is decoration. (See Ch. 4 and Ch. 6,</w:t>
      </w:r>
      <w:r>
        <w:t xml:space="preserve"> </w:t>
      </w:r>
      <w:r>
        <w:t xml:space="preserve">“Charter the adversary.”</w:t>
      </w:r>
      <w:r>
        <w:t xml:space="preserve">)</w:t>
      </w:r>
    </w:p>
    <w:p>
      <w:pPr>
        <w:pStyle w:val="BodyText"/>
      </w:pPr>
      <w:r>
        <w:rPr>
          <w:i/>
          <w:iCs/>
        </w:rPr>
        <w:t xml:space="preserve">Sources/notes:</w:t>
      </w:r>
      <w:r>
        <w:t xml:space="preserve"> </w:t>
      </w:r>
      <w:r>
        <w:t xml:space="preserve">Act of Mar. 3, 1845, 5 Stat. 788 (school-land grant);</w:t>
      </w:r>
      <w:r>
        <w:t xml:space="preserve"> </w:t>
      </w:r>
      <w:r>
        <w:rPr>
          <w:i/>
          <w:iCs/>
        </w:rPr>
        <w:t xml:space="preserve">Cooper v. Roberts</w:t>
      </w:r>
      <w:r>
        <w:t xml:space="preserve">, 59 U.S. 173 (1855);</w:t>
      </w:r>
      <w:r>
        <w:t xml:space="preserve"> </w:t>
      </w:r>
      <w:r>
        <w:rPr>
          <w:i/>
          <w:iCs/>
        </w:rPr>
        <w:t xml:space="preserve">Askew v. Sonson</w:t>
      </w:r>
      <w:r>
        <w:t xml:space="preserve">, 409 So. 2d 7 (Fla. 1981);</w:t>
      </w:r>
      <w:r>
        <w:t xml:space="preserve"> </w:t>
      </w:r>
      <w:r>
        <w:rPr>
          <w:i/>
          <w:iCs/>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r>
        <w:br w:type="page"/>
      </w:r>
    </w:p>
    <w:bookmarkEnd w:id="80"/>
    <w:bookmarkStart w:id="84" w:name="Xb4434a73d825f6143eb6839b9c506017b06afcb"/>
    <w:p>
      <w:pPr>
        <w:pStyle w:val="Heading2"/>
      </w:pPr>
      <w:r>
        <w:t xml:space="preserve">Hawaii — The Trust With Five Mouths to Feed</w:t>
      </w:r>
    </w:p>
    <w:p>
      <w:pPr>
        <w:pStyle w:val="FirstParagraph"/>
      </w:pPr>
      <w:r>
        <w:drawing>
          <wp:inline>
            <wp:extent cx="731520" cy="853135"/>
            <wp:effectExtent b="0" l="0" r="0" t="0"/>
            <wp:docPr descr="QRFLOAT" title="" id="82" name="Picture"/>
            <a:graphic>
              <a:graphicData uri="http://schemas.openxmlformats.org/drawingml/2006/picture">
                <pic:pic>
                  <pic:nvPicPr>
                    <pic:cNvPr descr="C:/Users/drdav/My%20Drive/Claude%20Cowork/_tools/_web_cache/qr_us-hi_ccd91991c293_1200x_q90.jpg" id="83" name="Picture"/>
                    <pic:cNvPicPr>
                      <a:picLocks noChangeArrowheads="1" noChangeAspect="1"/>
                    </pic:cNvPicPr>
                  </pic:nvPicPr>
                  <pic:blipFill>
                    <a:blip r:embed="rId81"/>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1959 - Grant: a single 1.4-million-acre</w:t>
      </w:r>
      <w:r>
        <w:rPr>
          <w:i/>
          <w:iCs/>
        </w:rPr>
        <w:t xml:space="preserve"> </w:t>
      </w:r>
      <w:r>
        <w:rPr>
          <w:i/>
          <w:iCs/>
        </w:rPr>
        <w:t xml:space="preserve">“ceded-lands”</w:t>
      </w:r>
      <w:r>
        <w:rPr>
          <w:i/>
          <w:iCs/>
        </w:rPr>
        <w:t xml:space="preserve"> </w:t>
      </w:r>
      <w:r>
        <w:rPr>
          <w:i/>
          <w:iCs/>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bCs/>
        </w:rPr>
        <w:t xml:space="preserve">Telling fact:</w:t>
      </w:r>
      <w:r>
        <w:t xml:space="preserve"> </w:t>
      </w:r>
      <w:r>
        <w:t xml:space="preserve">Hawaii’s founding deal put the words</w:t>
      </w:r>
      <w:r>
        <w:t xml:space="preserve"> </w:t>
      </w:r>
      <w:r>
        <w:t xml:space="preserve">“public trust”</w:t>
      </w:r>
      <w:r>
        <w:t xml:space="preserve"> </w:t>
      </w:r>
      <w:r>
        <w:t xml:space="preserve">and</w:t>
      </w:r>
      <w:r>
        <w:t xml:space="preserve"> </w:t>
      </w:r>
      <w:r>
        <w:t xml:space="preserve">“breach of trust”</w:t>
      </w:r>
      <w:r>
        <w:t xml:space="preserve"> </w:t>
      </w:r>
      <w:r>
        <w:t xml:space="preserve">right in the federal statute, named</w:t>
      </w:r>
      <w:r>
        <w:t xml:space="preserve"> </w:t>
      </w:r>
      <w:r>
        <w:t xml:space="preserve">“support of the public schools”</w:t>
      </w:r>
      <w:r>
        <w:t xml:space="preserve"> </w:t>
      </w:r>
      <w:r>
        <w:t xml:space="preserve">as the</w:t>
      </w:r>
      <w:r>
        <w:t xml:space="preserve"> </w:t>
      </w:r>
      <w:r>
        <w:rPr>
          <w:i/>
          <w:iCs/>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iCs/>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“ceded-lands”</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“as a public trust,”</w:t>
      </w:r>
      <w:r>
        <w:t xml:space="preserve"> </w:t>
      </w:r>
      <w:r>
        <w:t xml:space="preserve">and using it for</w:t>
      </w:r>
      <w:r>
        <w:t xml:space="preserve"> </w:t>
      </w:r>
      <w:r>
        <w:t xml:space="preserve">“any other object shall constitute a breach of trust for which suit may be brought by the United States.”</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iCs/>
        </w:rPr>
        <w:t xml:space="preserve">Pele Defense Fund v. Paty</w:t>
      </w:r>
      <w:r>
        <w:t xml:space="preserve"> </w:t>
      </w:r>
      <w:r>
        <w:t xml:space="preserve">(1992) recognizing their standing to sue, to</w:t>
      </w:r>
      <w:r>
        <w:t xml:space="preserve"> </w:t>
      </w:r>
      <w:r>
        <w:rPr>
          <w:i/>
          <w:iCs/>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bCs/>
        </w:rPr>
        <w:t xml:space="preserve">Then→now:</w:t>
      </w:r>
      <w:r>
        <w:t xml:space="preserve"> </w:t>
      </w:r>
      <w:r>
        <w:t xml:space="preserve">A kingdom’s 1.8 million acres → a 1.4-million-acre, five-purpose trust in which the schoolchildren’s slice was never even measured.</w:t>
      </w:r>
    </w:p>
    <w:p>
      <w:pPr>
        <w:pStyle w:val="BodyText"/>
      </w:pPr>
      <w:r>
        <w:rPr>
          <w:b/>
          <w:bCs/>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iCs/>
        </w:rPr>
        <w:t xml:space="preserve">Sources/notes:</w:t>
      </w:r>
      <w:r>
        <w:t xml:space="preserve"> </w:t>
      </w:r>
      <w:r>
        <w:t xml:space="preserve">Hawaii Admission Act § 5(b),(f), 73 Stat. 4; Newlands Resolution, 30 Stat. 750; Apology Resolution, Pub. L. 103-150;</w:t>
      </w:r>
      <w:r>
        <w:t xml:space="preserve"> </w:t>
      </w:r>
      <w:r>
        <w:rPr>
          <w:i/>
          <w:iCs/>
        </w:rPr>
        <w:t xml:space="preserve">Pele Defense Fund v. Paty</w:t>
      </w:r>
      <w:r>
        <w:t xml:space="preserve">, 73 Haw. 578 (1992);</w:t>
      </w:r>
      <w:r>
        <w:t xml:space="preserve"> </w:t>
      </w:r>
      <w:r>
        <w:rPr>
          <w:i/>
          <w:iCs/>
        </w:rPr>
        <w:t xml:space="preserve">Ching v. Case</w:t>
      </w:r>
      <w:r>
        <w:t xml:space="preserve"> </w:t>
      </w:r>
      <w:r>
        <w:t xml:space="preserve">(Haw. 2019);</w:t>
      </w:r>
      <w:r>
        <w:t xml:space="preserve"> </w:t>
      </w:r>
      <w:r>
        <w:rPr>
          <w:i/>
          <w:iCs/>
        </w:rPr>
        <w:t xml:space="preserve">Rice v. Cayetano</w:t>
      </w:r>
      <w:r>
        <w:t xml:space="preserve">, 528 U.S. 495 (2000).</w:t>
      </w:r>
    </w:p>
    <w:p>
      <w:r>
        <w:pict>
          <v:rect style="width:0;height:1.5pt" o:hralign="center" o:hrstd="t" o:hr="t"/>
        </w:pict>
      </w:r>
    </w:p>
    <w:p>
      <w:r>
        <w:br w:type="page"/>
      </w:r>
    </w:p>
    <w:bookmarkEnd w:id="84"/>
    <w:bookmarkStart w:id="88" w:name="idaho-the-five-trustee-fortress"/>
    <w:p>
      <w:pPr>
        <w:pStyle w:val="Heading2"/>
      </w:pPr>
      <w:r>
        <w:t xml:space="preserve">Idaho — The Five-Trustee Fortress</w:t>
      </w:r>
    </w:p>
    <w:p>
      <w:pPr>
        <w:pStyle w:val="FirstParagraph"/>
      </w:pPr>
      <w:r>
        <w:drawing>
          <wp:inline>
            <wp:extent cx="731520" cy="853135"/>
            <wp:effectExtent b="0" l="0" r="0" t="0"/>
            <wp:docPr descr="QRFLOAT" title="" id="86" name="Picture"/>
            <a:graphic>
              <a:graphicData uri="http://schemas.openxmlformats.org/drawingml/2006/picture">
                <pic:pic>
                  <pic:nvPicPr>
                    <pic:cNvPr descr="C:/Users/drdav/My%20Drive/Claude%20Cowork/_tools/_web_cache/qr_us-id_793f9728f1aa_1200x_q90.jpg" id="87" name="Picture"/>
                    <pic:cNvPicPr>
                      <a:picLocks noChangeArrowheads="1" noChangeAspect="1"/>
                    </pic:cNvPicPr>
                  </pic:nvPicPr>
                  <pic:blipFill>
                    <a:blip r:embed="rId8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1890 - Grant: 2 sections (16 &amp; 36), about 3 million acres - Endowment Fund net position</w:t>
      </w:r>
      <w:r>
        <w:rPr>
          <w:i/>
          <w:iCs/>
        </w:rPr>
        <w:t xml:space="preserve"> </w:t>
      </w:r>
      <w:r>
        <w:rPr>
          <w:b/>
          <w:bCs/>
          <w:i/>
          <w:iCs/>
        </w:rPr>
        <w:t xml:space="preserve">$3,592,674,268</w:t>
      </w:r>
      <w:r>
        <w:rPr>
          <w:i/>
          <w:iCs/>
        </w:rPr>
        <w:t xml:space="preserve"> </w:t>
      </w:r>
      <w:r>
        <w:rPr>
          <w:i/>
          <w:iCs/>
        </w:rPr>
        <w:t xml:space="preserve">[as of June 30, 2025]; Public School endowment distribution</w:t>
      </w:r>
      <w:r>
        <w:rPr>
          <w:i/>
          <w:iCs/>
        </w:rPr>
        <w:t xml:space="preserve"> </w:t>
      </w:r>
      <w:r>
        <w:rPr>
          <w:b/>
          <w:bCs/>
          <w:i/>
          <w:iCs/>
        </w:rPr>
        <w:t xml:space="preserve">$63,039,900</w:t>
      </w:r>
      <w:r>
        <w:rPr>
          <w:i/>
          <w:iCs/>
        </w:rPr>
        <w:t xml:space="preserve"> </w:t>
      </w:r>
      <w:r>
        <w:rPr>
          <w:i/>
          <w:iCs/>
        </w:rPr>
        <w:t xml:space="preserve">in FY2025 - Trustee: five elected officials sitting ex officio as the Land Board - Verdict: Kept faith.</w:t>
      </w:r>
    </w:p>
    <w:p>
      <w:pPr>
        <w:pStyle w:val="BodyText"/>
      </w:pPr>
      <w:r>
        <w:rPr>
          <w:b/>
          <w:bCs/>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“for the support of common schools,”</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iCs/>
        </w:rPr>
        <w:t xml:space="preserve">Balderston v. Brady</w:t>
      </w:r>
      <w:r>
        <w:t xml:space="preserve"> </w:t>
      </w:r>
      <w:r>
        <w:t xml:space="preserve">(1910) stopped the Land Board from giving away title to school sections.</w:t>
      </w:r>
      <w:r>
        <w:t xml:space="preserve"> </w:t>
      </w:r>
      <w:r>
        <w:rPr>
          <w:i/>
          <w:iCs/>
        </w:rPr>
        <w:t xml:space="preserve">East Side Blaine County</w:t>
      </w:r>
      <w:r>
        <w:t xml:space="preserve"> </w:t>
      </w:r>
      <w:r>
        <w:t xml:space="preserve">(1921) forced a lease to public auction, declaring the</w:t>
      </w:r>
      <w:r>
        <w:t xml:space="preserve"> </w:t>
      </w:r>
      <w:r>
        <w:t xml:space="preserve">“dominant purpose”</w:t>
      </w:r>
      <w:r>
        <w:t xml:space="preserve"> </w:t>
      </w:r>
      <w:r>
        <w:t xml:space="preserve">was to get</w:t>
      </w:r>
      <w:r>
        <w:t xml:space="preserve"> </w:t>
      </w:r>
      <w:r>
        <w:t xml:space="preserve">“the greatest possible amount”</w:t>
      </w:r>
      <w:r>
        <w:t xml:space="preserve"> </w:t>
      </w:r>
      <w:r>
        <w:t xml:space="preserve">for the schools.</w:t>
      </w:r>
      <w:r>
        <w:t xml:space="preserve"> </w:t>
      </w:r>
      <w:r>
        <w:rPr>
          <w:i/>
          <w:iCs/>
        </w:rPr>
        <w:t xml:space="preserve">Moon</w:t>
      </w:r>
      <w:r>
        <w:t xml:space="preserve"> </w:t>
      </w:r>
      <w:r>
        <w:t xml:space="preserve">(1986) caught the state quietly sweeping interest on school-land accounts into the general fund and ordered it back. The</w:t>
      </w:r>
      <w:r>
        <w:t xml:space="preserve"> </w:t>
      </w:r>
      <w:r>
        <w:rPr>
          <w:i/>
          <w:iCs/>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iCs/>
        </w:rPr>
        <w:t xml:space="preserve">Wasden</w:t>
      </w:r>
      <w:r>
        <w:t xml:space="preserve"> </w:t>
      </w:r>
      <w:r>
        <w:t xml:space="preserve">line (2010, 2012) reaffirmed that the Board’s</w:t>
      </w:r>
      <w:r>
        <w:t xml:space="preserve"> </w:t>
      </w:r>
      <w:r>
        <w:t xml:space="preserve">“broad discretion”</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iCs/>
        </w:rPr>
        <w:t xml:space="preserve">authority</w:t>
      </w:r>
      <w:r>
        <w:t xml:space="preserve">; the board that wields it is statutory. What’s genuinely distinctive is the split: the Land Board manages the land, a separate board manages the money.</w:t>
      </w:r>
    </w:p>
    <w:p>
      <w:pPr>
        <w:pStyle w:val="BodyText"/>
      </w:pPr>
      <w:r>
        <w:rPr>
          <w:b/>
          <w:bCs/>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bCs/>
        </w:rPr>
        <w:t xml:space="preserve">$63,039,900</w:t>
      </w:r>
      <w:r>
        <w:t xml:space="preserve"> </w:t>
      </w:r>
      <w:r>
        <w:t xml:space="preserve">for FY2025.</w:t>
      </w:r>
    </w:p>
    <w:p>
      <w:pPr>
        <w:pStyle w:val="BodyText"/>
      </w:pPr>
      <w:r>
        <w:rPr>
          <w:b/>
          <w:bCs/>
        </w:rPr>
        <w:t xml:space="preserve">Lesson:</w:t>
      </w:r>
      <w:r>
        <w:t xml:space="preserve"> </w:t>
      </w:r>
      <w:r>
        <w:t xml:space="preserve">Enforceable text, named ex officio trustees, and a court willing to bind even the voters is what a defended trust looks like. (See Ch. 5,</w:t>
      </w:r>
      <w:r>
        <w:t xml:space="preserve"> </w:t>
      </w:r>
      <w:r>
        <w:t xml:space="preserve">“Kept and rebuilt.”</w:t>
      </w:r>
      <w:r>
        <w:t xml:space="preserve">)</w:t>
      </w:r>
      <w:r>
        <w:t xml:space="preserve"> </w:t>
      </w:r>
      <w:r>
        <w:rPr>
          <w:i/>
          <w:iCs/>
        </w:rPr>
        <w:t xml:space="preserve">Sources/notes:</w:t>
      </w:r>
      <w:r>
        <w:t xml:space="preserve"> </w:t>
      </w:r>
      <w:r>
        <w:rPr>
          <w:i/>
          <w:iCs/>
        </w:rPr>
        <w:t xml:space="preserve">Balderston v. Brady</w:t>
      </w:r>
      <w:r>
        <w:t xml:space="preserve">, 18 Idaho 238, 108 P. 742 (1910); Idaho Admission Act, 26 Stat. 215; Idaho Const. art. IX §§ 3, 4, 7, 8, 11;</w:t>
      </w:r>
      <w:r>
        <w:t xml:space="preserve"> </w:t>
      </w:r>
      <w:r>
        <w:rPr>
          <w:i/>
          <w:iCs/>
        </w:rPr>
        <w:t xml:space="preserve">East Side Blaine County</w:t>
      </w:r>
      <w:r>
        <w:t xml:space="preserve"> </w:t>
      </w:r>
      <w:r>
        <w:t xml:space="preserve">(1921);</w:t>
      </w:r>
      <w:r>
        <w:t xml:space="preserve"> </w:t>
      </w:r>
      <w:r>
        <w:rPr>
          <w:i/>
          <w:iCs/>
        </w:rPr>
        <w:t xml:space="preserve">Moon</w:t>
      </w:r>
      <w:r>
        <w:t xml:space="preserve"> </w:t>
      </w:r>
      <w:r>
        <w:t xml:space="preserve">(1986);</w:t>
      </w:r>
      <w:r>
        <w:t xml:space="preserve"> </w:t>
      </w:r>
      <w:r>
        <w:rPr>
          <w:i/>
          <w:iCs/>
        </w:rPr>
        <w:t xml:space="preserve">Idaho Watersheds Project</w:t>
      </w:r>
      <w:r>
        <w:t xml:space="preserve"> </w:t>
      </w:r>
      <w:r>
        <w:t xml:space="preserve">(1999);</w:t>
      </w:r>
      <w:r>
        <w:t xml:space="preserve"> </w:t>
      </w:r>
      <w:r>
        <w:rPr>
          <w:i/>
          <w:iCs/>
        </w:rPr>
        <w:t xml:space="preserve">Wasden</w:t>
      </w:r>
      <w:r>
        <w:t xml:space="preserve"> </w:t>
      </w:r>
      <w:r>
        <w:t xml:space="preserve">(2010, 2012); IDL/EFIB reports.</w:t>
      </w:r>
    </w:p>
    <w:p>
      <w:r>
        <w:pict>
          <v:rect style="width:0;height:1.5pt" o:hralign="center" o:hrstd="t" o:hr="t"/>
        </w:pict>
      </w:r>
    </w:p>
    <w:p>
      <w:r>
        <w:br w:type="page"/>
      </w:r>
    </w:p>
    <w:bookmarkEnd w:id="88"/>
    <w:bookmarkStart w:id="92" w:name="X39922a786b21a573a7f470d28b72bea44882622"/>
    <w:p>
      <w:pPr>
        <w:pStyle w:val="Heading2"/>
      </w:pPr>
      <w:r>
        <w:t xml:space="preserve">Illinois — The Quiet Sell-Off, One Township at a Time</w:t>
      </w:r>
    </w:p>
    <w:p>
      <w:pPr>
        <w:pStyle w:val="FirstParagraph"/>
      </w:pPr>
      <w:r>
        <w:drawing>
          <wp:inline>
            <wp:extent cx="731520" cy="853135"/>
            <wp:effectExtent b="0" l="0" r="0" t="0"/>
            <wp:docPr descr="QRFLOAT" title="" id="90" name="Picture"/>
            <a:graphic>
              <a:graphicData uri="http://schemas.openxmlformats.org/drawingml/2006/picture">
                <pic:pic>
                  <pic:nvPicPr>
                    <pic:cNvPr descr="C:/Users/drdav/My%20Drive/Claude%20Cowork/_tools/_web_cache/qr_us-il_d4d62d7da903_1200x_q90.jpg" id="91" name="Picture"/>
                    <pic:cNvPicPr>
                      <a:picLocks noChangeArrowheads="1" noChangeAspect="1"/>
                    </pic:cNvPicPr>
                  </pic:nvPicPr>
                  <pic:blipFill>
                    <a:blip r:embed="rId8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bCs/>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set aside one section per township</w:t>
      </w:r>
      <w:r>
        <w:t xml:space="preserve"> </w:t>
      </w:r>
      <w:r>
        <w:t xml:space="preserve">“for the use of schools.”</w:t>
      </w:r>
      <w:r>
        <w:t xml:space="preserve"> </w:t>
      </w:r>
      <w:r>
        <w:t xml:space="preserve">That was enough to create the duty. What Illinois lacked was machinery: no restoration clause, no named enforcer, no visible statewide trustee, and no institution whose daily job was to say no when local pressure favored sale.</w:t>
      </w:r>
      <w:r>
        <w:t xml:space="preserve"> </w:t>
      </w:r>
      <w:r>
        <w:rPr>
          <w:i/>
          <w:iCs/>
        </w:rPr>
        <w:t xml:space="preserve">Cooper v. Roberts</w:t>
      </w:r>
      <w:r>
        <w:t xml:space="preserve"> </w:t>
      </w:r>
      <w:r>
        <w:t xml:space="preserve">(1855) later gave the early grants their federal trust-law name, calling them a</w:t>
      </w:r>
      <w:r>
        <w:t xml:space="preserve"> </w:t>
      </w:r>
      <w:r>
        <w:t xml:space="preserve">“sacred obligation.”</w:t>
      </w:r>
      <w:r>
        <w:t xml:space="preserve"> </w:t>
      </w:r>
      <w:r>
        <w:t xml:space="preserve">But by the time that doctrine arrived,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iCs/>
        </w:rPr>
        <w:t xml:space="preserve">Miller</w:t>
      </w:r>
      <w:r>
        <w:t xml:space="preserve"> </w:t>
      </w:r>
      <w:r>
        <w:t xml:space="preserve">(1875),</w:t>
      </w:r>
      <w:r>
        <w:t xml:space="preserve"> </w:t>
      </w:r>
      <w:r>
        <w:rPr>
          <w:i/>
          <w:iCs/>
        </w:rPr>
        <w:t xml:space="preserve">Little</w:t>
      </w:r>
      <w:r>
        <w:t xml:space="preserve"> </w:t>
      </w:r>
      <w:r>
        <w:t xml:space="preserve">(1886), and</w:t>
      </w:r>
      <w:r>
        <w:t xml:space="preserve"> </w:t>
      </w:r>
      <w:r>
        <w:rPr>
          <w:i/>
          <w:iCs/>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iCs/>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bCs/>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bCs/>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“Drift.”</w:t>
      </w:r>
      <w:r>
        <w:t xml:space="preserve">)</w:t>
      </w:r>
      <w:r>
        <w:t xml:space="preserve"> </w:t>
      </w:r>
      <w:r>
        <w:rPr>
          <w:i/>
          <w:iCs/>
        </w:rPr>
        <w:t xml:space="preserve">Sources/notes:</w:t>
      </w:r>
      <w:r>
        <w:t xml:space="preserve"> </w:t>
      </w:r>
      <w:r>
        <w:t xml:space="preserve">Act of Apr. 18, 1818, 3 Stat. 428;</w:t>
      </w:r>
      <w:r>
        <w:t xml:space="preserve"> </w:t>
      </w:r>
      <w:r>
        <w:rPr>
          <w:i/>
          <w:iCs/>
        </w:rPr>
        <w:t xml:space="preserve">Cooper v. Roberts</w:t>
      </w:r>
      <w:r>
        <w:t xml:space="preserve"> </w:t>
      </w:r>
      <w:r>
        <w:t xml:space="preserve">(1855);</w:t>
      </w:r>
      <w:r>
        <w:t xml:space="preserve"> </w:t>
      </w:r>
      <w:r>
        <w:rPr>
          <w:i/>
          <w:iCs/>
        </w:rPr>
        <w:t xml:space="preserve">People ex rel. Paschen v. Hendrickson-Pontiac</w:t>
      </w:r>
      <w:r>
        <w:t xml:space="preserve"> </w:t>
      </w:r>
      <w:r>
        <w:t xml:space="preserve">(1956);</w:t>
      </w:r>
      <w:r>
        <w:t xml:space="preserve"> </w:t>
      </w:r>
      <w:r>
        <w:rPr>
          <w:i/>
          <w:iCs/>
        </w:rPr>
        <w:t xml:space="preserve">Committee for Educational Rights v. Edgar</w:t>
      </w:r>
      <w:r>
        <w:t xml:space="preserve"> </w:t>
      </w:r>
      <w:r>
        <w:t xml:space="preserve">(1996); 105 ILCS 5/15.</w:t>
      </w:r>
      <w:r>
        <w:t xml:space="preserve"> </w:t>
      </w:r>
      <w:r>
        <w:rPr>
          <w:i/>
          <w:iCs/>
        </w:rPr>
        <w:t xml:space="preserve">(Note: an earlier</w:t>
      </w:r>
      <w:r>
        <w:rPr>
          <w:i/>
          <w:iCs/>
        </w:rPr>
        <w:t xml:space="preserve"> </w:t>
      </w:r>
      <w:r>
        <w:rPr>
          <w:i/>
          <w:iCs/>
        </w:rPr>
        <w:t xml:space="preserve">“$1.2 million by 1836”</w:t>
      </w:r>
      <w:r>
        <w:rPr>
          <w:i/>
          <w:iCs/>
        </w:rPr>
        <w:t xml:space="preserve"> </w:t>
      </w:r>
      <w:r>
        <w:rPr>
          <w:i/>
          <w:iCs/>
        </w:rPr>
        <w:t xml:space="preserve">Chicago Loop figure is unconfirmed and deliberately not used.)</w:t>
      </w:r>
    </w:p>
    <w:p>
      <w:r>
        <w:pict>
          <v:rect style="width:0;height:1.5pt" o:hralign="center" o:hrstd="t" o:hr="t"/>
        </w:pict>
      </w:r>
    </w:p>
    <w:p>
      <w:r>
        <w:br w:type="page"/>
      </w:r>
    </w:p>
    <w:bookmarkEnd w:id="92"/>
    <w:bookmarkStart w:id="96" w:name="Xeda3ba0927e6911f4768f2e84d840125d50894a"/>
    <w:p>
      <w:pPr>
        <w:pStyle w:val="Heading2"/>
      </w:pPr>
      <w:r>
        <w:t xml:space="preserve">Indiana — The Strong Words and the Vanishing Land</w:t>
      </w:r>
    </w:p>
    <w:p>
      <w:pPr>
        <w:pStyle w:val="FirstParagraph"/>
      </w:pPr>
      <w:r>
        <w:drawing>
          <wp:inline>
            <wp:extent cx="731520" cy="853135"/>
            <wp:effectExtent b="0" l="0" r="0" t="0"/>
            <wp:docPr descr="QRFLOAT" title="" id="94" name="Picture"/>
            <a:graphic>
              <a:graphicData uri="http://schemas.openxmlformats.org/drawingml/2006/picture">
                <pic:pic>
                  <pic:nvPicPr>
                    <pic:cNvPr descr="C:/Users/drdav/My%20Drive/Claude%20Cowork/_tools/_web_cache/qr_us-in_1e171c23e86b_1200x_q90.jpg" id="95" name="Picture"/>
                    <pic:cNvPicPr>
                      <a:picLocks noChangeArrowheads="1" noChangeAspect="1"/>
                    </pic:cNvPicPr>
                  </pic:nvPicPr>
                  <pic:blipFill>
                    <a:blip r:embed="rId93"/>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bCs/>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“shall never be diminished… and to no other purpose whatever.”</w:t>
      </w:r>
      <w:r>
        <w:t xml:space="preserve"> </w:t>
      </w:r>
      <w:r>
        <w:t xml:space="preserve">The money stayed.</w:t>
      </w:r>
    </w:p>
    <w:p>
      <w:pPr>
        <w:pStyle w:val="BodyText"/>
      </w:pPr>
      <w:r>
        <w:t xml:space="preserve">Indiana took the early section-sixteen grant and wrote unusually strong state protection over it. The 1816 Enabling Act gave the familiar template — one section per township</w:t>
      </w:r>
      <w:r>
        <w:t xml:space="preserve"> </w:t>
      </w:r>
      <w:r>
        <w:t xml:space="preserve">“for the use of schools,”</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“a perpetual fund, which may be increased, but shall never be diminished,”</w:t>
      </w:r>
      <w:r>
        <w:t xml:space="preserve"> </w:t>
      </w:r>
      <w:r>
        <w:t xml:space="preserve">and orders the income</w:t>
      </w:r>
      <w:r>
        <w:t xml:space="preserve"> </w:t>
      </w:r>
      <w:r>
        <w:t xml:space="preserve">“inviolably appropriated to the support of Common Schools, and to no other purpose whatever.”</w:t>
      </w:r>
      <w:r>
        <w:t xml:space="preserve"> </w:t>
      </w:r>
      <w:r>
        <w:t xml:space="preserve">Three commitments in one sentence — perpetual, never shrinking, exclusively for schools.</w:t>
      </w:r>
    </w:p>
    <w:p>
      <w:pPr>
        <w:pStyle w:val="BodyText"/>
      </w:pPr>
      <w:r>
        <w:t xml:space="preserve">And on the money, it held.</w:t>
      </w:r>
      <w:r>
        <w:t xml:space="preserve"> </w:t>
      </w:r>
      <w:r>
        <w:rPr>
          <w:i/>
          <w:iCs/>
        </w:rPr>
        <w:t xml:space="preserve">Springfield Township v. Quick</w:t>
      </w:r>
      <w:r>
        <w:t xml:space="preserve"> </w:t>
      </w:r>
      <w:r>
        <w:t xml:space="preserve">(1859) protected each township’s fund from being diverted to another.</w:t>
      </w:r>
      <w:r>
        <w:t xml:space="preserve"> </w:t>
      </w:r>
      <w:r>
        <w:rPr>
          <w:i/>
          <w:iCs/>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iCs/>
        </w:rPr>
        <w:t xml:space="preserve">Bonner v. Daniels</w:t>
      </w:r>
      <w:r>
        <w:t xml:space="preserve"> </w:t>
      </w:r>
      <w:r>
        <w:t xml:space="preserve">(2009) held the</w:t>
      </w:r>
      <w:r>
        <w:t xml:space="preserve"> </w:t>
      </w:r>
      <w:r>
        <w:t xml:space="preserve">“general and uniform system”</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“fund”</w:t>
      </w:r>
      <w:r>
        <w:t xml:space="preserve"> </w:t>
      </w:r>
      <w:r>
        <w:t xml:space="preserve">is largely a</w:t>
      </w:r>
      <w:r>
        <w:t xml:space="preserve"> </w:t>
      </w:r>
      <w:r>
        <w:rPr>
          <w:i/>
          <w:iCs/>
        </w:rPr>
        <w:t xml:space="preserve">loan book</w:t>
      </w:r>
      <w:r>
        <w:t xml:space="preserve">, its principal lent out to school corporations rather than held as land or passive endowment.</w:t>
      </w:r>
    </w:p>
    <w:p>
      <w:pPr>
        <w:pStyle w:val="BodyText"/>
      </w:pPr>
      <w:r>
        <w:rPr>
          <w:b/>
          <w:bCs/>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bCs/>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iCs/>
        </w:rPr>
        <w:t xml:space="preserve">Sources/notes:</w:t>
      </w:r>
      <w:r>
        <w:t xml:space="preserve"> </w:t>
      </w:r>
      <w:r>
        <w:t xml:space="preserve">Enabling Act of Apr. 19, 1816, 3 Stat. 289; Ind. Const. art. 8 §§ 1–3 (1851);</w:t>
      </w:r>
      <w:r>
        <w:t xml:space="preserve"> </w:t>
      </w:r>
      <w:r>
        <w:rPr>
          <w:i/>
          <w:iCs/>
        </w:rPr>
        <w:t xml:space="preserve">Springfield Township v. Quick</w:t>
      </w:r>
      <w:r>
        <w:t xml:space="preserve"> </w:t>
      </w:r>
      <w:r>
        <w:t xml:space="preserve">(1859);</w:t>
      </w:r>
      <w:r>
        <w:t xml:space="preserve"> </w:t>
      </w:r>
      <w:r>
        <w:rPr>
          <w:i/>
          <w:iCs/>
        </w:rPr>
        <w:t xml:space="preserve">State v. Elliott</w:t>
      </w:r>
      <w:r>
        <w:t xml:space="preserve"> </w:t>
      </w:r>
      <w:r>
        <w:t xml:space="preserve">(1976); Official Opinion 2003-5;</w:t>
      </w:r>
      <w:r>
        <w:t xml:space="preserve"> </w:t>
      </w:r>
      <w:r>
        <w:rPr>
          <w:i/>
          <w:iCs/>
        </w:rPr>
        <w:t xml:space="preserve">Bonner v. Daniels</w:t>
      </w:r>
      <w:r>
        <w:t xml:space="preserve"> </w:t>
      </w:r>
      <w:r>
        <w:t xml:space="preserve">(2009);</w:t>
      </w:r>
      <w:r>
        <w:t xml:space="preserve"> </w:t>
      </w:r>
      <w:r>
        <w:rPr>
          <w:i/>
          <w:iCs/>
        </w:rPr>
        <w:t xml:space="preserve">Horner v. Curry</w:t>
      </w:r>
      <w:r>
        <w:t xml:space="preserve"> </w:t>
      </w:r>
      <w:r>
        <w:t xml:space="preserve">(2019).</w:t>
      </w:r>
    </w:p>
    <w:p>
      <w:r>
        <w:pict>
          <v:rect style="width:0;height:1.5pt" o:hralign="center" o:hrstd="t" o:hr="t"/>
        </w:pict>
      </w:r>
    </w:p>
    <w:p>
      <w:r>
        <w:br w:type="page"/>
      </w:r>
    </w:p>
    <w:bookmarkEnd w:id="96"/>
    <w:bookmarkStart w:id="100" w:name="iowa-the-perfect-words-the-missing-guard"/>
    <w:p>
      <w:pPr>
        <w:pStyle w:val="Heading2"/>
      </w:pPr>
      <w:r>
        <w:t xml:space="preserve">Iowa — The Perfect Words, the Missing Guard</w:t>
      </w:r>
    </w:p>
    <w:p>
      <w:pPr>
        <w:pStyle w:val="FirstParagraph"/>
      </w:pPr>
      <w:r>
        <w:drawing>
          <wp:inline>
            <wp:extent cx="731520" cy="853135"/>
            <wp:effectExtent b="0" l="0" r="0" t="0"/>
            <wp:docPr descr="QRFLOAT" title="" id="98" name="Picture"/>
            <a:graphic>
              <a:graphicData uri="http://schemas.openxmlformats.org/drawingml/2006/picture">
                <pic:pic>
                  <pic:nvPicPr>
                    <pic:cNvPr descr="C:/Users/drdav/My%20Drive/Claude%20Cowork/_tools/_web_cache/qr_us-ia_d210f6422888_1200x_q90.jpg" id="99" name="Picture"/>
                    <pic:cNvPicPr>
                      <a:picLocks noChangeArrowheads="1" noChangeAspect="1"/>
                    </pic:cNvPicPr>
                  </pic:nvPicPr>
                  <pic:blipFill>
                    <a:blip r:embed="rId9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bCs/>
        </w:rPr>
        <w:t xml:space="preserve">Telling fact:</w:t>
      </w:r>
      <w:r>
        <w:t xml:space="preserve"> </w:t>
      </w:r>
      <w:r>
        <w:t xml:space="preserve">Iowa’s 1857 constitution declared the school fund</w:t>
      </w:r>
      <w:r>
        <w:t xml:space="preserve"> </w:t>
      </w:r>
      <w:r>
        <w:t xml:space="preserve">“perpetual”</w:t>
      </w:r>
      <w:r>
        <w:t xml:space="preserve"> </w:t>
      </w:r>
      <w:r>
        <w:t xml:space="preserve">and its income</w:t>
      </w:r>
      <w:r>
        <w:t xml:space="preserve"> </w:t>
      </w:r>
      <w:r>
        <w:t xml:space="preserve">“inviolably appropriated”</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“inviolably appropriated to the support of common schools throughout the State.”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iCs/>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iCs/>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bCs/>
        </w:rPr>
        <w:t xml:space="preserve">Then→now:</w:t>
      </w:r>
      <w:r>
        <w:t xml:space="preserve"> </w:t>
      </w:r>
      <w:r>
        <w:t xml:space="preserve">About a million acres and</w:t>
      </w:r>
      <w:r>
        <w:t xml:space="preserve"> </w:t>
      </w:r>
      <w:r>
        <w:t xml:space="preserve">“inviolable”</w:t>
      </w:r>
      <w:r>
        <w:t xml:space="preserve"> </w:t>
      </w:r>
      <w:r>
        <w:t xml:space="preserve">constitutional language → a $7.5-million residue whose interest no longer reaches a common school directly.</w:t>
      </w:r>
    </w:p>
    <w:p>
      <w:pPr>
        <w:pStyle w:val="BodyText"/>
      </w:pPr>
      <w:r>
        <w:rPr>
          <w:b/>
          <w:bCs/>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iCs/>
        </w:rPr>
        <w:t xml:space="preserve">Sources/notes:</w:t>
      </w:r>
      <w:r>
        <w:t xml:space="preserve"> </w:t>
      </w:r>
      <w:r>
        <w:t xml:space="preserve">Supplemental Act of Mar. 3, 1845, 5 Stat. 789; Act of Dec. 28, 1846, 9 Stat. 117; Iowa Const. art. IX (2d) § 3;</w:t>
      </w:r>
      <w:r>
        <w:t xml:space="preserve"> </w:t>
      </w:r>
      <w:r>
        <w:rPr>
          <w:i/>
          <w:iCs/>
        </w:rPr>
        <w:t xml:space="preserve">Corbin v. County of Black Hawk</w:t>
      </w:r>
      <w:r>
        <w:t xml:space="preserve"> </w:t>
      </w:r>
      <w:r>
        <w:t xml:space="preserve">(1881);</w:t>
      </w:r>
      <w:r>
        <w:t xml:space="preserve"> </w:t>
      </w:r>
      <w:r>
        <w:rPr>
          <w:i/>
          <w:iCs/>
        </w:rPr>
        <w:t xml:space="preserve">King v. State</w:t>
      </w:r>
      <w:r>
        <w:t xml:space="preserve"> </w:t>
      </w:r>
      <w:r>
        <w:t xml:space="preserve">(2012); Iowa Code §§ 257B.1B, 257B.15; Iowa LFB report (1997).</w:t>
      </w:r>
    </w:p>
    <w:p>
      <w:r>
        <w:pict>
          <v:rect style="width:0;height:1.5pt" o:hralign="center" o:hrstd="t" o:hr="t"/>
        </w:pict>
      </w:r>
    </w:p>
    <w:p>
      <w:r>
        <w:br w:type="page"/>
      </w:r>
    </w:p>
    <w:bookmarkEnd w:id="100"/>
    <w:bookmarkStart w:id="104" w:name="kansas-the-long-lawful-hollowing"/>
    <w:p>
      <w:pPr>
        <w:pStyle w:val="Heading2"/>
      </w:pPr>
      <w:r>
        <w:t xml:space="preserve">Kansas — The Long, Lawful Hollowing</w:t>
      </w:r>
    </w:p>
    <w:p>
      <w:pPr>
        <w:pStyle w:val="FirstParagraph"/>
      </w:pPr>
      <w:r>
        <w:drawing>
          <wp:inline>
            <wp:extent cx="731520" cy="853135"/>
            <wp:effectExtent b="0" l="0" r="0" t="0"/>
            <wp:docPr descr="QRFLOAT" title="" id="102" name="Picture"/>
            <a:graphic>
              <a:graphicData uri="http://schemas.openxmlformats.org/drawingml/2006/picture">
                <pic:pic>
                  <pic:nvPicPr>
                    <pic:cNvPr descr="C:/Users/drdav/My%20Drive/Claude%20Cowork/_tools/_web_cache/qr_us-ks_0b77f6a414bb_1200x_q90.jpg" id="103" name="Picture"/>
                    <pic:cNvPicPr>
                      <a:picLocks noChangeArrowheads="1" noChangeAspect="1"/>
                    </pic:cNvPicPr>
                  </pic:nvPicPr>
                  <pic:blipFill>
                    <a:blip r:embed="rId101"/>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bCs/>
        </w:rPr>
        <w:t xml:space="preserve">Telling fact:</w:t>
      </w:r>
      <w:r>
        <w:t xml:space="preserve"> </w:t>
      </w:r>
      <w:r>
        <w:t xml:space="preserve">A fund the 1859 constitution declared</w:t>
      </w:r>
      <w:r>
        <w:t xml:space="preserve"> </w:t>
      </w:r>
      <w:r>
        <w:t xml:space="preserve">“inviolate”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“irrevocable without United States consent.”</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iCs/>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“both as to principal and income.”</w:t>
      </w:r>
      <w:r>
        <w:t xml:space="preserve"> </w:t>
      </w:r>
      <w:r>
        <w:t xml:space="preserve">And a modern statute, K.S.A. 72-5129, flatly</w:t>
      </w:r>
      <w:r>
        <w:t xml:space="preserve"> </w:t>
      </w:r>
      <w:r>
        <w:t xml:space="preserve">“abolishes”</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bCs/>
        </w:rPr>
        <w:t xml:space="preserve">Then→now:</w:t>
      </w:r>
      <w:r>
        <w:t xml:space="preserve"> </w:t>
      </w:r>
      <w:r>
        <w:t xml:space="preserve">2.9 million acres and an</w:t>
      </w:r>
      <w:r>
        <w:t xml:space="preserve"> </w:t>
      </w:r>
      <w:r>
        <w:t xml:space="preserve">“inviolate”</w:t>
      </w:r>
      <w:r>
        <w:t xml:space="preserve"> </w:t>
      </w:r>
      <w:r>
        <w:t xml:space="preserve">fund → no meaningful retained land and a permanent fund legally abolished as a separate thing.</w:t>
      </w:r>
    </w:p>
    <w:p>
      <w:pPr>
        <w:pStyle w:val="BodyText"/>
      </w:pPr>
      <w:r>
        <w:rPr>
          <w:b/>
          <w:bCs/>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“Drift,”</w:t>
      </w:r>
      <w:r>
        <w:t xml:space="preserve"> </w:t>
      </w:r>
      <w:r>
        <w:t xml:space="preserve">and Ch. 6, the trustee lesson.)</w:t>
      </w:r>
      <w:r>
        <w:t xml:space="preserve"> </w:t>
      </w:r>
      <w:r>
        <w:rPr>
          <w:i/>
          <w:iCs/>
        </w:rPr>
        <w:t xml:space="preserve">Sources/notes:</w:t>
      </w:r>
      <w:r>
        <w:t xml:space="preserve"> </w:t>
      </w:r>
      <w:r>
        <w:t xml:space="preserve">Kansas Admission Act, 12 Stat. 126;</w:t>
      </w:r>
      <w:r>
        <w:t xml:space="preserve"> </w:t>
      </w:r>
      <w:r>
        <w:rPr>
          <w:i/>
          <w:iCs/>
        </w:rPr>
        <w:t xml:space="preserve">Missouri, K. &amp; T. Ry. Co. v. Roberts</w:t>
      </w:r>
      <w:r>
        <w:t xml:space="preserve">, 152 U.S. 114 (1894); Kan. Const. art. 6 (1859 original; 1966 § 7(c) amendment); K.S.A. 72-1507, 72-1534, 72-5129.</w:t>
      </w:r>
    </w:p>
    <w:p>
      <w:r>
        <w:pict>
          <v:rect style="width:0;height:1.5pt" o:hralign="center" o:hrstd="t" o:hr="t"/>
        </w:pict>
      </w:r>
    </w:p>
    <w:p>
      <w:r>
        <w:br w:type="page"/>
      </w:r>
    </w:p>
    <w:bookmarkEnd w:id="104"/>
    <w:bookmarkStart w:id="108" w:name="X83044b400eb6aabc0e2cdb9d8f2048089f40e85"/>
    <w:p>
      <w:pPr>
        <w:pStyle w:val="Heading2"/>
      </w:pPr>
      <w:r>
        <w:t xml:space="preserve">Louisiana — The Township Grant That Lives in the Parishes</w:t>
      </w:r>
    </w:p>
    <w:p>
      <w:pPr>
        <w:pStyle w:val="FirstParagraph"/>
      </w:pPr>
      <w:r>
        <w:drawing>
          <wp:inline>
            <wp:extent cx="731520" cy="853135"/>
            <wp:effectExtent b="0" l="0" r="0" t="0"/>
            <wp:docPr descr="QRFLOAT" title="" id="106" name="Picture"/>
            <a:graphic>
              <a:graphicData uri="http://schemas.openxmlformats.org/drawingml/2006/picture">
                <pic:pic>
                  <pic:nvPicPr>
                    <pic:cNvPr descr="C:/Users/drdav/My%20Drive/Claude%20Cowork/_tools/_web_cache/qr_us-la_fe1a1d0b8644_1200x_q90.jpg" id="107" name="Picture"/>
                    <pic:cNvPicPr>
                      <a:picLocks noChangeArrowheads="1" noChangeAspect="1"/>
                    </pic:cNvPicPr>
                  </pic:nvPicPr>
                  <pic:blipFill>
                    <a:blip r:embed="rId10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bCs/>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iCs/>
        </w:rPr>
        <w:t xml:space="preserve">Humble Oil</w:t>
      </w:r>
      <w:r>
        <w:t xml:space="preserve"> </w:t>
      </w:r>
      <w:r>
        <w:t xml:space="preserve">(1940) kept the school-land regime from being swallowed by ordinary state mineral administration.</w:t>
      </w:r>
      <w:r>
        <w:t xml:space="preserve"> </w:t>
      </w:r>
      <w:r>
        <w:rPr>
          <w:i/>
          <w:iCs/>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“8(g)”</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bCs/>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bCs/>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“Drift”</w:t>
      </w:r>
      <w:r>
        <w:t xml:space="preserve"> </w:t>
      </w:r>
      <w:r>
        <w:t xml:space="preserve">and the title-cure box.)</w:t>
      </w:r>
      <w:r>
        <w:t xml:space="preserve"> </w:t>
      </w:r>
      <w:r>
        <w:rPr>
          <w:i/>
          <w:iCs/>
        </w:rPr>
        <w:t xml:space="preserve">Sources/notes:</w:t>
      </w:r>
      <w:r>
        <w:t xml:space="preserve"> </w:t>
      </w:r>
      <w:r>
        <w:t xml:space="preserve">Act of Apr. 8, 1812, 2 Stat. 701; Acts of 1806 (2 Stat. 391) &amp; 1811 (2 Stat. 662); La. R.S. 41:1323.1 (Act 323 of 1946);</w:t>
      </w:r>
      <w:r>
        <w:t xml:space="preserve"> </w:t>
      </w:r>
      <w:r>
        <w:rPr>
          <w:i/>
          <w:iCs/>
        </w:rPr>
        <w:t xml:space="preserve">State v. Humble Oil</w:t>
      </w:r>
      <w:r>
        <w:t xml:space="preserve"> </w:t>
      </w:r>
      <w:r>
        <w:t xml:space="preserve">(1940);</w:t>
      </w:r>
      <w:r>
        <w:t xml:space="preserve"> </w:t>
      </w:r>
      <w:r>
        <w:rPr>
          <w:i/>
          <w:iCs/>
        </w:rPr>
        <w:t xml:space="preserve">Cacioppo</w:t>
      </w:r>
      <w:r>
        <w:t xml:space="preserve"> </w:t>
      </w:r>
      <w:r>
        <w:t xml:space="preserve">(1981); Plaquemines Parish line (1992–2012); La. Const. art. VII § 10.1 (8(g) fund, 1987).</w:t>
      </w:r>
    </w:p>
    <w:p>
      <w:r>
        <w:pict>
          <v:rect style="width:0;height:1.5pt" o:hralign="center" o:hrstd="t" o:hr="t"/>
        </w:pict>
      </w:r>
    </w:p>
    <w:p>
      <w:r>
        <w:br w:type="page"/>
      </w:r>
    </w:p>
    <w:bookmarkEnd w:id="108"/>
    <w:bookmarkStart w:id="112" w:name="X81cdef5f8454e4013ec0be0927c2f564d36841d"/>
    <w:p>
      <w:pPr>
        <w:pStyle w:val="Heading2"/>
      </w:pPr>
      <w:r>
        <w:t xml:space="preserve">Michigan — The Headwater That Drained Its Own Well</w:t>
      </w:r>
    </w:p>
    <w:p>
      <w:pPr>
        <w:pStyle w:val="FirstParagraph"/>
      </w:pPr>
      <w:r>
        <w:drawing>
          <wp:inline>
            <wp:extent cx="731520" cy="853135"/>
            <wp:effectExtent b="0" l="0" r="0" t="0"/>
            <wp:docPr descr="QRFLOAT" title="" id="110" name="Picture"/>
            <a:graphic>
              <a:graphicData uri="http://schemas.openxmlformats.org/drawingml/2006/picture">
                <pic:pic>
                  <pic:nvPicPr>
                    <pic:cNvPr descr="C:/Users/drdav/My%20Drive/Claude%20Cowork/_tools/_web_cache/qr_us-mi_192f04eb9556_1200x_q90.jpg" id="111" name="Picture"/>
                    <pic:cNvPicPr>
                      <a:picLocks noChangeArrowheads="1" noChangeAspect="1"/>
                    </pic:cNvPicPr>
                  </pic:nvPicPr>
                  <pic:blipFill>
                    <a:blip r:embed="rId10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bCs/>
        </w:rPr>
        <w:t xml:space="preserve">Telling fact:</w:t>
      </w:r>
      <w:r>
        <w:t xml:space="preserve"> </w:t>
      </w:r>
      <w:r>
        <w:t xml:space="preserve">Michigan is where the U.S. Supreme Court first called a school-land grant a</w:t>
      </w:r>
      <w:r>
        <w:t xml:space="preserve"> </w:t>
      </w:r>
      <w:r>
        <w:t xml:space="preserve">“sacred obligation”</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iCs/>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“a sacred obligation imposed on its public faith.”</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iCs/>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“the Michigan Plan.”</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“to provide for the use of the proceeds of the sale of educational lands in defraying the expenses of the state government.”</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bCs/>
        </w:rPr>
        <w:t xml:space="preserve">Then→now:</w:t>
      </w:r>
      <w:r>
        <w:t xml:space="preserve"> </w:t>
      </w:r>
      <w:r>
        <w:t xml:space="preserve">A timber-and-copper school-land endowment → a residual fund, with K-12 now funded by a sales-tax-backed School Aid Fund instead.</w:t>
      </w:r>
    </w:p>
    <w:p>
      <w:pPr>
        <w:pStyle w:val="BodyText"/>
      </w:pPr>
      <w:r>
        <w:rPr>
          <w:b/>
          <w:bCs/>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“Directed seizure,”</w:t>
      </w:r>
      <w:r>
        <w:t xml:space="preserve"> </w:t>
      </w:r>
      <w:r>
        <w:t xml:space="preserve">and Ch. 5.)</w:t>
      </w:r>
      <w:r>
        <w:t xml:space="preserve"> </w:t>
      </w:r>
      <w:r>
        <w:rPr>
          <w:i/>
          <w:iCs/>
        </w:rPr>
        <w:t xml:space="preserve">Sources/notes:</w:t>
      </w:r>
      <w:r>
        <w:t xml:space="preserve"> </w:t>
      </w:r>
      <w:r>
        <w:rPr>
          <w:i/>
          <w:iCs/>
        </w:rPr>
        <w:t xml:space="preserve">Cooper v. Roberts</w:t>
      </w:r>
      <w:r>
        <w:t xml:space="preserve">, 59 U.S. 173 (1855); Act of June 23, 1836, 5 Stat. 59; Mich. Const. of 1835 art. X; 1875 Public Act 22 (Mich. Legislature confirms purpose;</w:t>
      </w:r>
      <w:r>
        <w:t xml:space="preserve"> </w:t>
      </w:r>
      <w:r>
        <w:rPr>
          <w:i/>
          <w:iCs/>
        </w:rPr>
        <w:t xml:space="preserve">Milliken v. Green</w:t>
      </w:r>
      <w:r>
        <w:t xml:space="preserve"> </w:t>
      </w:r>
      <w:r>
        <w:t xml:space="preserve">historical narrative, vacated); Mich. Const. of 1963 art. VIII § 1, art. IX § 11.</w:t>
      </w:r>
    </w:p>
    <w:p>
      <w:r>
        <w:pict>
          <v:rect style="width:0;height:1.5pt" o:hralign="center" o:hrstd="t" o:hr="t"/>
        </w:pict>
      </w:r>
    </w:p>
    <w:p>
      <w:r>
        <w:br w:type="page"/>
      </w:r>
    </w:p>
    <w:bookmarkEnd w:id="112"/>
    <w:bookmarkStart w:id="116" w:name="X6710939c407c7a14552c3629bd2dac407f9d302"/>
    <w:p>
      <w:pPr>
        <w:pStyle w:val="Heading2"/>
      </w:pPr>
      <w:r>
        <w:t xml:space="preserve">Minnesota — The State That Copied the Template First, and Kept the Most</w:t>
      </w:r>
    </w:p>
    <w:p>
      <w:pPr>
        <w:pStyle w:val="FirstParagraph"/>
      </w:pPr>
      <w:r>
        <w:drawing>
          <wp:inline>
            <wp:extent cx="731520" cy="853135"/>
            <wp:effectExtent b="0" l="0" r="0" t="0"/>
            <wp:docPr descr="QRFLOAT" title="" id="114" name="Picture"/>
            <a:graphic>
              <a:graphicData uri="http://schemas.openxmlformats.org/drawingml/2006/picture">
                <pic:pic>
                  <pic:nvPicPr>
                    <pic:cNvPr descr="C:/Users/drdav/My%20Drive/Claude%20Cowork/_tools/_web_cache/qr_us-mn_3abe4aef3cc3_1200x_q90.jpg" id="115" name="Picture"/>
                    <pic:cNvPicPr>
                      <a:picLocks noChangeArrowheads="1" noChangeAspect="1"/>
                    </pic:cNvPicPr>
                  </pic:nvPicPr>
                  <pic:blipFill>
                    <a:blip r:embed="rId113"/>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bCs/>
        </w:rPr>
        <w:t xml:space="preserve">Telling fact:</w:t>
      </w:r>
      <w:r>
        <w:t xml:space="preserve"> </w:t>
      </w:r>
      <w:r>
        <w:t xml:space="preserve">The</w:t>
      </w:r>
      <w:r>
        <w:t xml:space="preserve"> </w:t>
      </w:r>
      <w:r>
        <w:t xml:space="preserve">“doubled grant”</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iCs/>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“friendly”</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“net interest and dividends,”</w:t>
      </w:r>
      <w:r>
        <w:t xml:space="preserve"> </w:t>
      </w:r>
      <w:r>
        <w:t xml:space="preserve">which holds distributions near 2.5 percent. A constitutional amendment carried by Sen. Mary Kunesh (HF 3900) to shift to a 4.5-percent total-return model is now</w:t>
      </w:r>
      <w:r>
        <w:t xml:space="preserve"> </w:t>
      </w:r>
      <w:r>
        <w:rPr>
          <w:b/>
          <w:bCs/>
        </w:rPr>
        <w:t xml:space="preserve">approved for the November 2026 ballot</w:t>
      </w:r>
      <w:r>
        <w:t xml:space="preserve">; if it passes it would roughly double near-term distributions.</w:t>
      </w:r>
    </w:p>
    <w:p>
      <w:pPr>
        <w:pStyle w:val="BodyText"/>
      </w:pPr>
      <w:r>
        <w:rPr>
          <w:b/>
          <w:bCs/>
        </w:rPr>
        <w:t xml:space="preserve">Then→now:</w:t>
      </w:r>
      <w:r>
        <w:t xml:space="preserve"> </w:t>
      </w:r>
      <w:r>
        <w:t xml:space="preserve">A speculator’s iron grab averted in 1889 → iron royalties that built most of a roughly $2.3 billion fund as of 2025.</w:t>
      </w:r>
    </w:p>
    <w:p>
      <w:pPr>
        <w:pStyle w:val="BodyText"/>
      </w:pPr>
      <w:r>
        <w:rPr>
          <w:b/>
          <w:bCs/>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“Kept &amp; Rebuilt.”</w:t>
      </w:r>
      <w:r>
        <w:t xml:space="preserve">)</w:t>
      </w:r>
      <w:r>
        <w:t xml:space="preserve"> </w:t>
      </w:r>
      <w:r>
        <w:rPr>
          <w:i/>
          <w:iCs/>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r>
        <w:br w:type="page"/>
      </w:r>
    </w:p>
    <w:bookmarkEnd w:id="116"/>
    <w:bookmarkStart w:id="120" w:name="mississippi-the-trust-leased-for-7.50"/>
    <w:p>
      <w:pPr>
        <w:pStyle w:val="Heading2"/>
      </w:pPr>
      <w:r>
        <w:t xml:space="preserve">Mississippi — The Trust Leased for $7.50</w:t>
      </w:r>
    </w:p>
    <w:p>
      <w:pPr>
        <w:pStyle w:val="FirstParagraph"/>
      </w:pPr>
      <w:r>
        <w:drawing>
          <wp:inline>
            <wp:extent cx="731520" cy="853135"/>
            <wp:effectExtent b="0" l="0" r="0" t="0"/>
            <wp:docPr descr="QRFLOAT" title="" id="118" name="Picture"/>
            <a:graphic>
              <a:graphicData uri="http://schemas.openxmlformats.org/drawingml/2006/picture">
                <pic:pic>
                  <pic:nvPicPr>
                    <pic:cNvPr descr="C:/Users/drdav/My%20Drive/Claude%20Cowork/_tools/_web_cache/qr_us-ms_cf68bcedb4be_1200x_q90.jpg" id="119" name="Picture"/>
                    <pic:cNvPicPr>
                      <a:picLocks noChangeArrowheads="1" noChangeAspect="1"/>
                    </pic:cNvPicPr>
                  </pic:nvPicPr>
                  <pic:blipFill>
                    <a:blip r:embed="rId11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bCs/>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iCs/>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iCs/>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iCs/>
        </w:rPr>
        <w:t xml:space="preserve">State ex rel. Kyle v. Dear</w:t>
      </w:r>
      <w:r>
        <w:t xml:space="preserve"> </w:t>
      </w:r>
      <w:r>
        <w:t xml:space="preserve">(1950) through</w:t>
      </w:r>
      <w:r>
        <w:t xml:space="preserve"> </w:t>
      </w:r>
      <w:r>
        <w:rPr>
          <w:i/>
          <w:iCs/>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bCs/>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bCs/>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“A trust, leased for $7.50,”</w:t>
      </w:r>
      <w:r>
        <w:t xml:space="preserve"> </w:t>
      </w:r>
      <w:r>
        <w:t xml:space="preserve">and Ch. 5,</w:t>
      </w:r>
      <w:r>
        <w:t xml:space="preserve"> </w:t>
      </w:r>
      <w:r>
        <w:t xml:space="preserve">“Molpus and the torn-up leases.”</w:t>
      </w:r>
      <w:r>
        <w:t xml:space="preserve">)</w:t>
      </w:r>
      <w:r>
        <w:t xml:space="preserve"> </w:t>
      </w:r>
      <w:r>
        <w:rPr>
          <w:i/>
          <w:iCs/>
        </w:rPr>
        <w:t xml:space="preserve">Sources/notes:</w:t>
      </w:r>
      <w:r>
        <w:t xml:space="preserve"> </w:t>
      </w:r>
      <w:r>
        <w:rPr>
          <w:i/>
          <w:iCs/>
        </w:rPr>
        <w:t xml:space="preserve">Hill v. Thompson</w:t>
      </w:r>
      <w:r>
        <w:t xml:space="preserve">, 564 So. 2d 1 (Miss. 1989);</w:t>
      </w:r>
      <w:r>
        <w:t xml:space="preserve"> </w:t>
      </w:r>
      <w:r>
        <w:rPr>
          <w:i/>
          <w:iCs/>
        </w:rPr>
        <w:t xml:space="preserve">Keys v. Carter</w:t>
      </w:r>
      <w:r>
        <w:t xml:space="preserve">, 318 So. 2d 862 (1975);</w:t>
      </w:r>
      <w:r>
        <w:t xml:space="preserve"> </w:t>
      </w:r>
      <w:r>
        <w:rPr>
          <w:i/>
          <w:iCs/>
        </w:rPr>
        <w:t xml:space="preserve">State ex rel. Kyle v. Dear</w:t>
      </w:r>
      <w:r>
        <w:t xml:space="preserve">, 46 So. 2d 100 (1950); Miss. Const. art. 8 §§ 201, 211; Miss. Sec. of State, Sixteenth Section Lands; On the Molpus reform (about 5,000 leases renegotiated; more than $24 million a year to schools):</w:t>
      </w:r>
      <w:r>
        <w:t xml:space="preserve"> </w:t>
      </w:r>
      <w:r>
        <w:rPr>
          <w:i/>
          <w:iCs/>
        </w:rPr>
        <w:t xml:space="preserve">Mississippi Encyclopedia</w:t>
      </w:r>
      <w:r>
        <w:t xml:space="preserve">,</w:t>
      </w:r>
      <w:r>
        <w:t xml:space="preserve"> </w:t>
      </w:r>
      <w:r>
        <w:t xml:space="preserve">“Sixteenth Section Lands”</w:t>
      </w:r>
      <w:r>
        <w:t xml:space="preserve">; the specific figures remain to be pinned to Mississippi Secretary of State sixteenth-section reports.</w:t>
      </w:r>
    </w:p>
    <w:p>
      <w:r>
        <w:pict>
          <v:rect style="width:0;height:1.5pt" o:hralign="center" o:hrstd="t" o:hr="t"/>
        </w:pict>
      </w:r>
    </w:p>
    <w:p>
      <w:r>
        <w:br w:type="page"/>
      </w:r>
    </w:p>
    <w:bookmarkEnd w:id="120"/>
    <w:bookmarkStart w:id="124" w:name="X62901b0ffd0a892a719f2e0dd2d7769cfc7ffba"/>
    <w:p>
      <w:pPr>
        <w:pStyle w:val="Heading2"/>
      </w:pPr>
      <w:r>
        <w:t xml:space="preserve">Missouri — The Endowment Spent Before the Doctrine Arrived</w:t>
      </w:r>
    </w:p>
    <w:p>
      <w:pPr>
        <w:pStyle w:val="FirstParagraph"/>
      </w:pPr>
      <w:r>
        <w:drawing>
          <wp:inline>
            <wp:extent cx="731520" cy="853135"/>
            <wp:effectExtent b="0" l="0" r="0" t="0"/>
            <wp:docPr descr="QRFLOAT" title="" id="122" name="Picture"/>
            <a:graphic>
              <a:graphicData uri="http://schemas.openxmlformats.org/drawingml/2006/picture">
                <pic:pic>
                  <pic:nvPicPr>
                    <pic:cNvPr descr="C:/Users/drdav/My%20Drive/Claude%20Cowork/_tools/_web_cache/qr_us-mo_dc49ffc0a3de_1200x_q90.jpg" id="123" name="Picture"/>
                    <pic:cNvPicPr>
                      <a:picLocks noChangeArrowheads="1" noChangeAspect="1"/>
                    </pic:cNvPicPr>
                  </pic:nvPicPr>
                  <pic:blipFill>
                    <a:blip r:embed="rId121"/>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bCs/>
        </w:rPr>
        <w:t xml:space="preserve">Telling fact:</w:t>
      </w:r>
      <w:r>
        <w:t xml:space="preserve"> </w:t>
      </w:r>
      <w:r>
        <w:t xml:space="preserve">Congress wrote Missouri’s school sections for</w:t>
      </w:r>
      <w:r>
        <w:t xml:space="preserve"> </w:t>
      </w:r>
      <w:r>
        <w:t xml:space="preserve">“the inhabitants of such township”</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iCs/>
        </w:rPr>
        <w:t xml:space="preserve">Cooper v. Roberts</w:t>
      </w:r>
      <w:r>
        <w:t xml:space="preserve">, the Court decided</w:t>
      </w:r>
      <w:r>
        <w:t xml:space="preserve"> </w:t>
      </w:r>
      <w:r>
        <w:rPr>
          <w:i/>
          <w:iCs/>
        </w:rPr>
        <w:t xml:space="preserve">Ham v. Missouri</w:t>
      </w:r>
      <w:r>
        <w:t xml:space="preserve">, holding that the 1820 Act and Missouri’s acceptance</w:t>
      </w:r>
      <w:r>
        <w:t xml:space="preserve"> </w:t>
      </w:r>
      <w:r>
        <w:t xml:space="preserve">“amounted not merely to a grant for schools”</w:t>
      </w:r>
      <w:r>
        <w:t xml:space="preserve"> </w:t>
      </w:r>
      <w:r>
        <w:t xml:space="preserve">but to</w:t>
      </w:r>
      <w:r>
        <w:t xml:space="preserve"> </w:t>
      </w:r>
      <w:r>
        <w:t xml:space="preserve">“a congressional mandate… dedicating section 16 to that object.”</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iCs/>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iCs/>
        </w:rPr>
        <w:t xml:space="preserve">Reorganized School District No. 7 v. Douthit</w:t>
      </w:r>
      <w:r>
        <w:t xml:space="preserve"> </w:t>
      </w:r>
      <w:r>
        <w:t xml:space="preserve">(1990) the court redirected more than $1 million in drug-forfeiture proceeds from law enforcement to schools;</w:t>
      </w:r>
      <w:r>
        <w:t xml:space="preserve"> </w:t>
      </w:r>
      <w:r>
        <w:rPr>
          <w:i/>
          <w:iCs/>
        </w:rPr>
        <w:t xml:space="preserve">Missouri Gaming Commission</w:t>
      </w:r>
      <w:r>
        <w:t xml:space="preserve"> </w:t>
      </w:r>
      <w:r>
        <w:t xml:space="preserve">(1997) extended the rule to administrative penalties. And in</w:t>
      </w:r>
      <w:r>
        <w:t xml:space="preserve"> </w:t>
      </w:r>
      <w:r>
        <w:rPr>
          <w:i/>
          <w:iCs/>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bCs/>
        </w:rPr>
        <w:t xml:space="preserve">Then→now:</w:t>
      </w:r>
      <w:r>
        <w:t xml:space="preserve"> </w:t>
      </w:r>
      <w:r>
        <w:t xml:space="preserve">A large township endowment → effectively no state-held trust land, with K-12 run on the general-revenue Foundation Formula.</w:t>
      </w:r>
    </w:p>
    <w:p>
      <w:pPr>
        <w:pStyle w:val="BodyText"/>
      </w:pPr>
      <w:r>
        <w:rPr>
          <w:b/>
          <w:bCs/>
        </w:rPr>
        <w:t xml:space="preserve">Lesson:</w:t>
      </w:r>
      <w:r>
        <w:t xml:space="preserve"> </w:t>
      </w:r>
      <w:r>
        <w:t xml:space="preserve">A trust written for</w:t>
      </w:r>
      <w:r>
        <w:t xml:space="preserve"> </w:t>
      </w:r>
      <w:r>
        <w:t xml:space="preserve">“the inhabitants of the township”</w:t>
      </w:r>
      <w:r>
        <w:t xml:space="preserve"> </w:t>
      </w:r>
      <w:r>
        <w:t xml:space="preserve">rather than the state has no fiduciary spine — and a corpus can be spent before the doctrine that would have protected it ever arrives. (See Ch. 2,</w:t>
      </w:r>
      <w:r>
        <w:t xml:space="preserve"> </w:t>
      </w:r>
      <w:r>
        <w:t xml:space="preserve">“Trust Without the Land,”</w:t>
      </w:r>
      <w:r>
        <w:t xml:space="preserve"> </w:t>
      </w:r>
      <w:r>
        <w:t xml:space="preserve">and Ch. 4.)</w:t>
      </w:r>
      <w:r>
        <w:t xml:space="preserve"> </w:t>
      </w:r>
      <w:r>
        <w:rPr>
          <w:i/>
          <w:iCs/>
        </w:rPr>
        <w:t xml:space="preserve">Sources/notes:</w:t>
      </w:r>
      <w:r>
        <w:t xml:space="preserve"> </w:t>
      </w:r>
      <w:r>
        <w:t xml:space="preserve">Missouri Enabling Act, Act of Mar. 6, 1820, § 6, 3 Stat. 545;</w:t>
      </w:r>
      <w:r>
        <w:t xml:space="preserve"> </w:t>
      </w:r>
      <w:r>
        <w:rPr>
          <w:i/>
          <w:iCs/>
        </w:rPr>
        <w:t xml:space="preserve">Ham v. Missouri</w:t>
      </w:r>
      <w:r>
        <w:t xml:space="preserve">, 59 U.S. 126 (1855); Mo. Const. art. IX §§ 3(a), 5, 7;</w:t>
      </w:r>
      <w:r>
        <w:t xml:space="preserve"> </w:t>
      </w:r>
      <w:r>
        <w:rPr>
          <w:i/>
          <w:iCs/>
        </w:rPr>
        <w:t xml:space="preserve">State ex rel. Sch. Dist. of Fulton v. Davis</w:t>
      </w:r>
      <w:r>
        <w:t xml:space="preserve">, 236 S.W.2d 301 (1951);</w:t>
      </w:r>
      <w:r>
        <w:t xml:space="preserve"> </w:t>
      </w:r>
      <w:r>
        <w:rPr>
          <w:i/>
          <w:iCs/>
        </w:rPr>
        <w:t xml:space="preserve">Reorganized Sch. Dist. No. 7 v. Douthit</w:t>
      </w:r>
      <w:r>
        <w:t xml:space="preserve">, 799 S.W.2d 591 (1990);</w:t>
      </w:r>
      <w:r>
        <w:t xml:space="preserve"> </w:t>
      </w:r>
      <w:r>
        <w:rPr>
          <w:i/>
          <w:iCs/>
        </w:rPr>
        <w:t xml:space="preserve">Comm. for Educ. Equality v. State</w:t>
      </w:r>
      <w:r>
        <w:t xml:space="preserve">, 294 S.W.3d 477 (2009).</w:t>
      </w:r>
    </w:p>
    <w:p>
      <w:r>
        <w:pict>
          <v:rect style="width:0;height:1.5pt" o:hralign="center" o:hrstd="t" o:hr="t"/>
        </w:pict>
      </w:r>
    </w:p>
    <w:p>
      <w:r>
        <w:br w:type="page"/>
      </w:r>
    </w:p>
    <w:bookmarkEnd w:id="124"/>
    <w:bookmarkStart w:id="128" w:name="Xc6b33afe690ee8db417a55617b2908fd8ed6d25"/>
    <w:p>
      <w:pPr>
        <w:pStyle w:val="Heading2"/>
      </w:pPr>
      <w:r>
        <w:t xml:space="preserve">Montana — The State House That Gave the Trust a Voice</w:t>
      </w:r>
    </w:p>
    <w:p>
      <w:pPr>
        <w:pStyle w:val="FirstParagraph"/>
      </w:pPr>
      <w:r>
        <w:drawing>
          <wp:inline>
            <wp:extent cx="731520" cy="853135"/>
            <wp:effectExtent b="0" l="0" r="0" t="0"/>
            <wp:docPr descr="QRFLOAT" title="" id="126" name="Picture"/>
            <a:graphic>
              <a:graphicData uri="http://schemas.openxmlformats.org/drawingml/2006/picture">
                <pic:pic>
                  <pic:nvPicPr>
                    <pic:cNvPr descr="C:/Users/drdav/My%20Drive/Claude%20Cowork/_tools/_web_cache/qr_us-mt_9f972ce6d2a2_1200x_q90.jpg" id="127" name="Picture"/>
                    <pic:cNvPicPr>
                      <a:picLocks noChangeArrowheads="1" noChangeAspect="1"/>
                    </pic:cNvPicPr>
                  </pic:nvPicPr>
                  <pic:blipFill>
                    <a:blip r:embed="rId12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bCs/>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compact text that admitted four states at once. Congress had not yet written the explicit restoration-and-enforcement machinery it would later use for New Mexico and Arizona. The duty still came with the grant; the practical force in Montana came from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“guaranteed by the state against loss or diversion,”</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iCs/>
        </w:rPr>
        <w:t xml:space="preserve">State v. Stewart</w:t>
      </w:r>
      <w:r>
        <w:t xml:space="preserve"> </w:t>
      </w:r>
      <w:r>
        <w:t xml:space="preserve">(1913), demanding</w:t>
      </w:r>
      <w:r>
        <w:t xml:space="preserve"> </w:t>
      </w:r>
      <w:r>
        <w:t xml:space="preserve">“the largest legitimate advantage”</w:t>
      </w:r>
      <w:r>
        <w:t xml:space="preserve"> </w:t>
      </w:r>
      <w:r>
        <w:t xml:space="preserve">for the beneficiary, the line runs through</w:t>
      </w:r>
      <w:r>
        <w:t xml:space="preserve"> </w:t>
      </w:r>
      <w:r>
        <w:rPr>
          <w:i/>
          <w:iCs/>
        </w:rPr>
        <w:t xml:space="preserve">MonTRUST</w:t>
      </w:r>
      <w:r>
        <w:t xml:space="preserve"> </w:t>
      </w:r>
      <w:r>
        <w:t xml:space="preserve">(1999) — which struck down eleven statutes and reaffirmed that the Legislature cannot legislate around the Board’s full-market-value duty — to</w:t>
      </w:r>
      <w:r>
        <w:t xml:space="preserve"> </w:t>
      </w:r>
      <w:r>
        <w:rPr>
          <w:i/>
          <w:iCs/>
        </w:rPr>
        <w:t xml:space="preserve">Schutter</w:t>
      </w:r>
      <w:r>
        <w:t xml:space="preserve"> </w:t>
      </w:r>
      <w:r>
        <w:t xml:space="preserve">(2024), which protected trust-associated water rights even where the diversion point sat on private land. The one big defeat came from above: in</w:t>
      </w:r>
      <w:r>
        <w:t xml:space="preserve"> </w:t>
      </w:r>
      <w:r>
        <w:rPr>
          <w:i/>
          <w:iCs/>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“absolute duty”</w:t>
      </w:r>
      <w:r>
        <w:t xml:space="preserve"> </w:t>
      </w:r>
      <w:r>
        <w:t xml:space="preserve">to charge fair value regardless of the statutory formula.</w:t>
      </w:r>
    </w:p>
    <w:p>
      <w:pPr>
        <w:pStyle w:val="BodyText"/>
      </w:pPr>
      <w:r>
        <w:rPr>
          <w:b/>
          <w:bCs/>
        </w:rPr>
        <w:t xml:space="preserve">Pull-quote:</w:t>
      </w:r>
      <w:r>
        <w:t xml:space="preserve"> </w:t>
      </w:r>
      <w:r>
        <w:rPr>
          <w:i/>
          <w:iCs/>
        </w:rPr>
        <w:t xml:space="preserve">The Land Board,</w:t>
      </w:r>
      <w:r>
        <w:rPr>
          <w:i/>
          <w:iCs/>
        </w:rPr>
        <w:t xml:space="preserve"> </w:t>
      </w:r>
      <w:r>
        <w:rPr>
          <w:i/>
          <w:iCs/>
        </w:rPr>
        <w:t xml:space="preserve">“as the instrumentality administering the school trust,”</w:t>
      </w:r>
      <w:r>
        <w:rPr>
          <w:i/>
          <w:iCs/>
        </w:rPr>
        <w:t xml:space="preserve"> </w:t>
      </w:r>
      <w:r>
        <w:rPr>
          <w:i/>
          <w:iCs/>
        </w:rPr>
        <w:t xml:space="preserve">must secure</w:t>
      </w:r>
      <w:r>
        <w:rPr>
          <w:i/>
          <w:iCs/>
        </w:rPr>
        <w:t xml:space="preserve"> </w:t>
      </w:r>
      <w:r>
        <w:rPr>
          <w:i/>
          <w:iCs/>
        </w:rPr>
        <w:t xml:space="preserve">“the largest legitimate advantage”</w:t>
      </w:r>
      <w:r>
        <w:rPr>
          <w:i/>
          <w:iCs/>
        </w:rPr>
        <w:t xml:space="preserve"> </w:t>
      </w:r>
      <w:r>
        <w:rPr>
          <w:i/>
          <w:iCs/>
        </w:rPr>
        <w:t xml:space="preserve">to the beneficiary. — State v. Stewart (1913)</w:t>
      </w:r>
    </w:p>
    <w:p>
      <w:pPr>
        <w:pStyle w:val="BodyText"/>
      </w:pPr>
      <w:r>
        <w:rPr>
          <w:b/>
          <w:bCs/>
        </w:rPr>
        <w:t xml:space="preserve">Lesson:</w:t>
      </w:r>
      <w:r>
        <w:t xml:space="preserve"> </w:t>
      </w:r>
      <w:r>
        <w:t xml:space="preserve">A trust survives better when a strong state constitution, an enforceable fiduciary standard, and a beneficiary’s officer sit in the same room. (See Ch. 5 and Ch. 6,</w:t>
      </w:r>
      <w:r>
        <w:t xml:space="preserve"> </w:t>
      </w:r>
      <w:r>
        <w:t xml:space="preserve">“Charter the adversary.”</w:t>
      </w:r>
      <w:r>
        <w:t xml:space="preserve">)</w:t>
      </w:r>
      <w:r>
        <w:t xml:space="preserve"> </w:t>
      </w:r>
      <w:r>
        <w:rPr>
          <w:i/>
          <w:iCs/>
        </w:rPr>
        <w:t xml:space="preserve">Sources/notes:</w:t>
      </w:r>
      <w:r>
        <w:t xml:space="preserve"> </w:t>
      </w:r>
      <w:r>
        <w:rPr>
          <w:i/>
          <w:iCs/>
        </w:rPr>
        <w:t xml:space="preserve">Schutter v. Bd. of Land Comm’rs</w:t>
      </w:r>
      <w:r>
        <w:t xml:space="preserve">, 2024 MT 88; Omnibus Enabling Act, Act of Feb. 22, 1889, § 10, 25 Stat. 676; Mont. Const. art. X §§ 2, 4, 5, 11;</w:t>
      </w:r>
      <w:r>
        <w:t xml:space="preserve"> </w:t>
      </w:r>
      <w:r>
        <w:rPr>
          <w:i/>
          <w:iCs/>
        </w:rPr>
        <w:t xml:space="preserve">State v. Stewart</w:t>
      </w:r>
      <w:r>
        <w:t xml:space="preserve">, 48 Mont. 347 (1913);</w:t>
      </w:r>
      <w:r>
        <w:t xml:space="preserve"> </w:t>
      </w:r>
      <w:r>
        <w:rPr>
          <w:i/>
          <w:iCs/>
        </w:rPr>
        <w:t xml:space="preserve">Montanans for the Responsible Use of the School Trust v. State</w:t>
      </w:r>
      <w:r>
        <w:t xml:space="preserve">, 1999 MT 263;</w:t>
      </w:r>
      <w:r>
        <w:t xml:space="preserve"> </w:t>
      </w:r>
      <w:r>
        <w:rPr>
          <w:i/>
          <w:iCs/>
        </w:rPr>
        <w:t xml:space="preserve">Schutter v. Bd. of Land Comm’rs</w:t>
      </w:r>
      <w:r>
        <w:t xml:space="preserve">, 2024 MT 88;</w:t>
      </w:r>
      <w:r>
        <w:t xml:space="preserve"> </w:t>
      </w:r>
      <w:r>
        <w:rPr>
          <w:i/>
          <w:iCs/>
        </w:rPr>
        <w:t xml:space="preserve">PPL Montana, LLC v. Montana</w:t>
      </w:r>
      <w:r>
        <w:t xml:space="preserve">, 565 U.S. 576 (2012); DNRC FY25 Return on Assets Report.</w:t>
      </w:r>
    </w:p>
    <w:p>
      <w:r>
        <w:pict>
          <v:rect style="width:0;height:1.5pt" o:hralign="center" o:hrstd="t" o:hr="t"/>
        </w:pict>
      </w:r>
    </w:p>
    <w:p>
      <w:r>
        <w:br w:type="page"/>
      </w:r>
    </w:p>
    <w:bookmarkEnd w:id="128"/>
    <w:bookmarkStart w:id="132" w:name="X868a68d06ba98bcc88838ee4b469447829f0532"/>
    <w:p>
      <w:pPr>
        <w:pStyle w:val="Heading2"/>
      </w:pPr>
      <w:r>
        <w:t xml:space="preserve">Nebraska — Strong Pillars, Quiet Enforcement</w:t>
      </w:r>
    </w:p>
    <w:p>
      <w:pPr>
        <w:pStyle w:val="FirstParagraph"/>
      </w:pPr>
      <w:r>
        <w:drawing>
          <wp:inline>
            <wp:extent cx="731520" cy="853135"/>
            <wp:effectExtent b="0" l="0" r="0" t="0"/>
            <wp:docPr descr="QRFLOAT" title="" id="130" name="Picture"/>
            <a:graphic>
              <a:graphicData uri="http://schemas.openxmlformats.org/drawingml/2006/picture">
                <pic:pic>
                  <pic:nvPicPr>
                    <pic:cNvPr descr="C:/Users/drdav/My%20Drive/Claude%20Cowork/_tools/_web_cache/qr_us-ne_d14df8ce97f4_1200x_q90.jpg" id="131" name="Picture"/>
                    <pic:cNvPicPr>
                      <a:picLocks noChangeArrowheads="1" noChangeAspect="1"/>
                    </pic:cNvPicPr>
                  </pic:nvPicPr>
                  <pic:blipFill>
                    <a:blip r:embed="rId12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1867 · Grant: sections 16 and 36 plus in-lieu (2,797,520.67 acres granted; ~1.25 million still held) [as of FY25] · School Trust portfolio</w:t>
      </w:r>
      <w:r>
        <w:rPr>
          <w:i/>
          <w:iCs/>
        </w:rPr>
        <w:t xml:space="preserve"> </w:t>
      </w:r>
      <w:r>
        <w:rPr>
          <w:b/>
          <w:bCs/>
          <w:i/>
          <w:iCs/>
        </w:rPr>
        <w:t xml:space="preserve">$3,047,262,853.42</w:t>
      </w:r>
      <w:r>
        <w:rPr>
          <w:i/>
          <w:iCs/>
        </w:rPr>
        <w:t xml:space="preserve"> </w:t>
      </w:r>
      <w:r>
        <w:rPr>
          <w:i/>
          <w:iCs/>
        </w:rPr>
        <w:t xml:space="preserve">[as of June 30, 2025]; Permanent Educational Trust Funds</w:t>
      </w:r>
      <w:r>
        <w:rPr>
          <w:i/>
          <w:iCs/>
        </w:rPr>
        <w:t xml:space="preserve"> </w:t>
      </w:r>
      <w:r>
        <w:rPr>
          <w:b/>
          <w:bCs/>
          <w:i/>
          <w:iCs/>
        </w:rPr>
        <w:t xml:space="preserve">$1,156,492,240.95</w:t>
      </w:r>
      <w:r>
        <w:rPr>
          <w:i/>
          <w:iCs/>
        </w:rPr>
        <w:t xml:space="preserve">; FY2025 disbursements</w:t>
      </w:r>
      <w:r>
        <w:rPr>
          <w:i/>
          <w:iCs/>
        </w:rPr>
        <w:t xml:space="preserve"> </w:t>
      </w:r>
      <w:r>
        <w:rPr>
          <w:b/>
          <w:bCs/>
          <w:i/>
          <w:iCs/>
        </w:rPr>
        <w:t xml:space="preserve">$129,176,784.79</w:t>
      </w:r>
      <w:r>
        <w:rPr>
          <w:i/>
          <w:iCs/>
        </w:rPr>
        <w:t xml:space="preserve"> </w:t>
      </w:r>
      <w:r>
        <w:rPr>
          <w:i/>
          <w:iCs/>
        </w:rPr>
        <w:t xml:space="preserve">· Trustee: Board of Educational Lands &amp; Funds — five gubernatorial appointees · Verdict: Kept faith, enforced episodically.</w:t>
      </w:r>
    </w:p>
    <w:p>
      <w:pPr>
        <w:pStyle w:val="BodyText"/>
      </w:pPr>
      <w:r>
        <w:rPr>
          <w:b/>
          <w:bCs/>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iCs/>
        </w:rPr>
        <w:t xml:space="preserve">separate</w:t>
      </w:r>
      <w:r>
        <w:t xml:space="preserve"> </w:t>
      </w:r>
      <w:r>
        <w:t xml:space="preserve">from the general fund,</w:t>
      </w:r>
      <w:r>
        <w:t xml:space="preserve"> </w:t>
      </w:r>
      <w:r>
        <w:rPr>
          <w:i/>
          <w:iCs/>
        </w:rPr>
        <w:t xml:space="preserve">irreducible</w:t>
      </w:r>
      <w:r>
        <w:t xml:space="preserve"> </w:t>
      </w:r>
      <w:r>
        <w:t xml:space="preserve">in principal (with the state pledged to replace any net loss), and</w:t>
      </w:r>
      <w:r>
        <w:t xml:space="preserve"> </w:t>
      </w:r>
      <w:r>
        <w:rPr>
          <w:i/>
          <w:iCs/>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iCs/>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iCs/>
        </w:rPr>
        <w:t xml:space="preserve">Propst</w:t>
      </w:r>
      <w:r>
        <w:t xml:space="preserve"> </w:t>
      </w:r>
      <w:r>
        <w:t xml:space="preserve">(1952) and</w:t>
      </w:r>
      <w:r>
        <w:t xml:space="preserve"> </w:t>
      </w:r>
      <w:r>
        <w:rPr>
          <w:i/>
          <w:iCs/>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iCs/>
        </w:rPr>
        <w:t xml:space="preserve">Belker</w:t>
      </w:r>
      <w:r>
        <w:t xml:space="preserve"> </w:t>
      </w:r>
      <w:r>
        <w:t xml:space="preserve">(1970), where a controlling minority upheld statutes</w:t>
      </w:r>
      <w:r>
        <w:t xml:space="preserve"> </w:t>
      </w:r>
      <w:r>
        <w:rPr>
          <w:i/>
          <w:iCs/>
        </w:rPr>
        <w:t xml:space="preserve">mandating</w:t>
      </w:r>
      <w:r>
        <w:t xml:space="preserve"> </w:t>
      </w:r>
      <w:r>
        <w:t xml:space="preserve">sale at lease expiration, reading Article VII’s</w:t>
      </w:r>
      <w:r>
        <w:t xml:space="preserve"> </w:t>
      </w:r>
      <w:r>
        <w:t xml:space="preserve">“under the direction of the Legislature”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bCs/>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“the trust’s own lawyer sits on the wrong side of the table”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bCs/>
        </w:rPr>
        <w:t xml:space="preserve">Then→now:</w:t>
      </w:r>
      <w:r>
        <w:t xml:space="preserve"> </w:t>
      </w:r>
      <w:r>
        <w:t xml:space="preserve">Below-market sweetheart leases struck down in 1951 → $129 million distributed to schools in FY2025.</w:t>
      </w:r>
    </w:p>
    <w:p>
      <w:pPr>
        <w:pStyle w:val="BodyText"/>
      </w:pPr>
      <w:r>
        <w:rPr>
          <w:b/>
          <w:bCs/>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iCs/>
        </w:rPr>
        <w:t xml:space="preserve">Sources/notes:</w:t>
      </w:r>
      <w:r>
        <w:t xml:space="preserve"> </w:t>
      </w:r>
      <w:r>
        <w:rPr>
          <w:i/>
          <w:iCs/>
        </w:rPr>
        <w:t xml:space="preserve">State ex rel. Belker v. Bd. of Educ. Lands &amp; Funds</w:t>
      </w:r>
      <w:r>
        <w:t xml:space="preserve">, 185 Neb. 270, 175 N.W.2d 63 (1970);</w:t>
      </w:r>
      <w:r>
        <w:t xml:space="preserve"> </w:t>
      </w:r>
      <w:r>
        <w:rPr>
          <w:i/>
          <w:iCs/>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iCs/>
        </w:rPr>
        <w:t xml:space="preserve">State ex rel. Ebke v. BELF</w:t>
      </w:r>
      <w:r>
        <w:t xml:space="preserve"> </w:t>
      </w:r>
      <w:r>
        <w:t xml:space="preserve">(1951);</w:t>
      </w:r>
      <w:r>
        <w:t xml:space="preserve"> </w:t>
      </w:r>
      <w:r>
        <w:rPr>
          <w:i/>
          <w:iCs/>
        </w:rPr>
        <w:t xml:space="preserve">Propst</w:t>
      </w:r>
      <w:r>
        <w:t xml:space="preserve"> </w:t>
      </w:r>
      <w:r>
        <w:t xml:space="preserve">(1952);</w:t>
      </w:r>
      <w:r>
        <w:t xml:space="preserve"> </w:t>
      </w:r>
      <w:r>
        <w:rPr>
          <w:i/>
          <w:iCs/>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r>
        <w:br w:type="page"/>
      </w:r>
    </w:p>
    <w:bookmarkEnd w:id="132"/>
    <w:bookmarkStart w:id="136" w:name="nevada-the-endowment-it-traded-away"/>
    <w:p>
      <w:pPr>
        <w:pStyle w:val="Heading2"/>
      </w:pPr>
      <w:r>
        <w:t xml:space="preserve">Nevada — The Endowment It Traded Away</w:t>
      </w:r>
    </w:p>
    <w:p>
      <w:pPr>
        <w:pStyle w:val="FirstParagraph"/>
      </w:pPr>
      <w:r>
        <w:drawing>
          <wp:inline>
            <wp:extent cx="731520" cy="853135"/>
            <wp:effectExtent b="0" l="0" r="0" t="0"/>
            <wp:docPr descr="QRFLOAT" title="" id="134" name="Picture"/>
            <a:graphic>
              <a:graphicData uri="http://schemas.openxmlformats.org/drawingml/2006/picture">
                <pic:pic>
                  <pic:nvPicPr>
                    <pic:cNvPr descr="C:/Users/drdav/My%20Drive/Claude%20Cowork/_tools/_web_cache/qr_us-nv_a21d596ac9a7_1200x_q90.jpg" id="135" name="Picture"/>
                    <pic:cNvPicPr>
                      <a:picLocks noChangeArrowheads="1" noChangeAspect="1"/>
                    </pic:cNvPicPr>
                  </pic:nvPicPr>
                  <pic:blipFill>
                    <a:blip r:embed="rId133"/>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1864 - Grant: sections 16 and 36 (nominal about 3.9 million acres) - School trust land today: about 3,000 acres, yielding under $5,000/yr in recent reporting; broad statutory Permanent School Fund balance</w:t>
      </w:r>
      <w:r>
        <w:rPr>
          <w:i/>
          <w:iCs/>
        </w:rPr>
        <w:t xml:space="preserve"> </w:t>
      </w:r>
      <w:r>
        <w:rPr>
          <w:b/>
          <w:bCs/>
          <w:i/>
          <w:iCs/>
        </w:rPr>
        <w:t xml:space="preserve">$531,127,843</w:t>
      </w:r>
      <w:r>
        <w:rPr>
          <w:i/>
          <w:iCs/>
        </w:rPr>
        <w:t xml:space="preserve"> </w:t>
      </w:r>
      <w:r>
        <w:rPr>
          <w:i/>
          <w:iCs/>
        </w:rPr>
        <w:t xml:space="preserve">[as of June 30, 2025] (not the same thing as land-trust corpus) - Trustee: Division of State Lands (no constitutional land board) - Verdict: Broke the trust – by trade.</w:t>
      </w:r>
    </w:p>
    <w:p>
      <w:pPr>
        <w:pStyle w:val="BodyText"/>
      </w:pPr>
      <w:r>
        <w:rPr>
          <w:b/>
          <w:bCs/>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iCs/>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iCs/>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phrase that fits is military: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bCs/>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“Education First”</w:t>
      </w:r>
      <w:r>
        <w:t xml:space="preserve"> </w:t>
      </w:r>
      <w:r>
        <w:t xml:space="preserve">priority-appropriation rule. The clauses are stronger than ever. The endowment they protect is a fraction of the one Congress granted.</w:t>
      </w:r>
    </w:p>
    <w:p>
      <w:pPr>
        <w:pStyle w:val="BodyText"/>
      </w:pPr>
      <w:r>
        <w:rPr>
          <w:b/>
          <w:bCs/>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bCs/>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“Fire-sale liquidation.”</w:t>
      </w:r>
      <w:r>
        <w:t xml:space="preserve">)</w:t>
      </w:r>
      <w:r>
        <w:t xml:space="preserve"> </w:t>
      </w:r>
      <w:r>
        <w:rPr>
          <w:i/>
          <w:iCs/>
        </w:rPr>
        <w:t xml:space="preserve">Sources/notes:</w:t>
      </w:r>
      <w:r>
        <w:t xml:space="preserve"> </w:t>
      </w:r>
      <w:r>
        <w:t xml:space="preserve">Nevada Enabling Act, Act of Mar. 21, 1864, sec. 7, 13 Stat. 30;</w:t>
      </w:r>
      <w:r>
        <w:t xml:space="preserve"> </w:t>
      </w:r>
      <w:r>
        <w:rPr>
          <w:i/>
          <w:iCs/>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r>
        <w:br w:type="page"/>
      </w:r>
    </w:p>
    <w:bookmarkEnd w:id="136"/>
    <w:bookmarkStart w:id="140" w:name="X8837d14c1ab3cae9ef512272f5136c45a7351ad"/>
    <w:p>
      <w:pPr>
        <w:pStyle w:val="Heading2"/>
      </w:pPr>
      <w:r>
        <w:t xml:space="preserve">New Mexico — The State That Wrote in the Teeth</w:t>
      </w:r>
    </w:p>
    <w:p>
      <w:pPr>
        <w:pStyle w:val="FirstParagraph"/>
      </w:pPr>
      <w:r>
        <w:drawing>
          <wp:inline>
            <wp:extent cx="731520" cy="853135"/>
            <wp:effectExtent b="0" l="0" r="0" t="0"/>
            <wp:docPr descr="QRFLOAT" title="" id="138" name="Picture"/>
            <a:graphic>
              <a:graphicData uri="http://schemas.openxmlformats.org/drawingml/2006/picture">
                <pic:pic>
                  <pic:nvPicPr>
                    <pic:cNvPr descr="C:/Users/drdav/My%20Drive/Claude%20Cowork/_tools/_web_cache/qr_us-nm_c01eb54e71bd_1200x_q90.jpg" id="139" name="Picture"/>
                    <pic:cNvPicPr>
                      <a:picLocks noChangeArrowheads="1" noChangeAspect="1"/>
                    </pic:cNvPicPr>
                  </pic:nvPicPr>
                  <pic:blipFill>
                    <a:blip r:embed="rId13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1912 · Grant: 4 sections (2, 16, 32, 36) · Land Grant Permanent Fund ≈ $32.97 billion [as of Dec. 31, 2024] · Trustee: elected Commissioner of Public Lands · Verdict: Kept faith.</w:t>
      </w:r>
    </w:p>
    <w:p>
      <w:pPr>
        <w:pStyle w:val="BodyText"/>
      </w:pPr>
      <w:r>
        <w:rPr>
          <w:b/>
          <w:bCs/>
        </w:rPr>
        <w:t xml:space="preserve">Telling fact:</w:t>
      </w:r>
      <w:r>
        <w:t xml:space="preserve"> </w:t>
      </w:r>
      <w:r>
        <w:t xml:space="preserve">New Mexico’s founding deal didn’t just say</w:t>
      </w:r>
      <w:r>
        <w:t xml:space="preserve"> </w:t>
      </w:r>
      <w:r>
        <w:t xml:space="preserve">“for schools”</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“in trust,”</w:t>
      </w:r>
      <w:r>
        <w:t xml:space="preserve"> </w:t>
      </w:r>
      <w:r>
        <w:t xml:space="preserve">in those exact common-law words. The proceeds of the land carried the same trust. Any disposition outside the named purposes was</w:t>
      </w:r>
      <w:r>
        <w:t xml:space="preserve"> </w:t>
      </w:r>
      <w:r>
        <w:rPr>
          <w:i/>
          <w:iCs/>
        </w:rPr>
        <w:t xml:space="preserve">defined</w:t>
      </w:r>
      <w:r>
        <w:t xml:space="preserve">, automatically, as a breach of trust. Any sale not made at advertised public auction, at the county seat, above appraised value, was declared null and void,</w:t>
      </w:r>
      <w:r>
        <w:t xml:space="preserve"> </w:t>
      </w:r>
      <w:r>
        <w:t xml:space="preserve">“any provision of the constitution or laws of the said State to the contrary notwithstanding.”</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“the resources and advantages of the state”</w:t>
      </w:r>
      <w:r>
        <w:t xml:space="preserve"> </w:t>
      </w:r>
      <w:r>
        <w:t xml:space="preserve">— on the theory that promotion would lift land values and, eventually, enrich the trust. The United States sued, and in</w:t>
      </w:r>
      <w:r>
        <w:t xml:space="preserve"> </w:t>
      </w:r>
      <w:r>
        <w:rPr>
          <w:i/>
          <w:iCs/>
        </w:rPr>
        <w:t xml:space="preserve">Ervien v. United States</w:t>
      </w:r>
      <w:r>
        <w:t xml:space="preserve"> </w:t>
      </w:r>
      <w:r>
        <w:t xml:space="preserve">(1919) the Supreme Court shut it down cold: the grant’s enumeration of purposes is, in the Court’s words,</w:t>
      </w:r>
      <w:r>
        <w:t xml:space="preserve"> </w:t>
      </w:r>
      <w:r>
        <w:t xml:space="preserve">“special and exact,”</w:t>
      </w:r>
      <w:r>
        <w:t xml:space="preserve"> </w:t>
      </w:r>
      <w:r>
        <w:t xml:space="preserve">and it is exclusive. A century later the corpus stands near $32.97 billion [as of Dec. 31, 2024] and sends more than $1.3 billion a year to schools and other beneficiaries — about ninety percent of it riding on Permian Basin oil and gas.</w:t>
      </w:r>
    </w:p>
    <w:p>
      <w:pPr>
        <w:pStyle w:val="BodyText"/>
      </w:pPr>
      <w:r>
        <w:rPr>
          <w:b/>
          <w:bCs/>
        </w:rPr>
        <w:t xml:space="preserve">Pull-quote:</w:t>
      </w:r>
      <w:r>
        <w:t xml:space="preserve"> </w:t>
      </w:r>
      <w:r>
        <w:rPr>
          <w:i/>
          <w:iCs/>
        </w:rPr>
        <w:t xml:space="preserve">“The dedication, we repeat, was special and exact, precluding any supplementary or aiding sense . . . .”</w:t>
      </w:r>
      <w:r>
        <w:rPr>
          <w:i/>
          <w:iCs/>
        </w:rPr>
        <w:t xml:space="preserve"> </w:t>
      </w:r>
      <w:r>
        <w:rPr>
          <w:i/>
          <w:iCs/>
        </w:rPr>
        <w:t xml:space="preserve">— Ervien v. United States, 251 U.S. 41, 47 (1919)</w:t>
      </w:r>
    </w:p>
    <w:p>
      <w:pPr>
        <w:pStyle w:val="BodyText"/>
      </w:pPr>
      <w:r>
        <w:rPr>
          <w:b/>
          <w:bCs/>
        </w:rPr>
        <w:t xml:space="preserve">Lesson:</w:t>
      </w:r>
      <w:r>
        <w:t xml:space="preserve"> </w:t>
      </w:r>
      <w:r>
        <w:t xml:space="preserve">Enforceable text plus a named enforcer is why this trust could be defended in court when others couldn’t. (See Ch. 5 and Ch. 6.) —</w:t>
      </w:r>
      <w:r>
        <w:t xml:space="preserve"> </w:t>
      </w:r>
      <w:r>
        <w:rPr>
          <w:i/>
          <w:iCs/>
        </w:rPr>
        <w:t xml:space="preserve">Sources/notes:</w:t>
      </w:r>
      <w:r>
        <w:t xml:space="preserve"> </w:t>
      </w:r>
      <w:r>
        <w:t xml:space="preserve">NM-Arizona Enabling Act of 1910, §§ 6, 10; N.M. Const. arts. XII, XIII, XXI; Ervien v. United States, 251 U.S. 41 (1919); Lassen v. Arizona (1967); State ex rel. King v. Lyons (2011); NM State Investment Council (≈$32.97B market value [as of Dec. 31, 2024]).</w:t>
      </w:r>
    </w:p>
    <w:p>
      <w:r>
        <w:pict>
          <v:rect style="width:0;height:1.5pt" o:hralign="center" o:hrstd="t" o:hr="t"/>
        </w:pict>
      </w:r>
    </w:p>
    <w:p>
      <w:r>
        <w:br w:type="page"/>
      </w:r>
    </w:p>
    <w:bookmarkEnd w:id="140"/>
    <w:bookmarkStart w:id="144" w:name="Xa3c5a31839fc93e8f8187c29da05ff13f9cb701"/>
    <w:p>
      <w:pPr>
        <w:pStyle w:val="Heading2"/>
      </w:pPr>
      <w:r>
        <w:t xml:space="preserve">North Dakota — The Bridge That Held, and Then Struck Oil</w:t>
      </w:r>
    </w:p>
    <w:p>
      <w:pPr>
        <w:pStyle w:val="FirstParagraph"/>
      </w:pPr>
      <w:r>
        <w:drawing>
          <wp:inline>
            <wp:extent cx="731520" cy="853135"/>
            <wp:effectExtent b="0" l="0" r="0" t="0"/>
            <wp:docPr descr="QRFLOAT" title="" id="142" name="Picture"/>
            <a:graphic>
              <a:graphicData uri="http://schemas.openxmlformats.org/drawingml/2006/picture">
                <pic:pic>
                  <pic:nvPicPr>
                    <pic:cNvPr descr="C:/Users/drdav/My%20Drive/Claude%20Cowork/_tools/_web_cache/qr_us-nd_c4b92892a10a_1200x_q90.jpg" id="143" name="Picture"/>
                    <pic:cNvPicPr>
                      <a:picLocks noChangeArrowheads="1" noChangeAspect="1"/>
                    </pic:cNvPicPr>
                  </pic:nvPicPr>
                  <pic:blipFill>
                    <a:blip r:embed="rId141"/>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(first of the Omnibus quartet) - Grant: 2 sections (16 &amp; 36) - Common Schools Trust Fund</w:t>
      </w:r>
      <w:r>
        <w:rPr>
          <w:i/>
          <w:iCs/>
        </w:rPr>
        <w:t xml:space="preserve"> </w:t>
      </w:r>
      <w:r>
        <w:rPr>
          <w:b/>
          <w:bCs/>
          <w:i/>
          <w:iCs/>
        </w:rPr>
        <w:t xml:space="preserve">$7.94 billion</w:t>
      </w:r>
      <w:r>
        <w:rPr>
          <w:i/>
          <w:iCs/>
        </w:rPr>
        <w:t xml:space="preserve"> </w:t>
      </w:r>
      <w:r>
        <w:rPr>
          <w:i/>
          <w:iCs/>
        </w:rPr>
        <w:t xml:space="preserve">[as of Dec. 11, 2025] - Trustee: five-officer constitutional Board of University and School Lands - Verdict: Kept faith.</w:t>
      </w:r>
    </w:p>
    <w:p>
      <w:pPr>
        <w:pStyle w:val="BodyText"/>
      </w:pPr>
      <w:r>
        <w:rPr>
          <w:b/>
          <w:bCs/>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added machinery the antebellum acts had usually left to the states. The 1859 Oregon act had said the land was granted</w:t>
      </w:r>
      <w:r>
        <w:t xml:space="preserve"> </w:t>
      </w:r>
      <w:r>
        <w:t xml:space="preserve">“for the use of schools”</w:t>
      </w:r>
      <w:r>
        <w:t xml:space="preserve"> </w:t>
      </w:r>
      <w:r>
        <w:t xml:space="preserve">and left the fund-building to the state. The 1889 act did more of that work in federal text: it ordered the proceeds held as permanent funds with only the interest spendable, required public-sale-only disposition, and declared any non-conforming disposition</w:t>
      </w:r>
      <w:r>
        <w:t xml:space="preserve"> </w:t>
      </w:r>
      <w:r>
        <w:t xml:space="preserve">“null and void”</w:t>
      </w:r>
      <w:r>
        <w:t xml:space="preserve"> </w:t>
      </w:r>
      <w:r>
        <w:t xml:space="preserve">— the precursor to the famous null-and-void clause of the 1910 New Mexico act, twenty-one years early. North Dakota is the bridge between the early compact form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iCs/>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bCs/>
        </w:rPr>
        <w:t xml:space="preserve">$7.94 billion</w:t>
      </w:r>
      <w:r>
        <w:t xml:space="preserve"> </w:t>
      </w:r>
      <w:r>
        <w:t xml:space="preserve">[as of Dec. 11, 2025] to the Board of University and School Lands, up from $7 billion at the end of the prior fiscal year. The architecture’s real test is what happens when the asset suddenly becomes valuable. North Dakota’s held.</w:t>
      </w:r>
    </w:p>
    <w:p>
      <w:pPr>
        <w:pStyle w:val="BodyText"/>
      </w:pPr>
      <w:r>
        <w:rPr>
          <w:b/>
          <w:bCs/>
        </w:rPr>
        <w:t xml:space="preserve">Then→now:</w:t>
      </w:r>
      <w:r>
        <w:t xml:space="preserve"> </w:t>
      </w:r>
      <w:r>
        <w:t xml:space="preserve">A fund in the low hundreds of millions circa 2000 →</w:t>
      </w:r>
      <w:r>
        <w:t xml:space="preserve"> </w:t>
      </w:r>
      <w:r>
        <w:rPr>
          <w:b/>
          <w:bCs/>
        </w:rPr>
        <w:t xml:space="preserve">$7.94 billion</w:t>
      </w:r>
      <w:r>
        <w:t xml:space="preserve"> </w:t>
      </w:r>
      <w:r>
        <w:t xml:space="preserve">[as of Dec. 11, 2025], after fifteen years of compounding Bakken royalties against a constitutionally dedicated revenue stream.</w:t>
      </w:r>
    </w:p>
    <w:p>
      <w:pPr>
        <w:pStyle w:val="BodyText"/>
      </w:pPr>
      <w:r>
        <w:rPr>
          <w:b/>
          <w:bCs/>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iCs/>
        </w:rPr>
        <w:t xml:space="preserve">Sources/notes:</w:t>
      </w:r>
      <w:r>
        <w:t xml:space="preserve"> </w:t>
      </w:r>
      <w:r>
        <w:t xml:space="preserve">Omnibus Enabling Act of 1889 §§ 4, 10-11; N.D. Const. art. IX §§ 1-3, 1960 mineral-reservation amendment; State ex rel. Bd. of Univ. &amp; Sch. Lands v. McMillan (1903); ND Dept. of Trust Lands, report to the Board of University and School Lands, Dec. 11, 2025 ($7.94 billion).</w:t>
      </w:r>
    </w:p>
    <w:p>
      <w:r>
        <w:pict>
          <v:rect style="width:0;height:1.5pt" o:hralign="center" o:hrstd="t" o:hr="t"/>
        </w:pict>
      </w:r>
    </w:p>
    <w:p>
      <w:r>
        <w:br w:type="page"/>
      </w:r>
    </w:p>
    <w:bookmarkEnd w:id="144"/>
    <w:bookmarkStart w:id="148" w:name="X5f0e284dc2fd627bb9c9f14c8fd5440537d1a8d"/>
    <w:p>
      <w:pPr>
        <w:pStyle w:val="Heading2"/>
      </w:pPr>
      <w:r>
        <w:t xml:space="preserve">Ohio — The Template That Wrote Itself a Loophole</w:t>
      </w:r>
    </w:p>
    <w:p>
      <w:pPr>
        <w:pStyle w:val="FirstParagraph"/>
      </w:pPr>
      <w:r>
        <w:drawing>
          <wp:inline>
            <wp:extent cx="731520" cy="853135"/>
            <wp:effectExtent b="0" l="0" r="0" t="0"/>
            <wp:docPr descr="QRFLOAT" title="" id="146" name="Picture"/>
            <a:graphic>
              <a:graphicData uri="http://schemas.openxmlformats.org/drawingml/2006/picture">
                <pic:pic>
                  <pic:nvPicPr>
                    <pic:cNvPr descr="C:/Users/drdav/My%20Drive/Claude%20Cowork/_tools/_web_cache/qr_us-oh_bab5d16f9c13_1200x_q90.jpg" id="147" name="Picture"/>
                    <pic:cNvPicPr>
                      <a:picLocks noChangeArrowheads="1" noChangeAspect="1"/>
                    </pic:cNvPicPr>
                  </pic:nvPicPr>
                  <pic:blipFill>
                    <a:blip r:embed="rId14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bCs/>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“lot No. 16 of every township for the maintenance of public schools,”</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“to the inhabitants of such township”</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iCs/>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“inviolate and undiminished”</w:t>
      </w:r>
      <w:r>
        <w:t xml:space="preserve"> </w:t>
      </w:r>
      <w:r>
        <w:t xml:space="preserve">and replace it with principal to be</w:t>
      </w:r>
      <w:r>
        <w:t xml:space="preserve"> </w:t>
      </w:r>
      <w:r>
        <w:t xml:space="preserve">“used or disposed of in such manner as the General Assembly shall prescribe by law.”</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bCs/>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bCs/>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“Fire-sale liquidation.”</w:t>
      </w:r>
      <w:r>
        <w:t xml:space="preserve">) —</w:t>
      </w:r>
      <w:r>
        <w:t xml:space="preserve"> </w:t>
      </w:r>
      <w:r>
        <w:rPr>
          <w:i/>
          <w:iCs/>
        </w:rPr>
        <w:t xml:space="preserve">Sources/notes:</w:t>
      </w:r>
      <w:r>
        <w:t xml:space="preserve"> </w:t>
      </w:r>
      <w:r>
        <w:rPr>
          <w:i/>
          <w:iCs/>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r>
        <w:br w:type="page"/>
      </w:r>
    </w:p>
    <w:bookmarkEnd w:id="148"/>
    <w:bookmarkStart w:id="152" w:name="X7226a7d195431b776ecc8f4532457dd43c952d9"/>
    <w:p>
      <w:pPr>
        <w:pStyle w:val="Heading2"/>
      </w:pPr>
      <w:r>
        <w:t xml:space="preserve">Oklahoma — Half Land, Half Ledger, All Sacred Trust</w:t>
      </w:r>
    </w:p>
    <w:p>
      <w:pPr>
        <w:pStyle w:val="FirstParagraph"/>
      </w:pPr>
      <w:r>
        <w:drawing>
          <wp:inline>
            <wp:extent cx="731520" cy="853135"/>
            <wp:effectExtent b="0" l="0" r="0" t="0"/>
            <wp:docPr descr="QRFLOAT" title="" id="150" name="Picture"/>
            <a:graphic>
              <a:graphicData uri="http://schemas.openxmlformats.org/drawingml/2006/picture">
                <pic:pic>
                  <pic:nvPicPr>
                    <pic:cNvPr descr="C:/Users/drdav/My%20Drive/Claude%20Cowork/_tools/_web_cache/qr_us-ok_08a7508d093e_1200x_q90.jpg" id="151" name="Picture"/>
                    <pic:cNvPicPr>
                      <a:picLocks noChangeArrowheads="1" noChangeAspect="1"/>
                    </pic:cNvPicPr>
                  </pic:nvPicPr>
                  <pic:blipFill>
                    <a:blip r:embed="rId14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bCs/>
        </w:rPr>
        <w:t xml:space="preserve">Telling fact:</w:t>
      </w:r>
      <w:r>
        <w:t xml:space="preserve"> </w:t>
      </w:r>
      <w:r>
        <w:t xml:space="preserve">Oklahoma is the only state Congress ever handed a</w:t>
      </w:r>
      <w:r>
        <w:t xml:space="preserve"> </w:t>
      </w:r>
      <w:r>
        <w:rPr>
          <w:i/>
          <w:iCs/>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“in trust,”</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“for the use and benefit of the common schools,”</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“a sacred trust,”</w:t>
      </w:r>
      <w:r>
        <w:t xml:space="preserve"> </w:t>
      </w:r>
      <w:r>
        <w:t xml:space="preserve">made the Permanent Common School Fund</w:t>
      </w:r>
      <w:r>
        <w:t xml:space="preserve"> </w:t>
      </w:r>
      <w:r>
        <w:t xml:space="preserve">“forever inviolate”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iCs/>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iCs/>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bCs/>
        </w:rPr>
        <w:t xml:space="preserve">“an irrevocable compact”</w:t>
      </w:r>
      <w:r>
        <w:t xml:space="preserve"> </w:t>
      </w:r>
      <w:r>
        <w:t xml:space="preserve">and a</w:t>
      </w:r>
      <w:r>
        <w:t xml:space="preserve"> </w:t>
      </w:r>
      <w:r>
        <w:t xml:space="preserve">“sacred trust”</w:t>
      </w:r>
      <w:r>
        <w:t xml:space="preserve"> </w:t>
      </w:r>
      <w:r>
        <w:t xml:space="preserve">— and that no statute may divert trust value to non-beneficiaries, however sympathetic.</w:t>
      </w:r>
      <w:r>
        <w:t xml:space="preserve"> </w:t>
      </w:r>
      <w:r>
        <w:rPr>
          <w:i/>
          <w:iCs/>
        </w:rPr>
        <w:t xml:space="preserve">Nigh</w:t>
      </w:r>
      <w:r>
        <w:t xml:space="preserve"> </w:t>
      </w:r>
      <w:r>
        <w:t xml:space="preserve">is Oklahoma’s anti-subsidy decision, the case the Attorney General cites whenever someone asks the trust to give something away.</w:t>
      </w:r>
    </w:p>
    <w:p>
      <w:pPr>
        <w:pStyle w:val="BodyText"/>
      </w:pPr>
      <w:r>
        <w:rPr>
          <w:b/>
          <w:bCs/>
        </w:rPr>
        <w:t xml:space="preserve">Pull-quote:</w:t>
      </w:r>
      <w:r>
        <w:t xml:space="preserve"> </w:t>
      </w:r>
      <w:r>
        <w:rPr>
          <w:i/>
          <w:iCs/>
        </w:rPr>
        <w:t xml:space="preserve">The Enabling Act and the constitution create</w:t>
      </w:r>
      <w:r>
        <w:rPr>
          <w:i/>
          <w:iCs/>
        </w:rPr>
        <w:t xml:space="preserve"> </w:t>
      </w:r>
      <w:r>
        <w:rPr>
          <w:i/>
          <w:iCs/>
        </w:rPr>
        <w:t xml:space="preserve">“an irrevocable compact”</w:t>
      </w:r>
      <w:r>
        <w:rPr>
          <w:i/>
          <w:iCs/>
        </w:rPr>
        <w:t xml:space="preserve"> </w:t>
      </w:r>
      <w:r>
        <w:rPr>
          <w:i/>
          <w:iCs/>
        </w:rPr>
        <w:t xml:space="preserve">and a</w:t>
      </w:r>
      <w:r>
        <w:rPr>
          <w:i/>
          <w:iCs/>
        </w:rPr>
        <w:t xml:space="preserve"> </w:t>
      </w:r>
      <w:r>
        <w:rPr>
          <w:i/>
          <w:iCs/>
        </w:rPr>
        <w:t xml:space="preserve">“sacred trust”</w:t>
      </w:r>
      <w:r>
        <w:rPr>
          <w:i/>
          <w:iCs/>
        </w:rPr>
        <w:t xml:space="preserve"> </w:t>
      </w:r>
      <w:r>
        <w:rPr>
          <w:i/>
          <w:iCs/>
        </w:rPr>
        <w:t xml:space="preserve">— no statute may diminish the state’s duty to the beneficiaries. — Oklahoma Education Association v. Nigh (1982)</w:t>
      </w:r>
    </w:p>
    <w:p>
      <w:pPr>
        <w:pStyle w:val="BodyText"/>
      </w:pPr>
      <w:r>
        <w:rPr>
          <w:b/>
          <w:bCs/>
        </w:rPr>
        <w:t xml:space="preserve">Lesson:</w:t>
      </w:r>
      <w:r>
        <w:t xml:space="preserve"> </w:t>
      </w:r>
      <w:r>
        <w:t xml:space="preserve">Strong state architecture and a court willing to call subsidies what they are can hold a trust together even when the federal text is compact — and even when half the endowment is only money. (See Ch. 5.) —</w:t>
      </w:r>
      <w:r>
        <w:t xml:space="preserve"> </w:t>
      </w:r>
      <w:r>
        <w:rPr>
          <w:i/>
          <w:iCs/>
        </w:rPr>
        <w:t xml:space="preserve">Sources/notes:</w:t>
      </w:r>
      <w:r>
        <w:t xml:space="preserve"> </w:t>
      </w:r>
      <w:r>
        <w:rPr>
          <w:i/>
          <w:iCs/>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r>
        <w:br w:type="page"/>
      </w:r>
    </w:p>
    <w:bookmarkEnd w:id="152"/>
    <w:bookmarkStart w:id="157" w:name="X64f4b7a175fac1c331652e4074a59b57edbcff3"/>
    <w:p>
      <w:pPr>
        <w:pStyle w:val="Heading2"/>
      </w:pPr>
      <w:r>
        <w:t xml:space="preserve">Oregon — The Sale That the Seller Made to Itself</w:t>
      </w:r>
    </w:p>
    <w:p>
      <w:pPr>
        <w:pStyle w:val="FirstParagraph"/>
      </w:pPr>
      <w:r>
        <w:drawing>
          <wp:inline>
            <wp:extent cx="731520" cy="853135"/>
            <wp:effectExtent b="0" l="0" r="0" t="0"/>
            <wp:docPr descr="QRFLOAT" title="" id="154" name="Picture"/>
            <a:graphic>
              <a:graphicData uri="http://schemas.openxmlformats.org/drawingml/2006/picture">
                <pic:pic>
                  <pic:nvPicPr>
                    <pic:cNvPr descr="C:/Users/drdav/My%20Drive/Claude%20Cowork/_tools/_web_cache/qr_us-or_2183bc25da6b_1200x_q90.jpg" id="155" name="Picture"/>
                    <pic:cNvPicPr>
                      <a:picLocks noChangeArrowheads="1" noChangeAspect="1"/>
                    </pic:cNvPicPr>
                  </pic:nvPicPr>
                  <pic:blipFill>
                    <a:blip r:embed="rId153"/>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1859 - Grant: 2 sections (16 &amp; 36); nearly 3.4 million acres - Common School Fund audited fund balance</w:t>
      </w:r>
      <w:r>
        <w:rPr>
          <w:i/>
          <w:iCs/>
        </w:rPr>
        <w:t xml:space="preserve"> </w:t>
      </w:r>
      <w:r>
        <w:rPr>
          <w:b/>
          <w:bCs/>
          <w:i/>
          <w:iCs/>
        </w:rPr>
        <w:t xml:space="preserve">$2,585,199,612</w:t>
      </w:r>
      <w:r>
        <w:rPr>
          <w:i/>
          <w:iCs/>
        </w:rPr>
        <w:t xml:space="preserve"> </w:t>
      </w:r>
      <w:r>
        <w:rPr>
          <w:i/>
          <w:iCs/>
        </w:rPr>
        <w:t xml:space="preserve">[as of June 30, 2025]; about</w:t>
      </w:r>
      <w:r>
        <w:rPr>
          <w:i/>
          <w:iCs/>
        </w:rPr>
        <w:t xml:space="preserve"> </w:t>
      </w:r>
      <w:r>
        <w:rPr>
          <w:b/>
          <w:bCs/>
          <w:i/>
          <w:iCs/>
        </w:rPr>
        <w:t xml:space="preserve">681,000 trust acres</w:t>
      </w:r>
      <w:r>
        <w:rPr>
          <w:i/>
          <w:iCs/>
        </w:rPr>
        <w:t xml:space="preserve"> </w:t>
      </w:r>
      <w:r>
        <w:rPr>
          <w:i/>
          <w:iCs/>
        </w:rPr>
        <w:t xml:space="preserve">remaining - Trustee: State Land Board – Governor, Secretary of State, Treasurer, ex officio - Verdict: Broke the trust (contested; in active litigation).</w:t>
      </w:r>
    </w:p>
    <w:p>
      <w:pPr>
        <w:pStyle w:val="BodyText"/>
      </w:pPr>
      <w:r>
        <w:rPr>
          <w:b/>
          <w:bCs/>
        </w:rPr>
        <w:t xml:space="preserve">Telling fact:</w:t>
      </w:r>
      <w:r>
        <w:t xml:space="preserve"> </w:t>
      </w:r>
      <w:r>
        <w:t xml:space="preserve">To get the Elliott State Forest off the schools’ books, Oregon valued it on an</w:t>
      </w:r>
      <w:r>
        <w:t xml:space="preserve"> </w:t>
      </w:r>
      <w:r>
        <w:t xml:space="preserve">“investment-value”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“separate, and irreducible,”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“Infamous Act”</w:t>
      </w:r>
      <w:r>
        <w:t xml:space="preserve"> </w:t>
      </w:r>
      <w:r>
        <w:t xml:space="preserve">fixed school-land prices at $1.25 an acre — agricultural prices for standing Cascade timber — and locked the trustees into selling at that rate. Brokers hired</w:t>
      </w:r>
      <w:r>
        <w:t xml:space="preserve"> </w:t>
      </w:r>
      <w:r>
        <w:t xml:space="preserve">“dummy”</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“decouple”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“investment-value”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iCs/>
        </w:rPr>
        <w:t xml:space="preserve">standing</w:t>
      </w:r>
      <w:r>
        <w:t xml:space="preserve"> </w:t>
      </w:r>
      <w:r>
        <w:t xml:space="preserve">to enforce the trustee’s fiduciary duties against the state — a procedural win, not a merits ruling, but the door that lets the Coos County case (</w:t>
      </w:r>
      <w:r>
        <w:rPr>
          <w:i/>
          <w:iCs/>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bCs/>
        </w:rPr>
        <w:t xml:space="preserve">Pull-quote:</w:t>
      </w:r>
      <w:r>
        <w:t xml:space="preserve"> </w:t>
      </w:r>
      <w:r>
        <w:rPr>
          <w:i/>
          <w:iCs/>
        </w:rPr>
        <w:t xml:space="preserve">A</w:t>
      </w:r>
      <w:r>
        <w:rPr>
          <w:i/>
          <w:iCs/>
        </w:rPr>
        <w:t xml:space="preserve"> </w:t>
      </w:r>
      <w:r>
        <w:rPr>
          <w:i/>
          <w:iCs/>
        </w:rPr>
        <w:t xml:space="preserve">“buyout”</w:t>
      </w:r>
      <w:r>
        <w:rPr>
          <w:i/>
          <w:iCs/>
        </w:rPr>
        <w:t xml:space="preserve"> </w:t>
      </w:r>
      <w:r>
        <w:rPr>
          <w:i/>
          <w:iCs/>
        </w:rPr>
        <w:t xml:space="preserve">priced by the buyer, on an appraisal the buyer wrote, paid by the buyer to itself, is not compensation. It is the breach wearing the costume of a sale.</w:t>
      </w:r>
    </w:p>
    <w:p>
      <w:pPr>
        <w:pStyle w:val="BodyText"/>
      </w:pPr>
      <w:r>
        <w:rPr>
          <w:b/>
          <w:bCs/>
        </w:rPr>
        <w:t xml:space="preserve">Lesson:</w:t>
      </w:r>
      <w:r>
        <w:t xml:space="preserve"> </w:t>
      </w:r>
      <w:r>
        <w:t xml:space="preserve">A trustee who is also the buyer will find a number that suits the buyer — which is why</w:t>
      </w:r>
      <w:r>
        <w:t xml:space="preserve"> </w:t>
      </w:r>
      <w:r>
        <w:t xml:space="preserve">“fair value”</w:t>
      </w:r>
      <w:r>
        <w:t xml:space="preserve"> </w:t>
      </w:r>
      <w:r>
        <w:t xml:space="preserve">has to be tested by someone who isn’t the state. (See Ch. 4, the Elliott sham, and Ch. 6.) —</w:t>
      </w:r>
      <w:r>
        <w:t xml:space="preserve"> </w:t>
      </w:r>
      <w:r>
        <w:rPr>
          <w:i/>
          <w:iCs/>
        </w:rPr>
        <w:t xml:space="preserve">Sources/notes:</w:t>
      </w:r>
      <w:r>
        <w:t xml:space="preserve"> </w:t>
      </w:r>
      <w:r>
        <w:t xml:space="preserve">Oregon Admission Act of 1859; Or. Const. art. VIII §§ 2, 5; F.G. Young, Oregon Historical Quarterly (1910);</w:t>
      </w:r>
      <w:r>
        <w:t xml:space="preserve"> </w:t>
      </w:r>
      <w:r>
        <w:rPr>
          <w:i/>
          <w:iCs/>
        </w:rPr>
        <w:t xml:space="preserve">Cascadia Wildlands v. Dep’t of State Lands</w:t>
      </w:r>
      <w:r>
        <w:t xml:space="preserve">, 365 Or. 750 (2019); Advocates for School Trust Lands v. State, 346 Or. App. 668 (2026); Margaret Bird, public testimony to the Oregon State Land Board (Dec. 2022) (the contested $1.0–1.3 billion fair-market valuation); DSL Common School Fund reports.</w:t>
      </w:r>
    </w:p>
    <w:p>
      <w:r>
        <w:pict>
          <v:rect style="width:0;height:1.5pt" o:hralign="center" o:hrstd="t" o:hr="t"/>
        </w:pict>
      </w:r>
    </w:p>
    <w:bookmarkStart w:id="156" w:name="the-last-thirty-years-the-elliott"/>
    <w:p>
      <w:pPr>
        <w:pStyle w:val="Heading3"/>
      </w:pPr>
      <w:r>
        <w:t xml:space="preserve">The last thirty years: the Elliott</w:t>
      </w:r>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“decouple”</w:t>
      </w:r>
      <w:r>
        <w:t xml:space="preserve"> </w:t>
      </w:r>
      <w:r>
        <w:t xml:space="preserve">the forest from the Common School Fund — transfer it to Oregon State University as a research forest and compensate the fund with bonds, at an</w:t>
      </w:r>
      <w:r>
        <w:t xml:space="preserve"> </w:t>
      </w:r>
      <w:r>
        <w:t xml:space="preserve">“investment value”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iCs/>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iCs/>
        </w:rPr>
        <w:t xml:space="preserve">“does not owe Plaintiffs the duties alleged.”</w:t>
      </w:r>
      <w:r>
        <w:rPr>
          <w:vertAlign w:val="superscript"/>
        </w:rPr>
        <w:t xml:space="preserve">2</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r>
        <w:br w:type="page"/>
      </w:r>
    </w:p>
    <w:bookmarkEnd w:id="156"/>
    <w:bookmarkEnd w:id="157"/>
    <w:bookmarkStart w:id="161" w:name="X709288ddcd85848cc8687643a1b6c7079f222d5"/>
    <w:p>
      <w:pPr>
        <w:pStyle w:val="Heading2"/>
      </w:pPr>
      <w:r>
        <w:t xml:space="preserve">South Dakota — The Trust the Courts Took Seriously</w:t>
      </w:r>
    </w:p>
    <w:p>
      <w:pPr>
        <w:pStyle w:val="FirstParagraph"/>
      </w:pPr>
      <w:r>
        <w:drawing>
          <wp:inline>
            <wp:extent cx="731520" cy="853135"/>
            <wp:effectExtent b="0" l="0" r="0" t="0"/>
            <wp:docPr descr="QRFLOAT" title="" id="159" name="Picture"/>
            <a:graphic>
              <a:graphicData uri="http://schemas.openxmlformats.org/drawingml/2006/picture">
                <pic:pic>
                  <pic:nvPicPr>
                    <pic:cNvPr descr="C:/Users/drdav/My%20Drive/Claude%20Cowork/_tools/_web_cache/qr_us-sd_8396c1f470e6_1200x_q90.jpg" id="160" name="Picture"/>
                    <pic:cNvPicPr>
                      <a:picLocks noChangeArrowheads="1" noChangeAspect="1"/>
                    </pic:cNvPicPr>
                  </pic:nvPicPr>
                  <pic:blipFill>
                    <a:blip r:embed="rId15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(Omnibus quartet) - Grant: 2 sections (16 &amp; 36), about 3.5 million acres - School and Public Lands Fund ending fair value</w:t>
      </w:r>
      <w:r>
        <w:rPr>
          <w:i/>
          <w:iCs/>
        </w:rPr>
        <w:t xml:space="preserve"> </w:t>
      </w:r>
      <w:r>
        <w:rPr>
          <w:b/>
          <w:bCs/>
          <w:i/>
          <w:iCs/>
        </w:rPr>
        <w:t xml:space="preserve">$430,690,564</w:t>
      </w:r>
      <w:r>
        <w:rPr>
          <w:i/>
          <w:iCs/>
        </w:rPr>
        <w:t xml:space="preserve"> </w:t>
      </w:r>
      <w:r>
        <w:rPr>
          <w:i/>
          <w:iCs/>
        </w:rPr>
        <w:t xml:space="preserve">[as of June 30, 2025] - Trustee: elected Commissioner of School and Public Lands - Verdict: Kept faith.</w:t>
      </w:r>
    </w:p>
    <w:p>
      <w:pPr>
        <w:pStyle w:val="BodyText"/>
      </w:pPr>
      <w:r>
        <w:rPr>
          <w:b/>
          <w:bCs/>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“trust fund held by the state,”</w:t>
      </w:r>
      <w:r>
        <w:t xml:space="preserve"> </w:t>
      </w:r>
      <w:r>
        <w:t xml:space="preserve">with income</w:t>
      </w:r>
      <w:r>
        <w:t xml:space="preserve"> </w:t>
      </w:r>
      <w:r>
        <w:t xml:space="preserve">“inviolably applied”</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“utmost fidelity.”</w:t>
      </w:r>
      <w:r>
        <w:t xml:space="preserve"> </w:t>
      </w:r>
      <w:r>
        <w:t xml:space="preserve">In 1957, in</w:t>
      </w:r>
      <w:r>
        <w:t xml:space="preserve"> </w:t>
      </w:r>
      <w:r>
        <w:rPr>
          <w:i/>
          <w:iCs/>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“public sale”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iCs/>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bCs/>
        </w:rPr>
        <w:t xml:space="preserve">Then→now:</w:t>
      </w:r>
      <w:r>
        <w:t xml:space="preserve"> </w:t>
      </w:r>
      <w:r>
        <w:t xml:space="preserve">A trust other states let bleed out → a</w:t>
      </w:r>
      <w:r>
        <w:t xml:space="preserve"> </w:t>
      </w:r>
      <w:r>
        <w:rPr>
          <w:b/>
          <w:bCs/>
        </w:rPr>
        <w:t xml:space="preserve">$430,690,564</w:t>
      </w:r>
      <w:r>
        <w:t xml:space="preserve"> </w:t>
      </w:r>
      <w:r>
        <w:t xml:space="preserve">fund [as of June 30, 2025], that returned</w:t>
      </w:r>
      <w:r>
        <w:t xml:space="preserve"> </w:t>
      </w:r>
      <w:r>
        <w:rPr>
          <w:b/>
          <w:bCs/>
        </w:rPr>
        <w:t xml:space="preserve">$15,590,737.54</w:t>
      </w:r>
      <w:r>
        <w:t xml:space="preserve"> </w:t>
      </w:r>
      <w:r>
        <w:t xml:space="preserve">to common schools in FY2025, defended by a 130-year unbroken line of court decisions.</w:t>
      </w:r>
    </w:p>
    <w:p>
      <w:pPr>
        <w:pStyle w:val="BodyText"/>
      </w:pPr>
      <w:r>
        <w:rPr>
          <w:b/>
          <w:bCs/>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“Kept &amp; Rebuilt.”</w:t>
      </w:r>
      <w:r>
        <w:t xml:space="preserve">)</w:t>
      </w:r>
    </w:p>
    <w:p>
      <w:pPr>
        <w:pStyle w:val="BodyText"/>
      </w:pPr>
      <w:r>
        <w:rPr>
          <w:i/>
          <w:iCs/>
        </w:rPr>
        <w:t xml:space="preserve">Sources/notes:</w:t>
      </w:r>
      <w:r>
        <w:t xml:space="preserve"> </w:t>
      </w:r>
      <w:r>
        <w:t xml:space="preserve">Omnibus Enabling Act of Feb. 22, 1889, 25 Stat. 676, secs. 10-11; S.D. Const. art. VIII secs. 7, 11;</w:t>
      </w:r>
      <w:r>
        <w:t xml:space="preserve"> </w:t>
      </w:r>
      <w:r>
        <w:rPr>
          <w:i/>
          <w:iCs/>
        </w:rPr>
        <w:t xml:space="preserve">State v. Ruth</w:t>
      </w:r>
      <w:r>
        <w:t xml:space="preserve"> </w:t>
      </w:r>
      <w:r>
        <w:t xml:space="preserve">(1896);</w:t>
      </w:r>
      <w:r>
        <w:t xml:space="preserve"> </w:t>
      </w:r>
      <w:r>
        <w:rPr>
          <w:i/>
          <w:iCs/>
        </w:rPr>
        <w:t xml:space="preserve">Schelle v. Foss</w:t>
      </w:r>
      <w:r>
        <w:t xml:space="preserve"> </w:t>
      </w:r>
      <w:r>
        <w:t xml:space="preserve">(1957);</w:t>
      </w:r>
      <w:r>
        <w:t xml:space="preserve"> </w:t>
      </w:r>
      <w:r>
        <w:rPr>
          <w:i/>
          <w:iCs/>
        </w:rPr>
        <w:t xml:space="preserve">Matthews v. Linn</w:t>
      </w:r>
      <w:r>
        <w:t xml:space="preserve"> </w:t>
      </w:r>
      <w:r>
        <w:t xml:space="preserve">(1959);</w:t>
      </w:r>
      <w:r>
        <w:t xml:space="preserve"> </w:t>
      </w:r>
      <w:r>
        <w:rPr>
          <w:i/>
          <w:iCs/>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bCs/>
        </w:rPr>
        <w:t xml:space="preserve">$10/acre</w:t>
      </w:r>
      <w:r>
        <w:t xml:space="preserve">, not $1.25; the Beadle Capitol statue and the</w:t>
      </w:r>
      <w:r>
        <w:t xml:space="preserve"> </w:t>
      </w:r>
      <w:r>
        <w:t xml:space="preserve">“Beadle Club”</w:t>
      </w:r>
      <w:r>
        <w:t xml:space="preserve"> </w:t>
      </w:r>
      <w:r>
        <w:t xml:space="preserve">of schoolmen who pushed the protections are the human hook.</w:t>
      </w:r>
    </w:p>
    <w:p>
      <w:r>
        <w:pict>
          <v:rect style="width:0;height:1.5pt" o:hralign="center" o:hrstd="t" o:hr="t"/>
        </w:pict>
      </w:r>
    </w:p>
    <w:p>
      <w:r>
        <w:br w:type="page"/>
      </w:r>
    </w:p>
    <w:bookmarkEnd w:id="161"/>
    <w:bookmarkStart w:id="165" w:name="X1fb5a2b5e1437f8e8b536da20b302182306808f"/>
    <w:p>
      <w:pPr>
        <w:pStyle w:val="Heading2"/>
      </w:pPr>
      <w:r>
        <w:t xml:space="preserve">Tennessee — The Trust That Talked Itself Out of Protection</w:t>
      </w:r>
    </w:p>
    <w:p>
      <w:pPr>
        <w:pStyle w:val="FirstParagraph"/>
      </w:pPr>
      <w:r>
        <w:drawing>
          <wp:inline>
            <wp:extent cx="731520" cy="853135"/>
            <wp:effectExtent b="0" l="0" r="0" t="0"/>
            <wp:docPr descr="QRFLOAT" title="" id="163" name="Picture"/>
            <a:graphic>
              <a:graphicData uri="http://schemas.openxmlformats.org/drawingml/2006/picture">
                <pic:pic>
                  <pic:nvPicPr>
                    <pic:cNvPr descr="C:/Users/drdav/My%20Drive/Claude%20Cowork/_tools/_web_cache/qr_us-tn_4c380839c719_1200x_q90.jpg" id="164" name="Picture"/>
                    <pic:cNvPicPr>
                      <a:picLocks noChangeArrowheads="1" noChangeAspect="1"/>
                    </pic:cNvPicPr>
                  </pic:nvPicPr>
                  <pic:blipFill>
                    <a:blip r:embed="rId16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1796 (no usable section-16 grant; former federal territory ceded by North Carolina) · Grant: belated, via the 1806 Compact — two 100,000-acre college tracts plus 640 acres per six-mile square</w:t>
      </w:r>
      <w:r>
        <w:rPr>
          <w:i/>
          <w:iCs/>
        </w:rPr>
        <w:t xml:space="preserve"> </w:t>
      </w:r>
      <w:r>
        <w:rPr>
          <w:i/>
          <w:iCs/>
        </w:rPr>
        <w:t xml:space="preserve">“where claims allowed”</w:t>
      </w:r>
      <w:r>
        <w:rPr>
          <w:i/>
          <w:iCs/>
        </w:rPr>
        <w:t xml:space="preserve"> </w:t>
      </w:r>
      <w:r>
        <w:rPr>
          <w:i/>
          <w:iCs/>
        </w:rPr>
        <w:t xml:space="preserve">· Trust fund: dismantled at the constitutional level in 1978 · Trustee: the General Assembly · Verdict: Lost (by repeal).</w:t>
      </w:r>
    </w:p>
    <w:p>
      <w:pPr>
        <w:pStyle w:val="BodyText"/>
      </w:pPr>
      <w:r>
        <w:rPr>
          <w:b/>
          <w:bCs/>
        </w:rPr>
        <w:t xml:space="preserve">Telling fact:</w:t>
      </w:r>
      <w:r>
        <w:t xml:space="preserve"> </w:t>
      </w:r>
      <w:r>
        <w:t xml:space="preserve">For 143 years Tennessee’s constitution protected a permanent school fund whose principal could</w:t>
      </w:r>
      <w:r>
        <w:t xml:space="preserve"> </w:t>
      </w:r>
      <w:r>
        <w:t xml:space="preserve">“never be diminished.”</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bCs/>
        </w:rPr>
        <w:t xml:space="preserve">Middle</w:t>
      </w:r>
      <w:r>
        <w:t xml:space="preserve"> </w:t>
      </w:r>
      <w:r>
        <w:t xml:space="preserve">Tennessee — plus a sprinkle of common-school land</w:t>
      </w:r>
      <w:r>
        <w:t xml:space="preserve"> </w:t>
      </w:r>
      <w:r>
        <w:t xml:space="preserve">“where existing claims allowed.”</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“the principal of which shall never be diminished by legislative appropriation,”</w:t>
      </w:r>
      <w:r>
        <w:t xml:space="preserve"> </w:t>
      </w:r>
      <w:r>
        <w:t xml:space="preserve">its interest</w:t>
      </w:r>
      <w:r>
        <w:t xml:space="preserve"> </w:t>
      </w:r>
      <w:r>
        <w:t xml:space="preserve">“inviolably appropriated”</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“recognizes the inherent value of education and encourages its support.”</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iCs/>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bCs/>
        </w:rPr>
        <w:t xml:space="preserve">Pull-quote:</w:t>
      </w:r>
      <w:r>
        <w:t xml:space="preserve"> </w:t>
      </w:r>
      <w:r>
        <w:rPr>
          <w:i/>
          <w:iCs/>
        </w:rPr>
        <w:t xml:space="preserve">“The principal of which shall never be diminished by legislative appropriation.”</w:t>
      </w:r>
      <w:r>
        <w:rPr>
          <w:i/>
          <w:iCs/>
        </w:rPr>
        <w:t xml:space="preserve"> </w:t>
      </w:r>
      <w:r>
        <w:rPr>
          <w:i/>
          <w:iCs/>
        </w:rPr>
        <w:t xml:space="preserve">— Tennessee Constitution of 1835, deleted by the voters in 1978.</w:t>
      </w:r>
    </w:p>
    <w:p>
      <w:pPr>
        <w:pStyle w:val="BodyText"/>
      </w:pPr>
      <w:r>
        <w:rPr>
          <w:b/>
          <w:bCs/>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“Lessons.”</w:t>
      </w:r>
      <w:r>
        <w:t xml:space="preserve">)</w:t>
      </w:r>
    </w:p>
    <w:p>
      <w:pPr>
        <w:pStyle w:val="BodyText"/>
      </w:pPr>
      <w:r>
        <w:rPr>
          <w:i/>
          <w:iCs/>
        </w:rPr>
        <w:t xml:space="preserve">Sources/notes:</w:t>
      </w:r>
      <w:r>
        <w:t xml:space="preserve"> </w:t>
      </w:r>
      <w:r>
        <w:t xml:space="preserve">Act of June 1, 1796, 1 Stat. 491; Compact of 1806, 2 Stat. 381; Tenn. Const. of 1835 art. XI sec. X; 1978 amendment to art. XI sec. 12;</w:t>
      </w:r>
      <w:r>
        <w:t xml:space="preserve"> </w:t>
      </w:r>
      <w:r>
        <w:rPr>
          <w:i/>
          <w:iCs/>
        </w:rPr>
        <w:t xml:space="preserve">Small Schools</w:t>
      </w:r>
      <w:r>
        <w:t xml:space="preserve"> </w:t>
      </w:r>
      <w:r>
        <w:t xml:space="preserve">trilogy. The second college tract was</w:t>
      </w:r>
      <w:r>
        <w:t xml:space="preserve"> </w:t>
      </w:r>
      <w:r>
        <w:rPr>
          <w:b/>
          <w:bCs/>
        </w:rPr>
        <w:t xml:space="preserve">Middle</w:t>
      </w:r>
      <w:r>
        <w:t xml:space="preserve"> </w:t>
      </w:r>
      <w:r>
        <w:t xml:space="preserve">Tennessee (Nashville), not West Tennessee; this draft keeps that correction.</w:t>
      </w:r>
    </w:p>
    <w:p>
      <w:r>
        <w:pict>
          <v:rect style="width:0;height:1.5pt" o:hralign="center" o:hrstd="t" o:hr="t"/>
        </w:pict>
      </w:r>
    </w:p>
    <w:p>
      <w:r>
        <w:br w:type="page"/>
      </w:r>
    </w:p>
    <w:bookmarkEnd w:id="165"/>
    <w:bookmarkStart w:id="169" w:name="X86d40a6e3b830d9711a73df5249a796369b204d"/>
    <w:p>
      <w:pPr>
        <w:pStyle w:val="Heading2"/>
      </w:pPr>
      <w:r>
        <w:t xml:space="preserve">Texas — The Sovereign That Kept Its Own Land</w:t>
      </w:r>
    </w:p>
    <w:p>
      <w:pPr>
        <w:pStyle w:val="FirstParagraph"/>
      </w:pPr>
      <w:r>
        <w:drawing>
          <wp:inline>
            <wp:extent cx="731520" cy="853135"/>
            <wp:effectExtent b="0" l="0" r="0" t="0"/>
            <wp:docPr descr="QRFLOAT" title="" id="167" name="Picture"/>
            <a:graphic>
              <a:graphicData uri="http://schemas.openxmlformats.org/drawingml/2006/picture">
                <pic:pic>
                  <pic:nvPicPr>
                    <pic:cNvPr descr="C:/Users/drdav/My%20Drive/Claude%20Cowork/_tools/_web_cache/qr_us-tx_610e27447abe_1200x_q90.jpg" id="168" name="Picture"/>
                    <pic:cNvPicPr>
                      <a:picLocks noChangeArrowheads="1" noChangeAspect="1"/>
                    </pic:cNvPicPr>
                  </pic:nvPicPr>
                  <pic:blipFill>
                    <a:blip r:embed="rId16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1845 (annexed as a republic; retained its own public domain) - Grant: none from Congress – Texas kept about 175 million acres and dedicated half the public domain to schools - Permanent School Fund about</w:t>
      </w:r>
      <w:r>
        <w:rPr>
          <w:i/>
          <w:iCs/>
        </w:rPr>
        <w:t xml:space="preserve"> </w:t>
      </w:r>
      <w:r>
        <w:rPr>
          <w:b/>
          <w:bCs/>
          <w:i/>
          <w:iCs/>
        </w:rPr>
        <w:t xml:space="preserve">$60.6 billion net</w:t>
      </w:r>
      <w:r>
        <w:rPr>
          <w:i/>
          <w:iCs/>
        </w:rPr>
        <w:t xml:space="preserve"> </w:t>
      </w:r>
      <w:r>
        <w:rPr>
          <w:i/>
          <w:iCs/>
        </w:rPr>
        <w:t xml:space="preserve">[as of Aug. 31, 2025] - Trustee: an elected State Board of Education and an elected Land Commissioner - Verdict: Built a trust with no federal land (and built the biggest one of all).</w:t>
      </w:r>
    </w:p>
    <w:p>
      <w:pPr>
        <w:pStyle w:val="BodyText"/>
      </w:pPr>
      <w:r>
        <w:rPr>
          <w:b/>
          <w:bCs/>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“all the vacant and unappropriated lands lying within its limits”</w:t>
      </w:r>
      <w:r>
        <w:t xml:space="preserve"> </w:t>
      </w:r>
      <w:r>
        <w:t xml:space="preserve">— roughly 175 million acres — to pay its own debts and then dispose of as it saw fit. No section 16, no section 36, no</w:t>
      </w:r>
      <w:r>
        <w:t xml:space="preserve"> </w:t>
      </w:r>
      <w:r>
        <w:t xml:space="preserve">“in trust”</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“Special School Fund.”</w:t>
      </w:r>
      <w:r>
        <w:t xml:space="preserve"> </w:t>
      </w:r>
      <w:r>
        <w:t xml:space="preserve">The real engine, though, was written into the 1876 Constitution, which dedicated</w:t>
      </w:r>
      <w:r>
        <w:t xml:space="preserve"> </w:t>
      </w:r>
      <w:r>
        <w:t xml:space="preserve">“one half of the public domain of the State”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bCs/>
        </w:rPr>
        <w:t xml:space="preserve">Then→now:</w:t>
      </w:r>
      <w:r>
        <w:t xml:space="preserve"> </w:t>
      </w:r>
      <w:r>
        <w:t xml:space="preserve">A republic’s 175 million acres → a Permanent School Fund of roughly</w:t>
      </w:r>
      <w:r>
        <w:t xml:space="preserve"> </w:t>
      </w:r>
      <w:r>
        <w:rPr>
          <w:b/>
          <w:bCs/>
        </w:rPr>
        <w:t xml:space="preserve">$60.6 billion</w:t>
      </w:r>
      <w:r>
        <w:t xml:space="preserve"> </w:t>
      </w:r>
      <w:r>
        <w:t xml:space="preserve">[as of Aug. 31, 2025], with billions distributed to the Available School Fund each biennium.</w:t>
      </w:r>
    </w:p>
    <w:p>
      <w:pPr>
        <w:pStyle w:val="BodyText"/>
      </w:pPr>
      <w:r>
        <w:rPr>
          <w:b/>
          <w:bCs/>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“Trust Without the Land.”</w:t>
      </w:r>
      <w:r>
        <w:t xml:space="preserve">)</w:t>
      </w:r>
    </w:p>
    <w:p>
      <w:pPr>
        <w:pStyle w:val="BodyText"/>
      </w:pPr>
      <w:r>
        <w:rPr>
          <w:i/>
          <w:iCs/>
        </w:rPr>
        <w:t xml:space="preserve">Sources/notes:</w:t>
      </w:r>
      <w:r>
        <w:t xml:space="preserve"> </w:t>
      </w:r>
      <w:r>
        <w:t xml:space="preserve">Joint Resolution for Annexing Texas (1845); Compromise of 1850; Tex. Const. art. VII secs. 1-5;</w:t>
      </w:r>
      <w:r>
        <w:t xml:space="preserve"> </w:t>
      </w:r>
      <w:r>
        <w:rPr>
          <w:i/>
          <w:iCs/>
        </w:rPr>
        <w:t xml:space="preserve">United States v. Louisiana</w:t>
      </w:r>
      <w:r>
        <w:t xml:space="preserve"> </w:t>
      </w:r>
      <w:r>
        <w:t xml:space="preserve">(1960);</w:t>
      </w:r>
      <w:r>
        <w:t xml:space="preserve"> </w:t>
      </w:r>
      <w:r>
        <w:rPr>
          <w:i/>
          <w:iCs/>
        </w:rPr>
        <w:t xml:space="preserve">Edgewood ISD v. Kirby</w:t>
      </w:r>
      <w:r>
        <w:t xml:space="preserve"> </w:t>
      </w:r>
      <w:r>
        <w:t xml:space="preserve">(1989);</w:t>
      </w:r>
      <w:r>
        <w:t xml:space="preserve"> </w:t>
      </w:r>
      <w:r>
        <w:rPr>
          <w:i/>
          <w:iCs/>
        </w:rPr>
        <w:t xml:space="preserve">Morath</w:t>
      </w:r>
      <w:r>
        <w:t xml:space="preserve"> </w:t>
      </w:r>
      <w:r>
        <w:t xml:space="preserve">(2016). Present-day corpus stated as about $60.6B net [as of Aug. 31, 2025], per the Texas Permanent School Fund Corporation FY2025 Annual Comprehensive Financial Report and TEA disclosure. The</w:t>
      </w:r>
      <w:r>
        <w:t xml:space="preserve"> </w:t>
      </w:r>
      <w:r>
        <w:rPr>
          <w:i/>
          <w:iCs/>
        </w:rPr>
        <w:t xml:space="preserve">Edgewood</w:t>
      </w:r>
      <w:r>
        <w:t xml:space="preserve"> </w:t>
      </w:r>
      <w:r>
        <w:t xml:space="preserve">line is an adequacy duty, not a trust-corpus case, and is kept distinct.</w:t>
      </w:r>
    </w:p>
    <w:p>
      <w:r>
        <w:pict>
          <v:rect style="width:0;height:1.5pt" o:hralign="center" o:hrstd="t" o:hr="t"/>
        </w:pict>
      </w:r>
    </w:p>
    <w:p>
      <w:r>
        <w:br w:type="page"/>
      </w:r>
    </w:p>
    <w:bookmarkEnd w:id="169"/>
    <w:bookmarkStart w:id="174" w:name="utah---the-fall-and-the-rebuilding"/>
    <w:p>
      <w:pPr>
        <w:pStyle w:val="Heading2"/>
      </w:pPr>
      <w:r>
        <w:t xml:space="preserve">Utah - The Fall and the Rebuilding</w:t>
      </w:r>
    </w:p>
    <w:p>
      <w:pPr>
        <w:pStyle w:val="FirstParagraph"/>
      </w:pPr>
      <w:r>
        <w:rPr>
          <w:i/>
          <w:iCs/>
        </w:rPr>
        <w:t xml:space="preserve">Admitted 1896 (first 4-section grant: sections 2, 16, 32, 36) - Grant: about 5.8 million school acres, about 7.5 million across all trusts - Permanent funds totaling about</w:t>
      </w:r>
      <w:r>
        <w:rPr>
          <w:i/>
          <w:iCs/>
        </w:rPr>
        <w:t xml:space="preserve"> </w:t>
      </w:r>
      <w:r>
        <w:rPr>
          <w:b/>
          <w:bCs/>
          <w:i/>
          <w:iCs/>
        </w:rPr>
        <w:t xml:space="preserve">$3.3 billion</w:t>
      </w:r>
      <w:r>
        <w:rPr>
          <w:i/>
          <w:iCs/>
        </w:rPr>
        <w:t xml:space="preserve"> </w:t>
      </w:r>
      <w:r>
        <w:rPr>
          <w:i/>
          <w:iCs/>
        </w:rPr>
        <w:t xml:space="preserve">in FY2025 official performance reporting - Trustee: SITLA (land) + SITFO (investments), statutory - Verdict: Lost and recovered.</w:t>
      </w:r>
    </w:p>
    <w:p>
      <w:pPr>
        <w:pStyle w:val="BodyText"/>
      </w:pPr>
      <w:r>
        <w:rPr>
          <w:b/>
          <w:bCs/>
        </w:rPr>
        <w:t xml:space="preserve">Telling fact:</w:t>
      </w:r>
      <w:r>
        <w:t xml:space="preserve"> </w:t>
      </w:r>
      <w:r>
        <w:t xml:space="preserve">In a single year, 1983, Utah drained roughly two-thirds of the permanent school fund - and then an education coalition spent the next decade building one of the strongest trust recoveries in the West.</w:t>
      </w:r>
    </w:p>
    <w:p>
      <w:pPr>
        <w:pStyle w:val="BodyText"/>
      </w:pPr>
      <w:r>
        <w:t xml:space="preserve">Utah got the strongest federal grant Congress had yet written: four sections per township, plus explicit permanent-fund protection. Its 1896 constitution went further, pledging the state’s own treasury to guarantee the fund</w:t>
      </w:r>
      <w:r>
        <w:t xml:space="preserve"> </w:t>
      </w:r>
      <w:r>
        <w:t xml:space="preserve">“against loss or diversion.”</w:t>
      </w:r>
      <w:r>
        <w:t xml:space="preserve"> </w:t>
      </w:r>
      <w:r>
        <w:t xml:space="preserve">A convention delegate named Eichnor insisted on that guaranty over objections that it was redundant. The events of the 1980s proved him right.</w:t>
      </w:r>
    </w:p>
    <w:p>
      <w:pPr>
        <w:pStyle w:val="BodyText"/>
      </w:pPr>
      <w:r>
        <w:t xml:space="preserve">For its first eight decades the trust drifted. By the 1930s more than half the original acreage had been sold, often cheaply. The crisis that came next is documented beyond doubt.</w:t>
      </w:r>
    </w:p>
    <w:p>
      <w:pPr>
        <w:pStyle w:val="BodyText"/>
      </w:pPr>
      <w:r>
        <w:t xml:space="preserve">In</w:t>
      </w:r>
      <w:r>
        <w:t xml:space="preserve"> </w:t>
      </w:r>
      <w:r>
        <w:rPr>
          <w:i/>
          <w:iCs/>
        </w:rPr>
        <w:t xml:space="preserve">Jensen v. Dinehart</w:t>
      </w:r>
      <w:r>
        <w:t xml:space="preserve"> </w:t>
      </w:r>
      <w:r>
        <w:t xml:space="preserve">(1982), the Utah Supreme Court majority ruled for the State Auditor and held that mineral proceeds from school sections could be placed in the expendable Uniform School Fund. Justice Dallin Oaks dissented in part. His dissent drew the line Margaret has emphasized for years: lands received under the 1894 Enabling Act were held in trust, and their mineral proceeds belonged in the permanent fund. The majority’s decision opened the door the trust needed shut. In the 1983 session, with Utah in recession, the legislature withdrew about $37.5 million from the State School Fund. The corpus fell from about $53.5 million to about $18.6 million.</w:t>
      </w:r>
    </w:p>
    <w:p>
      <w:pPr>
        <w:pStyle w:val="BodyText"/>
      </w:pPr>
      <w:r>
        <w:t xml:space="preserve">That was the fall. The rebuilding came from a constituency. The recovery was led by Margaret Bird and a broad education coalition: the State Board of Education, the Utah Education Association, school boards, principals, parent organizations, and legislators, especially Representative Mel Brown. The coalition had already fought Governor Scott Matheson’s Project BOLD, which Margaret says concealed a proposal to rewrite the Enabling Act so the grant would run to the state rather than for the schools. The reform that followed created SITLA in 1994 as an independent fiduciary agency with a statutory duty of undivided loyalty. Later came SITFO for investments, a trust-lands advocacy office, and the School LAND Trust Program, which sends money visibly to schools through parent-majority councils.</w:t>
      </w:r>
    </w:p>
    <w:p>
      <w:pPr>
        <w:pStyle w:val="BodyText"/>
      </w:pPr>
      <w:r>
        <w:rPr>
          <w:b/>
          <w:bCs/>
        </w:rPr>
        <w:t xml:space="preserve">Then-&gt;now:</w:t>
      </w:r>
      <w:r>
        <w:t xml:space="preserve"> </w:t>
      </w:r>
      <w:r>
        <w:t xml:space="preserve">A corpus drained to about $18.6 million in 1983 -&gt; permanent funds totaling about</w:t>
      </w:r>
      <w:r>
        <w:t xml:space="preserve"> </w:t>
      </w:r>
      <w:r>
        <w:rPr>
          <w:b/>
          <w:bCs/>
        </w:rPr>
        <w:t xml:space="preserve">$3.3 billion</w:t>
      </w:r>
      <w:r>
        <w:t xml:space="preserve"> </w:t>
      </w:r>
      <w:r>
        <w:t xml:space="preserve">in FY2025 official performance reporting, with FY2025 distributions over</w:t>
      </w:r>
      <w:r>
        <w:t xml:space="preserve"> </w:t>
      </w:r>
      <w:r>
        <w:rPr>
          <w:b/>
          <w:bCs/>
        </w:rPr>
        <w:t xml:space="preserve">$118 million</w:t>
      </w:r>
      <w:r>
        <w:t xml:space="preserve">, including over</w:t>
      </w:r>
      <w:r>
        <w:t xml:space="preserve"> </w:t>
      </w:r>
      <w:r>
        <w:rPr>
          <w:b/>
          <w:bCs/>
        </w:rPr>
        <w:t xml:space="preserve">$111 million</w:t>
      </w:r>
      <w:r>
        <w:t xml:space="preserve"> </w:t>
      </w:r>
      <w:r>
        <w:t xml:space="preserve">to K-12 public education.</w:t>
      </w:r>
    </w:p>
    <w:p>
      <w:pPr>
        <w:pStyle w:val="BodyText"/>
      </w:pPr>
      <w:r>
        <w:rPr>
          <w:b/>
          <w:bCs/>
        </w:rPr>
        <w:t xml:space="preserve">Lesson:</w:t>
      </w:r>
      <w:r>
        <w:t xml:space="preserve"> </w:t>
      </w:r>
      <w:r>
        <w:t xml:space="preserve">Utah is both warning and proof. Strong language did not stop the raid when no constituency could stop it. A visible, organized beneficiary public helped rebuild the trust and made the next raid harder. (See Ch. 8.)</w:t>
      </w:r>
    </w:p>
    <w:p>
      <w:pPr>
        <w:pStyle w:val="BodyText"/>
      </w:pPr>
      <w:r>
        <w:rPr>
          <w:i/>
          <w:iCs/>
        </w:rPr>
        <w:t xml:space="preserve">Sources/notes:</w:t>
      </w:r>
      <w:r>
        <w:t xml:space="preserve"> </w:t>
      </w:r>
      <w:r>
        <w:rPr>
          <w:i/>
          <w:iCs/>
        </w:rPr>
        <w:t xml:space="preserve">Jensen v. Dinehart</w:t>
      </w:r>
      <w:r>
        <w:t xml:space="preserve">, 645 P.2d 32 (Utah 1982); Utah Enabling Act of 1894, sec. 6; Utah Const. art. X sec. 5(2)(e); Title 53C (SITLA, 1994); Title 53D (SITFO 2014, LTPAO 2018); School LAND Trust Program (1999); Amendment B (2024); Utah Trust Lands FY2025 performance reporting. An earlier draft of this book treated</w:t>
      </w:r>
      <w:r>
        <w:t xml:space="preserve"> </w:t>
      </w:r>
      <w:r>
        <w:rPr>
          <w:i/>
          <w:iCs/>
        </w:rPr>
        <w:t xml:space="preserve">Jensen</w:t>
      </w:r>
      <w:r>
        <w:t xml:space="preserve"> </w:t>
      </w:r>
      <w:r>
        <w:t xml:space="preserve">as a clean trust win; it was not: the majority allowed Uniform School Fund treatment for mineral proceeds, while Justice Oaks dissented for Enabling Act lands. Recovery led by Margaret Bird and the education coalition, with PTA an essential partner. Project BOLD page-124 account remains to be pinned to the archive packet and should be left for Margaret if a first-person account is used. An earlier draft stated that sale proceeds did not always reach the permanent fund as the grant required; Margaret doubts it and the record has not proved it, so the claim is omitted from this edition.</w:t>
      </w:r>
    </w:p>
    <w:p>
      <w:r>
        <w:pict>
          <v:rect style="width:0;height:1.5pt" o:hralign="center" o:hrstd="t" o:hr="t"/>
        </w:pict>
      </w:r>
    </w:p>
    <w:bookmarkStart w:id="173" w:name="Xd7f81f87d785ad3381212c065af092376914e75"/>
    <w:p>
      <w:pPr>
        <w:pStyle w:val="Heading3"/>
      </w:pPr>
      <w:r>
        <w:t xml:space="preserve">The last fifty years: fall, reform, and a fresh test</w:t>
      </w:r>
    </w:p>
    <w:p>
      <w:pPr>
        <w:pStyle w:val="FirstParagraph"/>
      </w:pPr>
      <w:r>
        <w:drawing>
          <wp:inline>
            <wp:extent cx="731520" cy="853135"/>
            <wp:effectExtent b="0" l="0" r="0" t="0"/>
            <wp:docPr descr="QRFLOAT" title="" id="171" name="Picture"/>
            <a:graphic>
              <a:graphicData uri="http://schemas.openxmlformats.org/drawingml/2006/picture">
                <pic:pic>
                  <pic:nvPicPr>
                    <pic:cNvPr descr="C:/Users/drdav/My%20Drive/Claude%20Cowork/_tools/_web_cache/qr_us-ut_f14e9045f694_1200x_q90.jpg" id="172" name="Picture"/>
                    <pic:cNvPicPr>
                      <a:picLocks noChangeArrowheads="1" noChangeAspect="1"/>
                    </pic:cNvPicPr>
                  </pic:nvPicPr>
                  <pic:blipFill>
                    <a:blip r:embed="rId17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t xml:space="preserve">Utah is this book’s proof that a broken trust can be rebuilt - and its warning that the work is never finished. For most of a century Utah managed its school lands the way many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the school boards, and Representative Mel Brown, who carried the reform when it counted. The data that made the case took one researcher the better part of those fifteen years to compile.</w:t>
      </w:r>
    </w:p>
    <w:p>
      <w:pPr>
        <w:pStyle w:val="BodyText"/>
      </w:pPr>
      <w:r>
        <w:t xml:space="preserve">Two things broke the logjam. The first was public pressure around federal monument designations and school sections trapped inside protected boundaries. The 1998 Utah Schools and Lands Exchange Act / Grand Staircase exchange record included a $50 million cash component for the schools. The second was structural and lasting: in 1994 Utah created an independent trust-lands administration with a single fiduciary mandate, walled off from ordinary budget pressure. Freed to manage for the beneficiaries alone, the permanent fund grew into the billions, and Utah became a model other states cite.</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Public appropriations records trace the purchase money to a $50 million legislative appropriation earmarked for the land purchase from the Trust Lands Administration; the complete official transaction record was still being assembled as this book went to press. Whether Utah stays in the honorable column is, right now, an open question - which is the truest lesson of all: the duty does not expire, the temptation does not end, and the only thing that ever protected the gift was someone willing to watch.</w:t>
      </w:r>
    </w:p>
    <w:p>
      <w:r>
        <w:br w:type="page"/>
      </w:r>
    </w:p>
    <w:bookmarkEnd w:id="173"/>
    <w:bookmarkEnd w:id="174"/>
    <w:bookmarkStart w:id="178" w:name="X9ba134c504c27359b7ddba47a23989927ccc424"/>
    <w:p>
      <w:pPr>
        <w:pStyle w:val="Heading2"/>
      </w:pPr>
      <w:r>
        <w:t xml:space="preserve">Washington - The State That Wrote the Enforcement In</w:t>
      </w:r>
    </w:p>
    <w:p>
      <w:pPr>
        <w:pStyle w:val="FirstParagraph"/>
      </w:pPr>
      <w:r>
        <w:drawing>
          <wp:inline>
            <wp:extent cx="731520" cy="853135"/>
            <wp:effectExtent b="0" l="0" r="0" t="0"/>
            <wp:docPr descr="QRFLOAT" title="" id="176" name="Picture"/>
            <a:graphic>
              <a:graphicData uri="http://schemas.openxmlformats.org/drawingml/2006/picture">
                <pic:pic>
                  <pic:nvPicPr>
                    <pic:cNvPr descr="C:/Users/drdav/My%20Drive/Claude%20Cowork/_tools/_web_cache/qr_us-wa_38c978bc0e5e_1200x_q90.jpg" id="177" name="Picture"/>
                    <pic:cNvPicPr>
                      <a:picLocks noChangeArrowheads="1" noChangeAspect="1"/>
                    </pic:cNvPicPr>
                  </pic:nvPicPr>
                  <pic:blipFill>
                    <a:blip r:embed="rId17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bCs/>
        </w:rPr>
        <w:t xml:space="preserve">Telling fact:</w:t>
      </w:r>
      <w:r>
        <w:t xml:space="preserve"> </w:t>
      </w:r>
      <w:r>
        <w:t xml:space="preserve">Washington’s constitution made trust protection visible: granted lands are held in trust, cannot be disposed of without full market value, and are managed by an elected Commissioner of Public Lands.</w:t>
      </w:r>
    </w:p>
    <w:p>
      <w:pPr>
        <w:pStyle w:val="BodyText"/>
      </w:pPr>
      <w:r>
        <w:t xml:space="preserve">Washington entered under the 1889 Omnibus Act with the Dakotas and Montana. The federal act granted sections 16 and 36 for common schools and required protective terms around sale and disposition. What set Washington apart was what the state wrote around that grant before statehood. Article IX, sec. 1 opens with the famous education sentence:</w:t>
      </w:r>
      <w:r>
        <w:t xml:space="preserve"> </w:t>
      </w:r>
      <w:r>
        <w:t xml:space="preserve">“It is the paramount duty of the state to make ample provision for the education of all children.”</w:t>
      </w:r>
      <w:r>
        <w:t xml:space="preserve"> </w:t>
      </w:r>
      <w:r>
        <w:t xml:space="preserve">Article IX, sec. 3 locks the permanent common school fund. Article XVI, the School and Granted Lands article, declares that public lands granted to the state are held in trust and cannot be disposed of unless full market value is paid or safely secured. The framers also chose a single elected Commissioner of Public Lands, making the trustee visible in a way a board often is not.</w:t>
      </w:r>
    </w:p>
    <w:p>
      <w:pPr>
        <w:pStyle w:val="BodyText"/>
      </w:pPr>
      <w:r>
        <w:t xml:space="preserve">The trust-land doctrine that grew out of Article XVI is among the best-developed in the country. In</w:t>
      </w:r>
      <w:r>
        <w:t xml:space="preserve"> </w:t>
      </w:r>
      <w:r>
        <w:rPr>
          <w:i/>
          <w:iCs/>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“real, not illusory,”</w:t>
      </w:r>
      <w:r>
        <w:t xml:space="preserve"> </w:t>
      </w:r>
      <w:r>
        <w:t xml:space="preserve">and even the United States, having created the trust, had to pay full value. In</w:t>
      </w:r>
      <w:r>
        <w:t xml:space="preserve"> </w:t>
      </w:r>
      <w:r>
        <w:rPr>
          <w:i/>
          <w:iCs/>
        </w:rPr>
        <w:t xml:space="preserve">County of Skamania v. State</w:t>
      </w:r>
      <w:r>
        <w:t xml:space="preserve"> </w:t>
      </w:r>
      <w:r>
        <w:t xml:space="preserve">(1984), the state supreme court struck down a timber-contract bailout that shifted private losses onto schoolchildren. As recently as 2022, in</w:t>
      </w:r>
      <w:r>
        <w:t xml:space="preserve"> </w:t>
      </w:r>
      <w:r>
        <w:rPr>
          <w:i/>
          <w:iCs/>
        </w:rPr>
        <w:t xml:space="preserve">Conservation Northwest</w:t>
      </w:r>
      <w:r>
        <w:t xml:space="preserve">, the court held that the trust runs to the enumerated school and institutional beneficiaries, not to the general public, and that the Commissioner has real management discretion.</w:t>
      </w:r>
    </w:p>
    <w:p>
      <w:pPr>
        <w:pStyle w:val="BodyText"/>
      </w:pPr>
      <w:r>
        <w:t xml:space="preserve">Running on a separate track is Washington’s far more famous funding litigation.</w:t>
      </w:r>
      <w:r>
        <w:t xml:space="preserve"> </w:t>
      </w:r>
      <w:r>
        <w:rPr>
          <w:i/>
          <w:iCs/>
        </w:rPr>
        <w:t xml:space="preserve">Seattle School District No. 1</w:t>
      </w:r>
      <w:r>
        <w:t xml:space="preserve"> </w:t>
      </w:r>
      <w:r>
        <w:t xml:space="preserve">(1978) and</w:t>
      </w:r>
      <w:r>
        <w:t xml:space="preserve"> </w:t>
      </w:r>
      <w:r>
        <w:rPr>
          <w:i/>
          <w:iCs/>
        </w:rPr>
        <w:t xml:space="preserve">McCleary v. State</w:t>
      </w:r>
      <w:r>
        <w:t xml:space="preserve"> </w:t>
      </w:r>
      <w:r>
        <w:t xml:space="preserve">(2012) concern the paramount-duty school-funding clause, not the trust-land corpus. The two doctrines share a constitution; they should not be confused.</w:t>
      </w:r>
    </w:p>
    <w:p>
      <w:pPr>
        <w:pStyle w:val="BodyText"/>
      </w:pPr>
      <w:r>
        <w:rPr>
          <w:b/>
          <w:bCs/>
        </w:rPr>
        <w:t xml:space="preserve">Then-&gt;now:</w:t>
      </w:r>
      <w:r>
        <w:t xml:space="preserve"> </w:t>
      </w:r>
      <w:r>
        <w:t xml:space="preserve">A federal school grant reinforced by state constitutional trust text -&gt; a trust enforced against timber companies and the federal government alike.</w:t>
      </w:r>
    </w:p>
    <w:p>
      <w:pPr>
        <w:pStyle w:val="BodyText"/>
      </w:pPr>
      <w:r>
        <w:rPr>
          <w:b/>
          <w:bCs/>
        </w:rPr>
        <w:t xml:space="preserve">Lesson:</w:t>
      </w:r>
      <w:r>
        <w:t xml:space="preserve"> </w:t>
      </w:r>
      <w:r>
        <w:t xml:space="preserve">Washington’s strength is not that another trust had to be invented. Its strength is that the state made the trustee, value rule, and enforcement path visible. (See Ch. 8.)</w:t>
      </w:r>
    </w:p>
    <w:p>
      <w:pPr>
        <w:pStyle w:val="BodyText"/>
      </w:pPr>
      <w:r>
        <w:rPr>
          <w:i/>
          <w:iCs/>
        </w:rPr>
        <w:t xml:space="preserve">Sources/notes:</w:t>
      </w:r>
      <w:r>
        <w:t xml:space="preserve"> </w:t>
      </w:r>
      <w:r>
        <w:t xml:space="preserve">Omnibus Enabling Act (1889) secs. 10-11; Wash. Const. art. IX secs. 1, 3, art. XVI sec. 1;</w:t>
      </w:r>
      <w:r>
        <w:t xml:space="preserve"> </w:t>
      </w:r>
      <w:r>
        <w:rPr>
          <w:i/>
          <w:iCs/>
        </w:rPr>
        <w:t xml:space="preserve">United States v. 111.2 Acres</w:t>
      </w:r>
      <w:r>
        <w:t xml:space="preserve"> </w:t>
      </w:r>
      <w:r>
        <w:t xml:space="preserve">(1968);</w:t>
      </w:r>
      <w:r>
        <w:t xml:space="preserve"> </w:t>
      </w:r>
      <w:r>
        <w:rPr>
          <w:i/>
          <w:iCs/>
        </w:rPr>
        <w:t xml:space="preserve">County of Skamania v. State</w:t>
      </w:r>
      <w:r>
        <w:t xml:space="preserve"> </w:t>
      </w:r>
      <w:r>
        <w:t xml:space="preserve">(1984);</w:t>
      </w:r>
      <w:r>
        <w:t xml:space="preserve"> </w:t>
      </w:r>
      <w:r>
        <w:rPr>
          <w:i/>
          <w:iCs/>
        </w:rPr>
        <w:t xml:space="preserve">Conservation Northwest</w:t>
      </w:r>
      <w:r>
        <w:t xml:space="preserve"> </w:t>
      </w:r>
      <w:r>
        <w:t xml:space="preserve">(2022);</w:t>
      </w:r>
      <w:r>
        <w:t xml:space="preserve"> </w:t>
      </w:r>
      <w:r>
        <w:rPr>
          <w:i/>
          <w:iCs/>
        </w:rPr>
        <w:t xml:space="preserve">Seattle School District No. 1</w:t>
      </w:r>
      <w:r>
        <w:t xml:space="preserve"> </w:t>
      </w:r>
      <w:r>
        <w:t xml:space="preserve">(1978);</w:t>
      </w:r>
      <w:r>
        <w:t xml:space="preserve"> </w:t>
      </w:r>
      <w:r>
        <w:rPr>
          <w:i/>
          <w:iCs/>
        </w:rPr>
        <w:t xml:space="preserve">McCleary v. State</w:t>
      </w:r>
      <w:r>
        <w:t xml:space="preserve"> </w:t>
      </w:r>
      <w:r>
        <w:t xml:space="preserve">(2012). The</w:t>
      </w:r>
      <w:r>
        <w:t xml:space="preserve"> </w:t>
      </w:r>
      <w:r>
        <w:rPr>
          <w:i/>
          <w:iCs/>
        </w:rPr>
        <w:t xml:space="preserve">McCleary</w:t>
      </w:r>
      <w:r>
        <w:t xml:space="preserve"> </w:t>
      </w:r>
      <w:r>
        <w:t xml:space="preserve">“paramount duty”</w:t>
      </w:r>
      <w:r>
        <w:t xml:space="preserve"> </w:t>
      </w:r>
      <w:r>
        <w:t xml:space="preserve">line is a school-funding doctrine, not a trust-lands doctrine, and is distinguished here.</w:t>
      </w:r>
      <w:r>
        <w:t xml:space="preserve"> </w:t>
      </w:r>
      <w:r>
        <w:rPr>
          <w:i/>
          <w:iCs/>
        </w:rPr>
        <w:t xml:space="preserve">Skamania</w:t>
      </w:r>
      <w:r>
        <w:t xml:space="preserve"> </w:t>
      </w:r>
      <w:r>
        <w:t xml:space="preserve">enforced undivided loyalty.</w:t>
      </w:r>
    </w:p>
    <w:p>
      <w:r>
        <w:pict>
          <v:rect style="width:0;height:1.5pt" o:hralign="center" o:hrstd="t" o:hr="t"/>
        </w:pict>
      </w:r>
    </w:p>
    <w:p>
      <w:r>
        <w:br w:type="page"/>
      </w:r>
    </w:p>
    <w:bookmarkEnd w:id="178"/>
    <w:bookmarkStart w:id="182" w:name="Xcf339999e7e18dde0bdde25b80d10f3431dd343"/>
    <w:p>
      <w:pPr>
        <w:pStyle w:val="Heading2"/>
      </w:pPr>
      <w:r>
        <w:t xml:space="preserve">Wisconsin — The Honest Clerk Who Lent the Children’s Money Cheap</w:t>
      </w:r>
    </w:p>
    <w:p>
      <w:pPr>
        <w:pStyle w:val="FirstParagraph"/>
      </w:pPr>
      <w:r>
        <w:drawing>
          <wp:inline>
            <wp:extent cx="731520" cy="853135"/>
            <wp:effectExtent b="0" l="0" r="0" t="0"/>
            <wp:docPr descr="QRFLOAT" title="" id="180" name="Picture"/>
            <a:graphic>
              <a:graphicData uri="http://schemas.openxmlformats.org/drawingml/2006/picture">
                <pic:pic>
                  <pic:nvPicPr>
                    <pic:cNvPr descr="C:/Users/drdav/My%20Drive/Claude%20Cowork/_tools/_web_cache/qr_us-wi_41b721950592_1200x_q90.jpg" id="181" name="Picture"/>
                    <pic:cNvPicPr>
                      <a:picLocks noChangeArrowheads="1" noChangeAspect="1"/>
                    </pic:cNvPicPr>
                  </pic:nvPicPr>
                  <pic:blipFill>
                    <a:blip r:embed="rId17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1848 · Grant: ONE section (16 only) per township, ~1 million acres (with the broader trust grant reaching ~4 million acres across all funds) · Common School Fund principal over</w:t>
      </w:r>
      <w:r>
        <w:rPr>
          <w:i/>
          <w:iCs/>
        </w:rPr>
        <w:t xml:space="preserve"> </w:t>
      </w:r>
      <w:r>
        <w:rPr>
          <w:b/>
          <w:bCs/>
          <w:i/>
          <w:iCs/>
        </w:rPr>
        <w:t xml:space="preserve">$1.6 billion</w:t>
      </w:r>
      <w:r>
        <w:rPr>
          <w:i/>
          <w:iCs/>
        </w:rPr>
        <w:t xml:space="preserve"> </w:t>
      </w:r>
      <w:r>
        <w:rPr>
          <w:i/>
          <w:iCs/>
        </w:rPr>
        <w:t xml:space="preserve">[as of Aug. 2025] · Trustee: ex-officio board of Secretary of State, Treasurer, and Attorney General · Verdict: Kept faith.</w:t>
      </w:r>
    </w:p>
    <w:p>
      <w:pPr>
        <w:pStyle w:val="BodyText"/>
      </w:pPr>
      <w:r>
        <w:rPr>
          <w:b/>
          <w:bCs/>
        </w:rPr>
        <w:t xml:space="preserve">Telling fact:</w:t>
      </w:r>
      <w:r>
        <w:t xml:space="preserve"> </w:t>
      </w:r>
      <w:r>
        <w:t xml:space="preserve">Wisconsin got the same early federal grant Ohio squandered — and put the</w:t>
      </w:r>
      <w:r>
        <w:t xml:space="preserve"> </w:t>
      </w:r>
      <w:r>
        <w:rPr>
          <w:i/>
          <w:iCs/>
        </w:rPr>
        <w:t xml:space="preserve">Attorney General</w:t>
      </w:r>
      <w:r>
        <w:t xml:space="preserve">, not the Governor, on the trustee board, the one officer most inclined to sue the state itself when it strayed.</w:t>
      </w:r>
    </w:p>
    <w:p>
      <w:pPr>
        <w:pStyle w:val="BodyText"/>
      </w:pPr>
      <w:r>
        <w:t xml:space="preserve">Wisconsin received the same early section-sixteen grant Ohio did: a single section per township</w:t>
      </w:r>
      <w:r>
        <w:t xml:space="preserve"> </w:t>
      </w:r>
      <w:r>
        <w:t xml:space="preserve">“for the use of schools.”</w:t>
      </w:r>
      <w:r>
        <w:t xml:space="preserve"> </w:t>
      </w:r>
      <w:r>
        <w:t xml:space="preserve">Ohio depleted its endowment almost to nothing. Wisconsin built a Common School Fund now past $1.6 billion that distributes a record $73.5 million a year to school libraries. The duty was the same;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iCs/>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“Forty Thieves”</w:t>
      </w:r>
      <w:r>
        <w:t xml:space="preserve"> </w:t>
      </w:r>
      <w:r>
        <w:t xml:space="preserve">and Governor Barstow’s administration, and an 1856 committee found</w:t>
      </w:r>
      <w:r>
        <w:t xml:space="preserve"> </w:t>
      </w:r>
      <w:r>
        <w:t xml:space="preserve">“gross irregularity and perhaps fraud”</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bCs/>
        </w:rPr>
        <w:t xml:space="preserve">Then→now:</w:t>
      </w:r>
      <w:r>
        <w:t xml:space="preserve"> </w:t>
      </w:r>
      <w:r>
        <w:t xml:space="preserve">The same early grant Ohio squandered → a $1.6-billion-plus fund and a record</w:t>
      </w:r>
      <w:r>
        <w:t xml:space="preserve"> </w:t>
      </w:r>
      <w:r>
        <w:rPr>
          <w:b/>
          <w:bCs/>
        </w:rPr>
        <w:t xml:space="preserve">$73.5 million</w:t>
      </w:r>
      <w:r>
        <w:t xml:space="preserve"> </w:t>
      </w:r>
      <w:r>
        <w:t xml:space="preserve">school-library distribution in 2026 reporting.</w:t>
      </w:r>
    </w:p>
    <w:p>
      <w:pPr>
        <w:pStyle w:val="BodyText"/>
      </w:pPr>
      <w:r>
        <w:rPr>
          <w:b/>
          <w:bCs/>
        </w:rPr>
        <w:t xml:space="preserve">Lesson:</w:t>
      </w:r>
      <w:r>
        <w:t xml:space="preserve"> </w:t>
      </w:r>
      <w:r>
        <w:t xml:space="preserve">Design beats endowment. An irreducible-principal clause, the Attorney General on the board, and trustees who behave like trustees can turn an early federal grant into a billion-dollar fund — though</w:t>
      </w:r>
      <w:r>
        <w:t xml:space="preserve"> </w:t>
      </w:r>
      <w:r>
        <w:t xml:space="preserve">“cheap loans to towns”</w:t>
      </w:r>
      <w:r>
        <w:t xml:space="preserve"> </w:t>
      </w:r>
      <w:r>
        <w:t xml:space="preserve">is also</w:t>
      </w:r>
      <w:r>
        <w:t xml:space="preserve"> </w:t>
      </w:r>
      <w:r>
        <w:t xml:space="preserve">“below-market returns to children,”</w:t>
      </w:r>
      <w:r>
        <w:t xml:space="preserve"> </w:t>
      </w:r>
      <w:r>
        <w:t xml:space="preserve">and the honest clerk notes the cost. (See Ch. 5,</w:t>
      </w:r>
      <w:r>
        <w:t xml:space="preserve"> </w:t>
      </w:r>
      <w:r>
        <w:t xml:space="preserve">“Kept &amp; Rebuilt.”</w:t>
      </w:r>
      <w:r>
        <w:t xml:space="preserve">)</w:t>
      </w:r>
    </w:p>
    <w:p>
      <w:pPr>
        <w:pStyle w:val="BodyText"/>
      </w:pPr>
      <w:r>
        <w:rPr>
          <w:i/>
          <w:iCs/>
        </w:rPr>
        <w:t xml:space="preserve">Sources/notes:</w:t>
      </w:r>
      <w:r>
        <w:t xml:space="preserve"> </w:t>
      </w:r>
      <w:r>
        <w:t xml:space="preserve">Enabling Act of Aug. 6, 1846, 9 Stat. 56; admission Act of May 29, 1848; Wis. Const. art. X secs. 2, 7, 8; State Trust Fund Loan Program (1871);</w:t>
      </w:r>
      <w:r>
        <w:t xml:space="preserve"> </w:t>
      </w:r>
      <w:r>
        <w:rPr>
          <w:i/>
          <w:iCs/>
        </w:rPr>
        <w:t xml:space="preserve">State ex rel. Commissioners of Public Lands v. Anderson</w:t>
      </w:r>
      <w:r>
        <w:t xml:space="preserve"> </w:t>
      </w:r>
      <w:r>
        <w:t xml:space="preserve">(1973); BCPL Common School Fund reports. Wisconsin received</w:t>
      </w:r>
      <w:r>
        <w:t xml:space="preserve"> </w:t>
      </w:r>
      <w:r>
        <w:rPr>
          <w:b/>
          <w:bCs/>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r>
        <w:br w:type="page"/>
      </w:r>
    </w:p>
    <w:bookmarkEnd w:id="182"/>
    <w:bookmarkStart w:id="186" w:name="Xa0347788bd507684c95e67ec7f84bfd05604a5b"/>
    <w:p>
      <w:pPr>
        <w:pStyle w:val="Heading2"/>
      </w:pPr>
      <w:r>
        <w:t xml:space="preserve">Wyoming — The Modest Acreage That Geology Made Rich</w:t>
      </w:r>
    </w:p>
    <w:p>
      <w:pPr>
        <w:pStyle w:val="FirstParagraph"/>
      </w:pPr>
      <w:r>
        <w:drawing>
          <wp:inline>
            <wp:extent cx="731520" cy="853135"/>
            <wp:effectExtent b="0" l="0" r="0" t="0"/>
            <wp:docPr descr="QRFLOAT" title="" id="184" name="Picture"/>
            <a:graphic>
              <a:graphicData uri="http://schemas.openxmlformats.org/drawingml/2006/picture">
                <pic:pic>
                  <pic:nvPicPr>
                    <pic:cNvPr descr="C:/Users/drdav/My%20Drive/Claude%20Cowork/_tools/_web_cache/qr_us-wy_f8dfcc1714b5_1200x_q90.jpg" id="185" name="Picture"/>
                    <pic:cNvPicPr>
                      <a:picLocks noChangeArrowheads="1" noChangeAspect="1"/>
                    </pic:cNvPicPr>
                  </pic:nvPicPr>
                  <pic:blipFill>
                    <a:blip r:embed="rId183"/>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1890 - Grant: 2 sections (16 &amp; 36), about 3.47 million acres - about 3.5 million surface acres retained today, plus about 3.9 million mineral acres - Common School Permanent Land Fund about</w:t>
      </w:r>
      <w:r>
        <w:rPr>
          <w:i/>
          <w:iCs/>
        </w:rPr>
        <w:t xml:space="preserve"> </w:t>
      </w:r>
      <w:r>
        <w:rPr>
          <w:b/>
          <w:bCs/>
          <w:i/>
          <w:iCs/>
        </w:rPr>
        <w:t xml:space="preserve">$6.3 billion</w:t>
      </w:r>
      <w:r>
        <w:rPr>
          <w:i/>
          <w:iCs/>
        </w:rPr>
        <w:t xml:space="preserve"> </w:t>
      </w:r>
      <w:r>
        <w:rPr>
          <w:i/>
          <w:iCs/>
        </w:rPr>
        <w:t xml:space="preserve">[as of June 30, 2025], per the Wyoming State Treasurer’s monthly performance report - Trustee: five-member ex-officio Board of Land Commissioners - Verdict: Kept faith.</w:t>
      </w:r>
    </w:p>
    <w:p>
      <w:pPr>
        <w:pStyle w:val="BodyText"/>
      </w:pPr>
      <w:r>
        <w:rPr>
          <w:b/>
          <w:bCs/>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$6.3 billion [as of June 30, 2025]. The federal Admission Act of 1890 was purposive, not fiduciary — the doubled section-16-and-36 grant</w:t>
      </w:r>
      <w:r>
        <w:t xml:space="preserve"> </w:t>
      </w:r>
      <w:r>
        <w:t xml:space="preserve">“for the support of common schools,”</w:t>
      </w:r>
      <w:r>
        <w:t xml:space="preserve"> </w:t>
      </w:r>
      <w:r>
        <w:t xml:space="preserve">but no express</w:t>
      </w:r>
      <w:r>
        <w:t xml:space="preserve"> </w:t>
      </w:r>
      <w:r>
        <w:t xml:space="preserve">“in trust”</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“forever inviolate”</w:t>
      </w:r>
      <w:r>
        <w:t xml:space="preserve"> </w:t>
      </w:r>
      <w:r>
        <w:t xml:space="preserve">and adds Wyoming’s most distinctive sentence: the state pledges to</w:t>
      </w:r>
      <w:r>
        <w:t xml:space="preserve"> </w:t>
      </w:r>
      <w:r>
        <w:t xml:space="preserve">“make good any losses”</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iCs/>
        </w:rPr>
        <w:t xml:space="preserve">Campbell County</w:t>
      </w:r>
      <w:r>
        <w:t xml:space="preserve"> </w:t>
      </w:r>
      <w:r>
        <w:t xml:space="preserve">adequacy line (1995–2008), runs under the education clause, not the trust clause. And on the land side,</w:t>
      </w:r>
      <w:r>
        <w:t xml:space="preserve"> </w:t>
      </w:r>
      <w:r>
        <w:rPr>
          <w:i/>
          <w:iCs/>
        </w:rPr>
        <w:t xml:space="preserve">Riedel v. Anderson</w:t>
      </w:r>
      <w:r>
        <w:t xml:space="preserve"> </w:t>
      </w:r>
      <w:r>
        <w:t xml:space="preserve">(2003) held that neither the Admission Act nor the constitution created an express trust</w:t>
      </w:r>
      <w:r>
        <w:t xml:space="preserve"> </w:t>
      </w:r>
      <w:r>
        <w:rPr>
          <w:i/>
          <w:iCs/>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iCs/>
        </w:rPr>
        <w:t xml:space="preserve">Merbanco</w:t>
      </w:r>
      <w:r>
        <w:t xml:space="preserve">, held that Article 18 requires public auction for</w:t>
      </w:r>
      <w:r>
        <w:t xml:space="preserve"> </w:t>
      </w:r>
      <w:r>
        <w:rPr>
          <w:i/>
          <w:iCs/>
        </w:rPr>
        <w:t xml:space="preserve">sales</w:t>
      </w:r>
      <w:r>
        <w:t xml:space="preserve"> </w:t>
      </w:r>
      <w:r>
        <w:t xml:space="preserve">of school land but not for value-for-value</w:t>
      </w:r>
      <w:r>
        <w:t xml:space="preserve"> </w:t>
      </w:r>
      <w:r>
        <w:rPr>
          <w:i/>
          <w:iCs/>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$6.3 billion corpus. (A caution that matters: this is the Common School Permanent Land Fund, the school trust; it is easy to confuse with the separate Permanent Mineral Trust Fund, a severance-tax fund that is</w:t>
      </w:r>
      <w:r>
        <w:t xml:space="preserve"> </w:t>
      </w:r>
      <w:r>
        <w:rPr>
          <w:i/>
          <w:iCs/>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bCs/>
        </w:rPr>
        <w:t xml:space="preserve">Then→now:</w:t>
      </w:r>
      <w:r>
        <w:t xml:space="preserve"> </w:t>
      </w:r>
      <w:r>
        <w:t xml:space="preserve">A modest 3.47-million-acre grant, almost entirely retained → a roughly</w:t>
      </w:r>
      <w:r>
        <w:t xml:space="preserve"> </w:t>
      </w:r>
      <w:r>
        <w:rPr>
          <w:b/>
          <w:bCs/>
        </w:rPr>
        <w:t xml:space="preserve">$6.3 billion</w:t>
      </w:r>
      <w:r>
        <w:t xml:space="preserve"> </w:t>
      </w:r>
      <w:r>
        <w:t xml:space="preserve">mineral-driven endowment [as of June 30, 2025], per the Wyoming State Treasurer’s monthly performance report.</w:t>
      </w:r>
    </w:p>
    <w:p>
      <w:pPr>
        <w:pStyle w:val="BodyText"/>
      </w:pPr>
      <w:r>
        <w:rPr>
          <w:b/>
          <w:bCs/>
        </w:rPr>
        <w:t xml:space="preserve">Lesson:</w:t>
      </w:r>
      <w:r>
        <w:t xml:space="preserve"> </w:t>
      </w:r>
      <w:r>
        <w:t xml:space="preserve">Retention plus a state-treasury guaranty plus geology can outperform a much larger acreage that was sold off — but</w:t>
      </w:r>
      <w:r>
        <w:t xml:space="preserve"> </w:t>
      </w:r>
      <w:r>
        <w:rPr>
          <w:i/>
          <w:iCs/>
        </w:rPr>
        <w:t xml:space="preserve">Riedel</w:t>
      </w:r>
      <w:r>
        <w:t xml:space="preserve">’s statutory-trust narrowing is a reminder that the land-side protection is only as strong as the legislature leaves it. (See Ch. 5,</w:t>
      </w:r>
      <w:r>
        <w:t xml:space="preserve"> </w:t>
      </w:r>
      <w:r>
        <w:t xml:space="preserve">“Kept &amp; Rebuilt.”</w:t>
      </w:r>
      <w:r>
        <w:t xml:space="preserve">)</w:t>
      </w:r>
    </w:p>
    <w:p>
      <w:pPr>
        <w:pStyle w:val="BodyText"/>
      </w:pPr>
      <w:r>
        <w:rPr>
          <w:i/>
          <w:iCs/>
        </w:rPr>
        <w:t xml:space="preserve">Sources/notes:</w:t>
      </w:r>
      <w:r>
        <w:t xml:space="preserve"> </w:t>
      </w:r>
      <w:r>
        <w:t xml:space="preserve">Wyoming Admission Act of July 10, 1890, 26 Stat. 222; Wyo. Const. art. 7 sec. 6, art. 18 sec. 3;</w:t>
      </w:r>
      <w:r>
        <w:t xml:space="preserve"> </w:t>
      </w:r>
      <w:r>
        <w:rPr>
          <w:i/>
          <w:iCs/>
        </w:rPr>
        <w:t xml:space="preserve">Riedel v. Anderson</w:t>
      </w:r>
      <w:r>
        <w:t xml:space="preserve"> </w:t>
      </w:r>
      <w:r>
        <w:t xml:space="preserve">(2003);</w:t>
      </w:r>
      <w:r>
        <w:t xml:space="preserve"> </w:t>
      </w:r>
      <w:r>
        <w:rPr>
          <w:i/>
          <w:iCs/>
        </w:rPr>
        <w:t xml:space="preserve">Merbanco</w:t>
      </w:r>
      <w:r>
        <w:t xml:space="preserve"> </w:t>
      </w:r>
      <w:r>
        <w:t xml:space="preserve">(2003);</w:t>
      </w:r>
      <w:r>
        <w:t xml:space="preserve"> </w:t>
      </w:r>
      <w:r>
        <w:rPr>
          <w:i/>
          <w:iCs/>
        </w:rPr>
        <w:t xml:space="preserve">Teton County v. State</w:t>
      </w:r>
      <w:r>
        <w:t xml:space="preserve"> </w:t>
      </w:r>
      <w:r>
        <w:t xml:space="preserve">(2025 WY 48); Wyoming State Treasurer’s Office, Monthly Performance Report, June 30, 2025 (Common School Permanent Land Fund $6,286,864,324). Wyoming’s Common School Permanent Land Fund is kept distinct from the separate Permanent Mineral Trust Fund.</w:t>
      </w:r>
    </w:p>
    <w:p>
      <w:r>
        <w:pict>
          <v:rect style="width:0;height:1.5pt" o:hralign="center" o:hrstd="t" o:hr="t"/>
        </w:pict>
      </w:r>
    </w:p>
    <w:p>
      <w:pPr>
        <w:pStyle w:val="FirstParagraph"/>
      </w:pPr>
      <w:r>
        <w:rPr>
          <w:i/>
          <w:iCs/>
        </w:rPr>
        <w:t xml:space="preserve">End of Part Two state dossiers.</w:t>
      </w:r>
    </w:p>
    <w:p>
      <w:r>
        <w:br w:type="page"/>
      </w:r>
    </w:p>
    <w:bookmarkEnd w:id="186"/>
    <w:bookmarkEnd w:id="187"/>
    <w:bookmarkStart w:id="188" w:name="a-note-on-method-and-sources"/>
    <w:p>
      <w:pPr>
        <w:pStyle w:val="Heading1"/>
      </w:pPr>
      <w:r>
        <w:t xml:space="preserve">A Note on Method and Sources</w:t>
      </w:r>
    </w:p>
    <w:p>
      <w:pPr>
        <w:pStyle w:val="FirstParagraph"/>
      </w:pPr>
      <w:r>
        <w:t xml:space="preserve">This book aims to be trusted the way it asks the states to be trusted: it shows its work. Three commitments govern it.</w:t>
      </w:r>
    </w:p>
    <w:p>
      <w:pPr>
        <w:pStyle w:val="BodyText"/>
      </w:pPr>
      <w:r>
        <w:rPr>
          <w:i/>
          <w:iCs/>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iCs/>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iCs/>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bookmarkEnd w:id="188"/>
    <w:bookmarkStart w:id="240" w:name="appendix-the-non-grant-states"/>
    <w:p>
      <w:pPr>
        <w:pStyle w:val="Heading1"/>
      </w:pPr>
      <w:r>
        <w:t xml:space="preserve">APPENDIX — The Non-Grant States</w:t>
      </w:r>
    </w:p>
    <w:p>
      <w:pPr>
        <w:pStyle w:val="FirstParagraph"/>
      </w:pPr>
      <w:r>
        <w:rPr>
          <w:i/>
          <w:iCs/>
        </w:rPr>
        <w:t xml:space="preserve">Compression note: this is the short print appendix Margaret requested. The fuller state narratives are preserved in the book’s research archive and on each state’s living page online.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Why no federal grant</w:t>
            </w:r>
          </w:p>
        </w:tc>
        <w:tc>
          <w:tcPr/>
          <w:p>
            <w:pPr>
              <w:pStyle w:val="Compact"/>
            </w:pPr>
            <w:r>
              <w:t xml:space="preserve">Substitute school-funding architecture</w:t>
            </w:r>
          </w:p>
        </w:tc>
        <w:tc>
          <w:tcPr/>
          <w:p>
            <w:pPr>
              <w:pStyle w:val="Compact"/>
            </w:pPr>
            <w:r>
              <w:t xml:space="preserve">Why it matters to the thesis</w:t>
            </w:r>
          </w:p>
        </w:tc>
      </w:tr>
      <w:tr>
        <w:tc>
          <w:tcPr/>
          <w:p>
            <w:pPr>
              <w:pStyle w:val="Compact"/>
            </w:pPr>
            <w:r>
              <w:t xml:space="preserve">Connecticut</w:t>
            </w:r>
          </w:p>
        </w:tc>
        <w:tc>
          <w:tcPr/>
          <w:p>
            <w:pPr>
              <w:pStyle w:val="Compact"/>
            </w:pPr>
            <w:r>
              <w:t xml:space="preserve">Original-13 state; no federal public-domain admission grant.</w:t>
            </w:r>
          </w:p>
        </w:tc>
        <w:tc>
          <w:tcPr/>
          <w:p>
            <w:pPr>
              <w:pStyle w:val="Compact"/>
            </w:pPr>
            <w:r>
              <w:t xml:space="preserve">Sold the Western Reserve in 1795 and dedicated the $1.2M proceeds to a perpetual school fund.</w:t>
            </w:r>
          </w:p>
        </w:tc>
        <w:tc>
          <w:tcPr/>
          <w:p>
            <w:pPr>
              <w:pStyle w:val="Compact"/>
            </w:pPr>
            <w:r>
              <w:t xml:space="preserve">Proof that a state-derived land sale could become a real school endowment, though the modern fund is no longer load-bearing.</w:t>
            </w:r>
          </w:p>
        </w:tc>
      </w:tr>
      <w:tr>
        <w:tc>
          <w:tcPr/>
          <w:p>
            <w:pPr>
              <w:pStyle w:val="Compact"/>
            </w:pPr>
            <w:r>
              <w:t xml:space="preserve">Delaware</w:t>
            </w:r>
          </w:p>
        </w:tc>
        <w:tc>
          <w:tcPr/>
          <w:p>
            <w:pPr>
              <w:pStyle w:val="Compact"/>
            </w:pPr>
            <w:r>
              <w:t xml:space="preserve">Original-13 state.</w:t>
            </w:r>
          </w:p>
        </w:tc>
        <w:tc>
          <w:tcPr/>
          <w:p>
            <w:pPr>
              <w:pStyle w:val="Compact"/>
            </w:pPr>
            <w:r>
              <w:t xml:space="preserve">Small statutory public-school fund; education duty mainly runs through state constitutional and statutory finance.</w:t>
            </w:r>
          </w:p>
        </w:tc>
        <w:tc>
          <w:tcPr/>
          <w:p>
            <w:pPr>
              <w:pStyle w:val="Compact"/>
            </w:pPr>
            <w:r>
              <w:t xml:space="preserve">Shows how a state can have school-fund language without a meaningful land corpus behind it.</w:t>
            </w:r>
          </w:p>
        </w:tc>
      </w:tr>
      <w:tr>
        <w:tc>
          <w:tcPr/>
          <w:p>
            <w:pPr>
              <w:pStyle w:val="Compact"/>
            </w:pPr>
            <w:r>
              <w:t xml:space="preserve">Georgia</w:t>
            </w:r>
          </w:p>
        </w:tc>
        <w:tc>
          <w:tcPr/>
          <w:p>
            <w:pPr>
              <w:pStyle w:val="Compact"/>
            </w:pPr>
            <w:r>
              <w:t xml:space="preserve">Original-13 state; later ceded western claims.</w:t>
            </w:r>
          </w:p>
        </w:tc>
        <w:tc>
          <w:tcPr/>
          <w:p>
            <w:pPr>
              <w:pStyle w:val="Compact"/>
            </w:pPr>
            <w:r>
              <w:t xml:space="preserve">Poor School Fund / lottery-funded education supports; no federal section trust.</w:t>
            </w:r>
          </w:p>
        </w:tc>
        <w:tc>
          <w:tcPr/>
          <w:p>
            <w:pPr>
              <w:pStyle w:val="Compact"/>
            </w:pPr>
            <w:r>
              <w:t xml:space="preserve">Supplies the opening’s stigma evidence: in Bryan County in 1847, 164 children were entitled to poor-school aid and no more than 16 attended.</w:t>
            </w:r>
          </w:p>
        </w:tc>
      </w:tr>
      <w:tr>
        <w:tc>
          <w:tcPr/>
          <w:p>
            <w:pPr>
              <w:pStyle w:val="Compact"/>
            </w:pPr>
            <w:r>
              <w:t xml:space="preserve">Maryland</w:t>
            </w:r>
          </w:p>
        </w:tc>
        <w:tc>
          <w:tcPr/>
          <w:p>
            <w:pPr>
              <w:pStyle w:val="Compact"/>
            </w:pPr>
            <w:r>
              <w:t xml:space="preserve">Original-13 state.</w:t>
            </w:r>
          </w:p>
        </w:tc>
        <w:tc>
          <w:tcPr/>
          <w:p>
            <w:pPr>
              <w:pStyle w:val="Compact"/>
            </w:pPr>
            <w:r>
              <w:t xml:space="preserve">Thorough-and-efficient school clause; modern Blueprint funding reform; no fiduciary land corpus.</w:t>
            </w:r>
          </w:p>
        </w:tc>
        <w:tc>
          <w:tcPr/>
          <w:p>
            <w:pPr>
              <w:pStyle w:val="Compact"/>
            </w:pPr>
            <w:r>
              <w:t xml:space="preserve">Maryland helped write the national school-land idea but did not receive it. Its modern fights are adequacy fights, not trust-corpus fights.</w:t>
            </w:r>
          </w:p>
        </w:tc>
      </w:tr>
      <w:tr>
        <w:tc>
          <w:tcPr/>
          <w:p>
            <w:pPr>
              <w:pStyle w:val="Compact"/>
            </w:pPr>
            <w:r>
              <w:t xml:space="preserve">Massachusetts</w:t>
            </w:r>
          </w:p>
        </w:tc>
        <w:tc>
          <w:tcPr/>
          <w:p>
            <w:pPr>
              <w:pStyle w:val="Compact"/>
            </w:pPr>
            <w:r>
              <w:t xml:space="preserve">Original-13 state.</w:t>
            </w:r>
          </w:p>
        </w:tc>
        <w:tc>
          <w:tcPr/>
          <w:p>
            <w:pPr>
              <w:pStyle w:val="Compact"/>
            </w:pPr>
            <w:r>
              <w:t xml:space="preserve">Adams education clause, town-school tradition, adequacy doctrine under</w:t>
            </w:r>
            <w:r>
              <w:t xml:space="preserve"> </w:t>
            </w:r>
            <w:r>
              <w:rPr>
                <w:i/>
                <w:iCs/>
              </w:rPr>
              <w:t xml:space="preserve">McDuffy</w:t>
            </w:r>
            <w:r>
              <w:t xml:space="preserve">.</w:t>
            </w:r>
          </w:p>
        </w:tc>
        <w:tc>
          <w:tcPr/>
          <w:p>
            <w:pPr>
              <w:pStyle w:val="Compact"/>
            </w:pPr>
            <w:r>
              <w:t xml:space="preserve">Supplies the civic premise: public education as a condition of republican liberty, before Congress converted the premise into land.</w:t>
            </w:r>
          </w:p>
        </w:tc>
      </w:tr>
      <w:tr>
        <w:tc>
          <w:tcPr/>
          <w:p>
            <w:pPr>
              <w:pStyle w:val="Compact"/>
            </w:pPr>
            <w:r>
              <w:t xml:space="preserve">New Hampshire</w:t>
            </w:r>
          </w:p>
        </w:tc>
        <w:tc>
          <w:tcPr/>
          <w:p>
            <w:pPr>
              <w:pStyle w:val="Compact"/>
            </w:pPr>
            <w:r>
              <w:t xml:space="preserve">Original-13 state.</w:t>
            </w:r>
          </w:p>
        </w:tc>
        <w:tc>
          <w:tcPr/>
          <w:p>
            <w:pPr>
              <w:pStyle w:val="Compact"/>
            </w:pPr>
            <w:r>
              <w:t xml:space="preserve">Article 83 education duty;</w:t>
            </w:r>
            <w:r>
              <w:t xml:space="preserve"> </w:t>
            </w:r>
            <w:r>
              <w:rPr>
                <w:i/>
                <w:iCs/>
              </w:rPr>
              <w:t xml:space="preserve">Claremont</w:t>
            </w:r>
            <w:r>
              <w:t xml:space="preserve"> </w:t>
            </w:r>
            <w:r>
              <w:t xml:space="preserve">line and current challenge to its enforceability.</w:t>
            </w:r>
          </w:p>
        </w:tc>
        <w:tc>
          <w:tcPr/>
          <w:p>
            <w:pPr>
              <w:pStyle w:val="Compact"/>
            </w:pPr>
            <w:r>
              <w:t xml:space="preserve">A duty can sleep for two centuries, awaken in court, and then be challenged again. Text alone does not enforce itself.</w:t>
            </w:r>
          </w:p>
        </w:tc>
      </w:tr>
      <w:tr>
        <w:tc>
          <w:tcPr/>
          <w:p>
            <w:pPr>
              <w:pStyle w:val="Compact"/>
            </w:pPr>
            <w:r>
              <w:t xml:space="preserve">New Jersey</w:t>
            </w:r>
          </w:p>
        </w:tc>
        <w:tc>
          <w:tcPr/>
          <w:p>
            <w:pPr>
              <w:pStyle w:val="Compact"/>
            </w:pPr>
            <w:r>
              <w:t xml:space="preserve">Original-13 state.</w:t>
            </w:r>
          </w:p>
        </w:tc>
        <w:tc>
          <w:tcPr/>
          <w:p>
            <w:pPr>
              <w:pStyle w:val="Compact"/>
            </w:pPr>
            <w:r>
              <w:t xml:space="preserve">Perpetual School Fund from state sources plus strong education-clause litigation.</w:t>
            </w:r>
          </w:p>
        </w:tc>
        <w:tc>
          <w:tcPr/>
          <w:p>
            <w:pPr>
              <w:pStyle w:val="Compact"/>
            </w:pPr>
            <w:r>
              <w:t xml:space="preserve">Even strong perpetual-fund language is weaker when the same state constitution can amend it away; adequacy doctrine became the real engine.</w:t>
            </w:r>
          </w:p>
        </w:tc>
      </w:tr>
      <w:tr>
        <w:tc>
          <w:tcPr/>
          <w:p>
            <w:pPr>
              <w:pStyle w:val="Compact"/>
            </w:pPr>
            <w:r>
              <w:t xml:space="preserve">New York</w:t>
            </w:r>
          </w:p>
        </w:tc>
        <w:tc>
          <w:tcPr/>
          <w:p>
            <w:pPr>
              <w:pStyle w:val="Compact"/>
            </w:pPr>
            <w:r>
              <w:t xml:space="preserve">Original-13 state.</w:t>
            </w:r>
          </w:p>
        </w:tc>
        <w:tc>
          <w:tcPr/>
          <w:p>
            <w:pPr>
              <w:pStyle w:val="Compact"/>
            </w:pPr>
            <w:r>
              <w:t xml:space="preserve">1805 Common School Fund from state lands; 1821/1846 lockbox provisions.</w:t>
            </w:r>
          </w:p>
        </w:tc>
        <w:tc>
          <w:tcPr/>
          <w:p>
            <w:pPr>
              <w:pStyle w:val="Compact"/>
            </w:pPr>
            <w:r>
              <w:t xml:space="preserve">New York worked out the permanent-fund pattern before many public-land states received their grants.</w:t>
            </w:r>
          </w:p>
        </w:tc>
      </w:tr>
      <w:tr>
        <w:tc>
          <w:tcPr/>
          <w:p>
            <w:pPr>
              <w:pStyle w:val="Compact"/>
            </w:pPr>
            <w:r>
              <w:t xml:space="preserve">North Carolina</w:t>
            </w:r>
          </w:p>
        </w:tc>
        <w:tc>
          <w:tcPr/>
          <w:p>
            <w:pPr>
              <w:pStyle w:val="Compact"/>
            </w:pPr>
            <w:r>
              <w:t xml:space="preserve">Original-13 state.</w:t>
            </w:r>
          </w:p>
        </w:tc>
        <w:tc>
          <w:tcPr/>
          <w:p>
            <w:pPr>
              <w:pStyle w:val="Compact"/>
            </w:pPr>
            <w:r>
              <w:t xml:space="preserve">State literary/school funds and modern adequacy litigation.</w:t>
            </w:r>
          </w:p>
        </w:tc>
        <w:tc>
          <w:tcPr/>
          <w:p>
            <w:pPr>
              <w:pStyle w:val="Compact"/>
            </w:pPr>
            <w:r>
              <w:t xml:space="preserve">The school-fund clause is not self-executing; the contemporary lesson is remedy design, not corpus preservation.</w:t>
            </w:r>
          </w:p>
        </w:tc>
      </w:tr>
      <w:tr>
        <w:tc>
          <w:tcPr/>
          <w:p>
            <w:pPr>
              <w:pStyle w:val="Compact"/>
            </w:pPr>
            <w:r>
              <w:t xml:space="preserve">Pennsylvania</w:t>
            </w:r>
          </w:p>
        </w:tc>
        <w:tc>
          <w:tcPr/>
          <w:p>
            <w:pPr>
              <w:pStyle w:val="Compact"/>
            </w:pPr>
            <w:r>
              <w:t xml:space="preserve">Original-13 state.</w:t>
            </w:r>
          </w:p>
        </w:tc>
        <w:tc>
          <w:tcPr/>
          <w:p>
            <w:pPr>
              <w:pStyle w:val="Compact"/>
            </w:pPr>
            <w:r>
              <w:t xml:space="preserve">Education clause and modern</w:t>
            </w:r>
            <w:r>
              <w:t xml:space="preserve"> </w:t>
            </w:r>
            <w:r>
              <w:rPr>
                <w:i/>
                <w:iCs/>
              </w:rPr>
              <w:t xml:space="preserve">William Penn</w:t>
            </w:r>
            <w:r>
              <w:t xml:space="preserve"> </w:t>
            </w:r>
            <w:r>
              <w:t xml:space="preserve">adequacy doctrine; no school-land corpus.</w:t>
            </w:r>
          </w:p>
        </w:tc>
        <w:tc>
          <w:tcPr/>
          <w:p>
            <w:pPr>
              <w:pStyle w:val="Compact"/>
            </w:pPr>
            <w:r>
              <w:t xml:space="preserve">Shows a demand-side school duty: courts can require adequate schools without restoring a trust fund.</w:t>
            </w:r>
          </w:p>
        </w:tc>
      </w:tr>
      <w:tr>
        <w:tc>
          <w:tcPr/>
          <w:p>
            <w:pPr>
              <w:pStyle w:val="Compact"/>
            </w:pPr>
            <w:r>
              <w:t xml:space="preserve">Rhode Island</w:t>
            </w:r>
          </w:p>
        </w:tc>
        <w:tc>
          <w:tcPr/>
          <w:p>
            <w:pPr>
              <w:pStyle w:val="Compact"/>
            </w:pPr>
            <w:r>
              <w:t xml:space="preserve">Original-13 state.</w:t>
            </w:r>
          </w:p>
        </w:tc>
        <w:tc>
          <w:tcPr/>
          <w:p>
            <w:pPr>
              <w:pStyle w:val="Compact"/>
            </w:pPr>
            <w:r>
              <w:t xml:space="preserve">Small permanent school fund; courts largely noninterventionist on adequacy.</w:t>
            </w:r>
          </w:p>
        </w:tc>
        <w:tc>
          <w:tcPr/>
          <w:p>
            <w:pPr>
              <w:pStyle w:val="Compact"/>
            </w:pPr>
            <w:r>
              <w:t xml:space="preserve">Perpetuity language cannot carry a system if the fund is tiny and courts decline to enforce the broader duty.</w:t>
            </w:r>
          </w:p>
        </w:tc>
      </w:tr>
      <w:tr>
        <w:tc>
          <w:tcPr/>
          <w:p>
            <w:pPr>
              <w:pStyle w:val="Compact"/>
            </w:pPr>
            <w:r>
              <w:t xml:space="preserve">South Carolina</w:t>
            </w:r>
          </w:p>
        </w:tc>
        <w:tc>
          <w:tcPr/>
          <w:p>
            <w:pPr>
              <w:pStyle w:val="Compact"/>
            </w:pPr>
            <w:r>
              <w:t xml:space="preserve">Original-13 state.</w:t>
            </w:r>
          </w:p>
        </w:tc>
        <w:tc>
          <w:tcPr/>
          <w:p>
            <w:pPr>
              <w:pStyle w:val="Compact"/>
            </w:pPr>
            <w:r>
              <w:t xml:space="preserve">Reconstructed public-school duty, adequacy cases, and no-aid/private-school funding litigation.</w:t>
            </w:r>
          </w:p>
        </w:tc>
        <w:tc>
          <w:tcPr/>
          <w:p>
            <w:pPr>
              <w:pStyle w:val="Compact"/>
            </w:pPr>
            <w:r>
              <w:t xml:space="preserve">Shows that a school duty can be politically weakened and later rebuilt; vigilance matters even without land.</w:t>
            </w:r>
          </w:p>
        </w:tc>
      </w:tr>
      <w:tr>
        <w:tc>
          <w:tcPr/>
          <w:p>
            <w:pPr>
              <w:pStyle w:val="Compact"/>
            </w:pPr>
            <w:r>
              <w:t xml:space="preserve">Virginia</w:t>
            </w:r>
          </w:p>
        </w:tc>
        <w:tc>
          <w:tcPr/>
          <w:p>
            <w:pPr>
              <w:pStyle w:val="Compact"/>
            </w:pPr>
            <w:r>
              <w:t xml:space="preserve">Original-13 state; ceded the Northwest Territory that made the federal template possible.</w:t>
            </w:r>
          </w:p>
        </w:tc>
        <w:tc>
          <w:tcPr/>
          <w:p>
            <w:pPr>
              <w:pStyle w:val="Compact"/>
            </w:pPr>
            <w:r>
              <w:t xml:space="preserve">Literary Fund and education clause; adequacy door narrower than in some states.</w:t>
            </w:r>
          </w:p>
        </w:tc>
        <w:tc>
          <w:tcPr/>
          <w:p>
            <w:pPr>
              <w:pStyle w:val="Compact"/>
            </w:pPr>
            <w:r>
              <w:t xml:space="preserve">Virginia supplied both land and argument upstream of the federal system without itself receiving the grant.</w:t>
            </w:r>
          </w:p>
        </w:tc>
      </w:tr>
      <w:tr>
        <w:tc>
          <w:tcPr/>
          <w:p>
            <w:pPr>
              <w:pStyle w:val="Compact"/>
            </w:pPr>
            <w:r>
              <w:t xml:space="preserve">Vermont</w:t>
            </w:r>
          </w:p>
        </w:tc>
        <w:tc>
          <w:tcPr/>
          <w:p>
            <w:pPr>
              <w:pStyle w:val="Compact"/>
            </w:pPr>
            <w:r>
              <w:t xml:space="preserve">Entered from its own republic/claims, not federal public domain.</w:t>
            </w:r>
          </w:p>
        </w:tc>
        <w:tc>
          <w:tcPr/>
          <w:p>
            <w:pPr>
              <w:pStyle w:val="Compact"/>
            </w:pPr>
            <w:r>
              <w:t xml:space="preserve">Town school-right lands and an enforceable state education clause.</w:t>
            </w:r>
          </w:p>
        </w:tc>
        <w:tc>
          <w:tcPr/>
          <w:p>
            <w:pPr>
              <w:pStyle w:val="Compact"/>
            </w:pPr>
            <w:r>
              <w:t xml:space="preserve">The school-land idea was already in the air before 1785; Vermont proves the federal template ratified a broader civic pattern.</w:t>
            </w:r>
          </w:p>
        </w:tc>
      </w:tr>
      <w:tr>
        <w:tc>
          <w:tcPr/>
          <w:p>
            <w:pPr>
              <w:pStyle w:val="Compact"/>
            </w:pPr>
            <w:r>
              <w:t xml:space="preserve">Kentucky</w:t>
            </w:r>
          </w:p>
        </w:tc>
        <w:tc>
          <w:tcPr/>
          <w:p>
            <w:pPr>
              <w:pStyle w:val="Compact"/>
            </w:pPr>
            <w:r>
              <w:t xml:space="preserve">Carved from Virginia; lands never federal public domain.</w:t>
            </w:r>
          </w:p>
        </w:tc>
        <w:tc>
          <w:tcPr/>
          <w:p>
            <w:pPr>
              <w:pStyle w:val="Compact"/>
            </w:pPr>
            <w:r>
              <w:t xml:space="preserve">Common School Fund seeded in part by federal surplus cash, not land; strong lockbox language.</w:t>
            </w:r>
          </w:p>
        </w:tc>
        <w:tc>
          <w:tcPr/>
          <w:p>
            <w:pPr>
              <w:pStyle w:val="Compact"/>
            </w:pPr>
            <w:r>
              <w:t xml:space="preserve">A state can build trust-like protection from cash and state law, but it lacks the federal compact floor.</w:t>
            </w:r>
          </w:p>
        </w:tc>
      </w:tr>
      <w:tr>
        <w:tc>
          <w:tcPr/>
          <w:p>
            <w:pPr>
              <w:pStyle w:val="Compact"/>
            </w:pPr>
            <w:r>
              <w:t xml:space="preserve">Maine</w:t>
            </w:r>
          </w:p>
        </w:tc>
        <w:tc>
          <w:tcPr/>
          <w:p>
            <w:pPr>
              <w:pStyle w:val="Compact"/>
            </w:pPr>
            <w:r>
              <w:t xml:space="preserve">Separated from Massachusetts; no federal public domain.</w:t>
            </w:r>
          </w:p>
        </w:tc>
        <w:tc>
          <w:tcPr/>
          <w:p>
            <w:pPr>
              <w:pStyle w:val="Compact"/>
            </w:pPr>
            <w:r>
              <w:t xml:space="preserve">Public lots and reserved lands; modern revenue largely serves land management rather than schools.</w:t>
            </w:r>
          </w:p>
        </w:tc>
        <w:tc>
          <w:tcPr/>
          <w:p>
            <w:pPr>
              <w:pStyle w:val="Compact"/>
            </w:pPr>
            <w:r>
              <w:t xml:space="preserve">The school thread can fray even when public lands survive; purpose can migrate without dramatic breach.</w:t>
            </w:r>
          </w:p>
        </w:tc>
      </w:tr>
      <w:tr>
        <w:tc>
          <w:tcPr/>
          <w:p>
            <w:pPr>
              <w:pStyle w:val="Compact"/>
            </w:pPr>
            <w:r>
              <w:t xml:space="preserve">West Virginia</w:t>
            </w:r>
          </w:p>
        </w:tc>
        <w:tc>
          <w:tcPr/>
          <w:p>
            <w:pPr>
              <w:pStyle w:val="Compact"/>
            </w:pPr>
            <w:r>
              <w:t xml:space="preserve">Carved from Virginia during the Civil War; no federal section grant.</w:t>
            </w:r>
          </w:p>
        </w:tc>
        <w:tc>
          <w:tcPr/>
          <w:p>
            <w:pPr>
              <w:pStyle w:val="Compact"/>
            </w:pPr>
            <w:r>
              <w:t xml:space="preserve">Small irreducible School Fund plus strong adequacy doctrine in</w:t>
            </w:r>
            <w:r>
              <w:t xml:space="preserve"> </w:t>
            </w:r>
            <w:r>
              <w:rPr>
                <w:i/>
                <w:iCs/>
              </w:rPr>
              <w:t xml:space="preserve">Pauley</w:t>
            </w:r>
            <w:r>
              <w:t xml:space="preserve">.</w:t>
            </w:r>
          </w:p>
        </w:tc>
        <w:tc>
          <w:tcPr/>
          <w:p>
            <w:pPr>
              <w:pStyle w:val="Compact"/>
            </w:pPr>
            <w:r>
              <w:t xml:space="preserve">A small, well-walled fund plus an enforceable school duty may matter more than a large but reachable fund.</w:t>
            </w:r>
          </w:p>
        </w:tc>
      </w:tr>
    </w:tbl>
    <w:p>
      <w:pPr>
        <w:pStyle w:val="BodyText"/>
      </w:pPr>
      <w:r>
        <w:rPr>
          <w:i/>
          <w:iCs/>
        </w:rPr>
        <w:t xml:space="preserve">Sources/notes (non-grant states):</w:t>
      </w:r>
      <w:r>
        <w:t xml:space="preserve"> </w:t>
      </w:r>
      <w:r>
        <w:rPr>
          <w:b/>
          <w:bCs/>
        </w:rPr>
        <w:t xml:space="preserve">Vermont</w:t>
      </w:r>
      <w:r>
        <w:t xml:space="preserve"> </w:t>
      </w:r>
      <w:r>
        <w:t xml:space="preserve">— Act of Feb. 18, 1791, 1 Stat. 191; Vt. Const. of 1777 (ch. II, §XL) and 1793 (ch. II, §68);</w:t>
      </w:r>
      <w:r>
        <w:t xml:space="preserve"> </w:t>
      </w:r>
      <w:r>
        <w:rPr>
          <w:i/>
          <w:iCs/>
        </w:rPr>
        <w:t xml:space="preserve">Galkin v. Town of Chester</w:t>
      </w:r>
      <w:r>
        <w:t xml:space="preserve">, 168 Vt. 82 (1998);</w:t>
      </w:r>
      <w:r>
        <w:t xml:space="preserve"> </w:t>
      </w:r>
      <w:r>
        <w:rPr>
          <w:i/>
          <w:iCs/>
        </w:rPr>
        <w:t xml:space="preserve">Brigham v. State</w:t>
      </w:r>
      <w:r>
        <w:t xml:space="preserve">, 166 Vt. 246 (1997).</w:t>
      </w:r>
      <w:r>
        <w:t xml:space="preserve"> </w:t>
      </w:r>
      <w:r>
        <w:rPr>
          <w:b/>
          <w:bCs/>
        </w:rPr>
        <w:t xml:space="preserve">Kentucky</w:t>
      </w:r>
      <w:r>
        <w:t xml:space="preserve"> </w:t>
      </w:r>
      <w:r>
        <w:t xml:space="preserve">— Act of Feb. 4, 1791, 1 Stat. 189; Compact with Virginia (1789); Ky. Const. §§183–184;</w:t>
      </w:r>
      <w:r>
        <w:t xml:space="preserve"> </w:t>
      </w:r>
      <w:r>
        <w:rPr>
          <w:i/>
          <w:iCs/>
        </w:rPr>
        <w:t xml:space="preserve">Rose v. Council for Better Education</w:t>
      </w:r>
      <w:r>
        <w:t xml:space="preserve">, 790 S.W.2d 186 (Ky. 1989).</w:t>
      </w:r>
      <w:r>
        <w:t xml:space="preserve"> </w:t>
      </w:r>
      <w:r>
        <w:rPr>
          <w:b/>
          <w:bCs/>
        </w:rPr>
        <w:t xml:space="preserve">Maine</w:t>
      </w:r>
      <w:r>
        <w:t xml:space="preserve"> </w:t>
      </w:r>
      <w:r>
        <w:t xml:space="preserve">— Act of Mar. 3, 1820, 3 Stat. 544; Articles of Separation (1819);</w:t>
      </w:r>
      <w:r>
        <w:t xml:space="preserve"> </w:t>
      </w:r>
      <w:r>
        <w:rPr>
          <w:i/>
          <w:iCs/>
        </w:rPr>
        <w:t xml:space="preserve">Cushing v. State</w:t>
      </w:r>
      <w:r>
        <w:t xml:space="preserve">, 434 A.2d 486 (Me. 1981); L. Schepps,</w:t>
      </w:r>
      <w:r>
        <w:t xml:space="preserve"> </w:t>
      </w:r>
      <w:r>
        <w:rPr>
          <w:i/>
          <w:iCs/>
        </w:rPr>
        <w:t xml:space="preserve">Maine’s Public Lots</w:t>
      </w:r>
      <w:r>
        <w:t xml:space="preserve"> </w:t>
      </w:r>
      <w:r>
        <w:t xml:space="preserve">(1973).</w:t>
      </w:r>
      <w:r>
        <w:t xml:space="preserve"> </w:t>
      </w:r>
      <w:r>
        <w:rPr>
          <w:b/>
          <w:bCs/>
        </w:rPr>
        <w:t xml:space="preserve">Virginia</w:t>
      </w:r>
      <w:r>
        <w:t xml:space="preserve"> </w:t>
      </w:r>
      <w:r>
        <w:t xml:space="preserve">— Va. Const. art. VIII §8 (Literary Fund, 1810);</w:t>
      </w:r>
      <w:r>
        <w:t xml:space="preserve"> </w:t>
      </w:r>
      <w:r>
        <w:rPr>
          <w:i/>
          <w:iCs/>
        </w:rPr>
        <w:t xml:space="preserve">Virginia v. West Virginia</w:t>
      </w:r>
      <w:r>
        <w:t xml:space="preserve">, 220 U.S. 1 (1911), 246 U.S. 565 (1918).</w:t>
      </w:r>
      <w:r>
        <w:t xml:space="preserve"> </w:t>
      </w:r>
      <w:r>
        <w:rPr>
          <w:b/>
          <w:bCs/>
        </w:rPr>
        <w:t xml:space="preserve">West Virginia</w:t>
      </w:r>
      <w:r>
        <w:t xml:space="preserve"> </w:t>
      </w:r>
      <w:r>
        <w:t xml:space="preserve">— Act of Dec. 31, 1862, 12 Stat. 633; W. Va. Const. art. XII §§1, 4;</w:t>
      </w:r>
      <w:r>
        <w:t xml:space="preserve"> </w:t>
      </w:r>
      <w:r>
        <w:rPr>
          <w:i/>
          <w:iCs/>
        </w:rPr>
        <w:t xml:space="preserve">Pauley v. Kelly</w:t>
      </w:r>
      <w:r>
        <w:t xml:space="preserve">, 162 W. Va. 672 (1979).</w:t>
      </w:r>
      <w:r>
        <w:t xml:space="preserve"> </w:t>
      </w:r>
      <w:r>
        <w:rPr>
          <w:b/>
          <w:bCs/>
        </w:rPr>
        <w:t xml:space="preserve">Georgia</w:t>
      </w:r>
      <w:r>
        <w:t xml:space="preserve"> </w:t>
      </w:r>
      <w:r>
        <w:t xml:space="preserve">— Thomas Robinson,</w:t>
      </w:r>
      <w:r>
        <w:t xml:space="preserve"> </w:t>
      </w:r>
      <w:r>
        <w:t xml:space="preserve">“Identity, Dissent, and the Roots of Georgia’s Middle Class, 1848–1865”</w:t>
      </w:r>
      <w:r>
        <w:t xml:space="preserve"> </w:t>
      </w:r>
      <w:r>
        <w:t xml:space="preserve">(Ph.D. diss., Univ. of Mississippi, 2019), 110–11 (the Bryan County figure, citing the Gov. George W. Towns papers, Hargrett Library, Univ. of Georgia); Dorothy Orr,</w:t>
      </w:r>
      <w:r>
        <w:t xml:space="preserve"> </w:t>
      </w:r>
      <w:r>
        <w:rPr>
          <w:i/>
          <w:iCs/>
        </w:rPr>
        <w:t xml:space="preserve">A History of Education in Georgia</w:t>
      </w:r>
      <w:r>
        <w:t xml:space="preserve"> </w:t>
      </w:r>
      <w:r>
        <w:t xml:space="preserve">(1950) (Poor School Fund context). Three of the adequacy-case citations are now pinned (CourtListener): Massachusetts —</w:t>
      </w:r>
      <w:r>
        <w:t xml:space="preserve"> </w:t>
      </w:r>
      <w:r>
        <w:rPr>
          <w:i/>
          <w:iCs/>
        </w:rPr>
        <w:t xml:space="preserve">McDuffy v. Secretary of the Executive Office of Education</w:t>
      </w:r>
      <w:r>
        <w:t xml:space="preserve">, 415 Mass. 545, 615 N.E.2d 516 (1993); New Hampshire —</w:t>
      </w:r>
      <w:r>
        <w:t xml:space="preserve"> </w:t>
      </w:r>
      <w:r>
        <w:rPr>
          <w:i/>
          <w:iCs/>
        </w:rPr>
        <w:t xml:space="preserve">Claremont School District v. Governor</w:t>
      </w:r>
      <w:r>
        <w:t xml:space="preserve">, 143 N.H. 154 (1998), through 147 N.H. 499 (2002); Pennsylvania —</w:t>
      </w:r>
      <w:r>
        <w:t xml:space="preserve"> </w:t>
      </w:r>
      <w:r>
        <w:rPr>
          <w:i/>
          <w:iCs/>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Present-day corpus figures for the non-grant states are intentionally omitted unless already source-dated.</w:t>
      </w:r>
    </w:p>
    <w:p>
      <w:r>
        <w:br w:type="page"/>
      </w:r>
    </w:p>
    <w:p>
      <w:pPr>
        <w:pStyle w:val="BodyText"/>
      </w:pPr>
      <w:r>
        <w:rPr>
          <w:b/>
          <w:bCs/>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bCs/>
        </w:rPr>
        <w:t xml:space="preserve">Connecticut</w:t>
      </w:r>
      <w:r>
        <w:t xml:space="preserve"> </w:t>
      </w:r>
      <w:r>
        <w:t xml:space="preserve">· schooltrusts.net/reading/us-ct</w:t>
      </w:r>
    </w:p>
    <w:p>
      <w:pPr>
        <w:pStyle w:val="BodyText"/>
      </w:pPr>
      <w:r>
        <w:drawing>
          <wp:inline>
            <wp:extent cx="502920" cy="587044"/>
            <wp:effectExtent b="0" l="0" r="0" t="0"/>
            <wp:docPr descr="" title="" id="190" name="Picture"/>
            <a:graphic>
              <a:graphicData uri="http://schemas.openxmlformats.org/drawingml/2006/picture">
                <pic:pic>
                  <pic:nvPicPr>
                    <pic:cNvPr descr="C:/Users/drdav/My%20Drive/Claude%20Cowork/_tools/_web_cache/qr_us-ct_109d2e525972_1200x_q90.jpg" id="191" name="Picture"/>
                    <pic:cNvPicPr>
                      <a:picLocks noChangeArrowheads="1" noChangeAspect="1"/>
                    </pic:cNvPicPr>
                  </pic:nvPicPr>
                  <pic:blipFill>
                    <a:blip r:embed="rId18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Delaware</w:t>
      </w:r>
      <w:r>
        <w:t xml:space="preserve"> </w:t>
      </w:r>
      <w:r>
        <w:t xml:space="preserve">· schooltrusts.net/reading/us-de</w:t>
      </w:r>
    </w:p>
    <w:p>
      <w:pPr>
        <w:pStyle w:val="BodyText"/>
      </w:pPr>
      <w:r>
        <w:drawing>
          <wp:inline>
            <wp:extent cx="502920" cy="587044"/>
            <wp:effectExtent b="0" l="0" r="0" t="0"/>
            <wp:docPr descr="" title="" id="193" name="Picture"/>
            <a:graphic>
              <a:graphicData uri="http://schemas.openxmlformats.org/drawingml/2006/picture">
                <pic:pic>
                  <pic:nvPicPr>
                    <pic:cNvPr descr="C:/Users/drdav/My%20Drive/Claude%20Cowork/_tools/_web_cache/qr_us-de_9dcf07e3989e_1200x_q90.jpg" id="194" name="Picture"/>
                    <pic:cNvPicPr>
                      <a:picLocks noChangeArrowheads="1" noChangeAspect="1"/>
                    </pic:cNvPicPr>
                  </pic:nvPicPr>
                  <pic:blipFill>
                    <a:blip r:embed="rId19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Georgia</w:t>
      </w:r>
      <w:r>
        <w:t xml:space="preserve"> </w:t>
      </w:r>
      <w:r>
        <w:t xml:space="preserve">· schooltrusts.net/reading/us-ga</w:t>
      </w:r>
    </w:p>
    <w:p>
      <w:pPr>
        <w:pStyle w:val="BodyText"/>
      </w:pPr>
      <w:r>
        <w:drawing>
          <wp:inline>
            <wp:extent cx="502920" cy="587044"/>
            <wp:effectExtent b="0" l="0" r="0" t="0"/>
            <wp:docPr descr="" title="" id="196" name="Picture"/>
            <a:graphic>
              <a:graphicData uri="http://schemas.openxmlformats.org/drawingml/2006/picture">
                <pic:pic>
                  <pic:nvPicPr>
                    <pic:cNvPr descr="C:/Users/drdav/My%20Drive/Claude%20Cowork/_tools/_web_cache/qr_us-ga_7a697471e6eb_1200x_q90.jpg" id="197" name="Picture"/>
                    <pic:cNvPicPr>
                      <a:picLocks noChangeArrowheads="1" noChangeAspect="1"/>
                    </pic:cNvPicPr>
                  </pic:nvPicPr>
                  <pic:blipFill>
                    <a:blip r:embed="rId19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Kentucky</w:t>
      </w:r>
      <w:r>
        <w:t xml:space="preserve"> </w:t>
      </w:r>
      <w:r>
        <w:t xml:space="preserve">· schooltrusts.net/reading/us-ky</w:t>
      </w:r>
    </w:p>
    <w:p>
      <w:pPr>
        <w:pStyle w:val="BodyText"/>
      </w:pPr>
      <w:r>
        <w:drawing>
          <wp:inline>
            <wp:extent cx="502920" cy="587044"/>
            <wp:effectExtent b="0" l="0" r="0" t="0"/>
            <wp:docPr descr="" title="" id="199" name="Picture"/>
            <a:graphic>
              <a:graphicData uri="http://schemas.openxmlformats.org/drawingml/2006/picture">
                <pic:pic>
                  <pic:nvPicPr>
                    <pic:cNvPr descr="C:/Users/drdav/My%20Drive/Claude%20Cowork/_tools/_web_cache/qr_us-ky_12c2a04ac2bb_1200x_q90.jpg" id="200" name="Picture"/>
                    <pic:cNvPicPr>
                      <a:picLocks noChangeArrowheads="1" noChangeAspect="1"/>
                    </pic:cNvPicPr>
                  </pic:nvPicPr>
                  <pic:blipFill>
                    <a:blip r:embed="rId19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Maine</w:t>
      </w:r>
      <w:r>
        <w:t xml:space="preserve"> </w:t>
      </w:r>
      <w:r>
        <w:t xml:space="preserve">· schooltrusts.net/reading/us-me</w:t>
      </w:r>
    </w:p>
    <w:p>
      <w:pPr>
        <w:pStyle w:val="BodyText"/>
      </w:pPr>
      <w:r>
        <w:drawing>
          <wp:inline>
            <wp:extent cx="502920" cy="587044"/>
            <wp:effectExtent b="0" l="0" r="0" t="0"/>
            <wp:docPr descr="" title="" id="202" name="Picture"/>
            <a:graphic>
              <a:graphicData uri="http://schemas.openxmlformats.org/drawingml/2006/picture">
                <pic:pic>
                  <pic:nvPicPr>
                    <pic:cNvPr descr="C:/Users/drdav/My%20Drive/Claude%20Cowork/_tools/_web_cache/qr_us-me_b6f36700784c_1200x_q90.jpg" id="203" name="Picture"/>
                    <pic:cNvPicPr>
                      <a:picLocks noChangeArrowheads="1" noChangeAspect="1"/>
                    </pic:cNvPicPr>
                  </pic:nvPicPr>
                  <pic:blipFill>
                    <a:blip r:embed="rId20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Maryland</w:t>
      </w:r>
      <w:r>
        <w:t xml:space="preserve"> </w:t>
      </w:r>
      <w:r>
        <w:t xml:space="preserve">· schooltrusts.net/reading/us-md</w:t>
      </w:r>
    </w:p>
    <w:p>
      <w:pPr>
        <w:pStyle w:val="BodyText"/>
      </w:pPr>
      <w:r>
        <w:drawing>
          <wp:inline>
            <wp:extent cx="502920" cy="587044"/>
            <wp:effectExtent b="0" l="0" r="0" t="0"/>
            <wp:docPr descr="" title="" id="205" name="Picture"/>
            <a:graphic>
              <a:graphicData uri="http://schemas.openxmlformats.org/drawingml/2006/picture">
                <pic:pic>
                  <pic:nvPicPr>
                    <pic:cNvPr descr="C:/Users/drdav/My%20Drive/Claude%20Cowork/_tools/_web_cache/qr_us-md_fffbe9b033b1_1200x_q90.jpg" id="206" name="Picture"/>
                    <pic:cNvPicPr>
                      <a:picLocks noChangeArrowheads="1" noChangeAspect="1"/>
                    </pic:cNvPicPr>
                  </pic:nvPicPr>
                  <pic:blipFill>
                    <a:blip r:embed="rId20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Massachusetts</w:t>
      </w:r>
      <w:r>
        <w:t xml:space="preserve"> </w:t>
      </w:r>
      <w:r>
        <w:t xml:space="preserve">· schooltrusts.net/reading/us-ma</w:t>
      </w:r>
    </w:p>
    <w:p>
      <w:pPr>
        <w:pStyle w:val="BodyText"/>
      </w:pPr>
      <w:r>
        <w:drawing>
          <wp:inline>
            <wp:extent cx="502920" cy="587044"/>
            <wp:effectExtent b="0" l="0" r="0" t="0"/>
            <wp:docPr descr="" title="" id="208" name="Picture"/>
            <a:graphic>
              <a:graphicData uri="http://schemas.openxmlformats.org/drawingml/2006/picture">
                <pic:pic>
                  <pic:nvPicPr>
                    <pic:cNvPr descr="C:/Users/drdav/My%20Drive/Claude%20Cowork/_tools/_web_cache/qr_us-ma_b0688c0d2114_1200x_q90.jpg" id="209" name="Picture"/>
                    <pic:cNvPicPr>
                      <a:picLocks noChangeArrowheads="1" noChangeAspect="1"/>
                    </pic:cNvPicPr>
                  </pic:nvPicPr>
                  <pic:blipFill>
                    <a:blip r:embed="rId20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Hampshire</w:t>
      </w:r>
      <w:r>
        <w:t xml:space="preserve"> </w:t>
      </w:r>
      <w:r>
        <w:t xml:space="preserve">· schooltrusts.net/reading/us-nh</w:t>
      </w:r>
    </w:p>
    <w:p>
      <w:pPr>
        <w:pStyle w:val="BodyText"/>
      </w:pPr>
      <w:r>
        <w:drawing>
          <wp:inline>
            <wp:extent cx="502920" cy="587044"/>
            <wp:effectExtent b="0" l="0" r="0" t="0"/>
            <wp:docPr descr="" title="" id="211" name="Picture"/>
            <a:graphic>
              <a:graphicData uri="http://schemas.openxmlformats.org/drawingml/2006/picture">
                <pic:pic>
                  <pic:nvPicPr>
                    <pic:cNvPr descr="C:/Users/drdav/My%20Drive/Claude%20Cowork/_tools/_web_cache/qr_us-nh_13a397d2881d_1200x_q90.jpg" id="212" name="Picture"/>
                    <pic:cNvPicPr>
                      <a:picLocks noChangeArrowheads="1" noChangeAspect="1"/>
                    </pic:cNvPicPr>
                  </pic:nvPicPr>
                  <pic:blipFill>
                    <a:blip r:embed="rId21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Jersey</w:t>
      </w:r>
      <w:r>
        <w:t xml:space="preserve"> </w:t>
      </w:r>
      <w:r>
        <w:t xml:space="preserve">· schooltrusts.net/reading/us-nj</w:t>
      </w:r>
    </w:p>
    <w:p>
      <w:pPr>
        <w:pStyle w:val="BodyText"/>
      </w:pPr>
      <w:r>
        <w:drawing>
          <wp:inline>
            <wp:extent cx="502920" cy="587044"/>
            <wp:effectExtent b="0" l="0" r="0" t="0"/>
            <wp:docPr descr="" title="" id="214" name="Picture"/>
            <a:graphic>
              <a:graphicData uri="http://schemas.openxmlformats.org/drawingml/2006/picture">
                <pic:pic>
                  <pic:nvPicPr>
                    <pic:cNvPr descr="C:/Users/drdav/My%20Drive/Claude%20Cowork/_tools/_web_cache/qr_us-nj_61f1b3947c89_1200x_q90.jpg" id="215" name="Picture"/>
                    <pic:cNvPicPr>
                      <a:picLocks noChangeArrowheads="1" noChangeAspect="1"/>
                    </pic:cNvPicPr>
                  </pic:nvPicPr>
                  <pic:blipFill>
                    <a:blip r:embed="rId21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York</w:t>
      </w:r>
      <w:r>
        <w:t xml:space="preserve"> </w:t>
      </w:r>
      <w:r>
        <w:t xml:space="preserve">· schooltrusts.net/reading/us-ny</w:t>
      </w:r>
    </w:p>
    <w:p>
      <w:pPr>
        <w:pStyle w:val="BodyText"/>
      </w:pPr>
      <w:r>
        <w:drawing>
          <wp:inline>
            <wp:extent cx="502920" cy="587044"/>
            <wp:effectExtent b="0" l="0" r="0" t="0"/>
            <wp:docPr descr="" title="" id="217" name="Picture"/>
            <a:graphic>
              <a:graphicData uri="http://schemas.openxmlformats.org/drawingml/2006/picture">
                <pic:pic>
                  <pic:nvPicPr>
                    <pic:cNvPr descr="C:/Users/drdav/My%20Drive/Claude%20Cowork/_tools/_web_cache/qr_us-ny_e323bfb045f1_1200x_q90.jpg" id="218" name="Picture"/>
                    <pic:cNvPicPr>
                      <a:picLocks noChangeArrowheads="1" noChangeAspect="1"/>
                    </pic:cNvPicPr>
                  </pic:nvPicPr>
                  <pic:blipFill>
                    <a:blip r:embed="rId21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North Carolina</w:t>
      </w:r>
      <w:r>
        <w:t xml:space="preserve"> </w:t>
      </w:r>
      <w:r>
        <w:t xml:space="preserve">· schooltrusts.net/reading/us-nc</w:t>
      </w:r>
    </w:p>
    <w:p>
      <w:pPr>
        <w:pStyle w:val="BodyText"/>
      </w:pPr>
      <w:r>
        <w:drawing>
          <wp:inline>
            <wp:extent cx="502920" cy="587044"/>
            <wp:effectExtent b="0" l="0" r="0" t="0"/>
            <wp:docPr descr="" title="" id="220" name="Picture"/>
            <a:graphic>
              <a:graphicData uri="http://schemas.openxmlformats.org/drawingml/2006/picture">
                <pic:pic>
                  <pic:nvPicPr>
                    <pic:cNvPr descr="C:/Users/drdav/My%20Drive/Claude%20Cowork/_tools/_web_cache/qr_us-nc_df76be61207d_1200x_q90.jpg" id="221" name="Picture"/>
                    <pic:cNvPicPr>
                      <a:picLocks noChangeArrowheads="1" noChangeAspect="1"/>
                    </pic:cNvPicPr>
                  </pic:nvPicPr>
                  <pic:blipFill>
                    <a:blip r:embed="rId21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Pennsylvania</w:t>
      </w:r>
      <w:r>
        <w:t xml:space="preserve"> </w:t>
      </w:r>
      <w:r>
        <w:t xml:space="preserve">· schooltrusts.net/reading/us-pa</w:t>
      </w:r>
    </w:p>
    <w:p>
      <w:pPr>
        <w:pStyle w:val="BodyText"/>
      </w:pPr>
      <w:r>
        <w:drawing>
          <wp:inline>
            <wp:extent cx="502920" cy="587044"/>
            <wp:effectExtent b="0" l="0" r="0" t="0"/>
            <wp:docPr descr="" title="" id="223" name="Picture"/>
            <a:graphic>
              <a:graphicData uri="http://schemas.openxmlformats.org/drawingml/2006/picture">
                <pic:pic>
                  <pic:nvPicPr>
                    <pic:cNvPr descr="C:/Users/drdav/My%20Drive/Claude%20Cowork/_tools/_web_cache/qr_us-pa_c50aed5cc052_1200x_q90.jpg" id="224" name="Picture"/>
                    <pic:cNvPicPr>
                      <a:picLocks noChangeArrowheads="1" noChangeAspect="1"/>
                    </pic:cNvPicPr>
                  </pic:nvPicPr>
                  <pic:blipFill>
                    <a:blip r:embed="rId22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Rhode Island</w:t>
      </w:r>
      <w:r>
        <w:t xml:space="preserve"> </w:t>
      </w:r>
      <w:r>
        <w:t xml:space="preserve">· schooltrusts.net/reading/us-ri</w:t>
      </w:r>
    </w:p>
    <w:p>
      <w:pPr>
        <w:pStyle w:val="BodyText"/>
      </w:pPr>
      <w:r>
        <w:drawing>
          <wp:inline>
            <wp:extent cx="502920" cy="587044"/>
            <wp:effectExtent b="0" l="0" r="0" t="0"/>
            <wp:docPr descr="" title="" id="226" name="Picture"/>
            <a:graphic>
              <a:graphicData uri="http://schemas.openxmlformats.org/drawingml/2006/picture">
                <pic:pic>
                  <pic:nvPicPr>
                    <pic:cNvPr descr="C:/Users/drdav/My%20Drive/Claude%20Cowork/_tools/_web_cache/qr_us-ri_50f3f6190519_1200x_q90.jpg" id="227" name="Picture"/>
                    <pic:cNvPicPr>
                      <a:picLocks noChangeArrowheads="1" noChangeAspect="1"/>
                    </pic:cNvPicPr>
                  </pic:nvPicPr>
                  <pic:blipFill>
                    <a:blip r:embed="rId22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South Carolina</w:t>
      </w:r>
      <w:r>
        <w:t xml:space="preserve"> </w:t>
      </w:r>
      <w:r>
        <w:t xml:space="preserve">· schooltrusts.net/reading/us-sc</w:t>
      </w:r>
    </w:p>
    <w:p>
      <w:pPr>
        <w:pStyle w:val="BodyText"/>
      </w:pPr>
      <w:r>
        <w:drawing>
          <wp:inline>
            <wp:extent cx="502920" cy="587044"/>
            <wp:effectExtent b="0" l="0" r="0" t="0"/>
            <wp:docPr descr="" title="" id="229" name="Picture"/>
            <a:graphic>
              <a:graphicData uri="http://schemas.openxmlformats.org/drawingml/2006/picture">
                <pic:pic>
                  <pic:nvPicPr>
                    <pic:cNvPr descr="C:/Users/drdav/My%20Drive/Claude%20Cowork/_tools/_web_cache/qr_us-sc_3012d94282d0_1200x_q90.jpg" id="230" name="Picture"/>
                    <pic:cNvPicPr>
                      <a:picLocks noChangeArrowheads="1" noChangeAspect="1"/>
                    </pic:cNvPicPr>
                  </pic:nvPicPr>
                  <pic:blipFill>
                    <a:blip r:embed="rId22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Vermont</w:t>
      </w:r>
      <w:r>
        <w:t xml:space="preserve"> </w:t>
      </w:r>
      <w:r>
        <w:t xml:space="preserve">· schooltrusts.net/reading/us-vt</w:t>
      </w:r>
    </w:p>
    <w:p>
      <w:pPr>
        <w:pStyle w:val="BodyText"/>
      </w:pPr>
      <w:r>
        <w:drawing>
          <wp:inline>
            <wp:extent cx="502920" cy="587044"/>
            <wp:effectExtent b="0" l="0" r="0" t="0"/>
            <wp:docPr descr="" title="" id="232" name="Picture"/>
            <a:graphic>
              <a:graphicData uri="http://schemas.openxmlformats.org/drawingml/2006/picture">
                <pic:pic>
                  <pic:nvPicPr>
                    <pic:cNvPr descr="C:/Users/drdav/My%20Drive/Claude%20Cowork/_tools/_web_cache/qr_us-vt_c2257b4584fa_1200x_q90.jpg" id="233" name="Picture"/>
                    <pic:cNvPicPr>
                      <a:picLocks noChangeArrowheads="1" noChangeAspect="1"/>
                    </pic:cNvPicPr>
                  </pic:nvPicPr>
                  <pic:blipFill>
                    <a:blip r:embed="rId23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Virginia</w:t>
      </w:r>
      <w:r>
        <w:t xml:space="preserve"> </w:t>
      </w:r>
      <w:r>
        <w:t xml:space="preserve">· schooltrusts.net/reading/us-va</w:t>
      </w:r>
    </w:p>
    <w:p>
      <w:pPr>
        <w:pStyle w:val="BodyText"/>
      </w:pPr>
      <w:r>
        <w:drawing>
          <wp:inline>
            <wp:extent cx="502920" cy="587044"/>
            <wp:effectExtent b="0" l="0" r="0" t="0"/>
            <wp:docPr descr="" title="" id="235" name="Picture"/>
            <a:graphic>
              <a:graphicData uri="http://schemas.openxmlformats.org/drawingml/2006/picture">
                <pic:pic>
                  <pic:nvPicPr>
                    <pic:cNvPr descr="C:/Users/drdav/My%20Drive/Claude%20Cowork/_tools/_web_cache/qr_us-va_c23fb80f5dad_1200x_q90.jpg" id="236" name="Picture"/>
                    <pic:cNvPicPr>
                      <a:picLocks noChangeArrowheads="1" noChangeAspect="1"/>
                    </pic:cNvPicPr>
                  </pic:nvPicPr>
                  <pic:blipFill>
                    <a:blip r:embed="rId23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West Virginia</w:t>
      </w:r>
      <w:r>
        <w:t xml:space="preserve"> </w:t>
      </w:r>
      <w:r>
        <w:t xml:space="preserve">· schooltrusts.net/reading/us-wv</w:t>
      </w:r>
    </w:p>
    <w:p>
      <w:pPr>
        <w:pStyle w:val="BodyText"/>
      </w:pPr>
      <w:r>
        <w:drawing>
          <wp:inline>
            <wp:extent cx="502920" cy="587044"/>
            <wp:effectExtent b="0" l="0" r="0" t="0"/>
            <wp:docPr descr="" title="" id="238" name="Picture"/>
            <a:graphic>
              <a:graphicData uri="http://schemas.openxmlformats.org/drawingml/2006/picture">
                <pic:pic>
                  <pic:nvPicPr>
                    <pic:cNvPr descr="C:/Users/drdav/My%20Drive/Claude%20Cowork/_tools/_web_cache/qr_us-wv_ae92face8bd4_1200x_q90.jpg" id="239" name="Picture"/>
                    <pic:cNvPicPr>
                      <a:picLocks noChangeArrowheads="1" noChangeAspect="1"/>
                    </pic:cNvPicPr>
                  </pic:nvPicPr>
                  <pic:blipFill>
                    <a:blip r:embed="rId237"/>
                    <a:stretch>
                      <a:fillRect/>
                    </a:stretch>
                  </pic:blipFill>
                  <pic:spPr bwMode="auto">
                    <a:xfrm>
                      <a:off x="0" y="0"/>
                      <a:ext cx="502920" cy="587044"/>
                    </a:xfrm>
                    <a:prstGeom prst="rect">
                      <a:avLst/>
                    </a:prstGeom>
                    <a:noFill/>
                    <a:ln w="9525">
                      <a:noFill/>
                      <a:headEnd/>
                      <a:tailEnd/>
                    </a:ln>
                  </pic:spPr>
                </pic:pic>
              </a:graphicData>
            </a:graphic>
          </wp:inline>
        </w:drawing>
      </w:r>
    </w:p>
    <w:p>
      <w:r>
        <w:br w:type="page"/>
      </w:r>
    </w:p>
    <w:bookmarkEnd w:id="240"/>
    <w:bookmarkStart w:id="241" w:name="closing-word"/>
    <w:p>
      <w:pPr>
        <w:pStyle w:val="Heading1"/>
      </w:pPr>
      <w:r>
        <w:t xml:space="preserve">Closing Word</w:t>
      </w:r>
    </w:p>
    <w:p>
      <w:pPr>
        <w:pStyle w:val="FirstParagraph"/>
      </w:pPr>
      <w:r>
        <w:t xml:space="preserve">The book began with an inheritance almost no one knows exists. It ends with the same fact, made harder to ignore.</w:t>
      </w:r>
    </w:p>
    <w:p>
      <w:pPr>
        <w:pStyle w:val="BodyText"/>
      </w:pPr>
      <w:r>
        <w:t xml:space="preserve">The school lands were not a metaphor. They were land, money, and duty. Some states kept them. Some lost them. Some are still deciding, transaction by transaction, whether the schools’ inheritance will be handed forward or quietly spent for something else.</w:t>
      </w:r>
    </w:p>
    <w:p>
      <w:pPr>
        <w:pStyle w:val="BodyText"/>
      </w:pPr>
      <w:r>
        <w:t xml:space="preserve">The duty does not expire. The trust does not defend itself. The next keeper is whoever learns enough to ask.</w:t>
      </w:r>
    </w:p>
    <w:p>
      <w:pPr>
        <w:pStyle w:val="BodyText"/>
      </w:pPr>
      <w:r>
        <w:t xml:space="preserve">It was meant to be a forever gift. Whether it is handed forward now is up to people who know it exists. You do now.</w:t>
      </w:r>
    </w:p>
    <w:p>
      <w:r>
        <w:br w:type="page"/>
      </w:r>
    </w:p>
    <w:bookmarkEnd w:id="241"/>
    <w:bookmarkStart w:id="252" w:name="notes"/>
    <w:p>
      <w:pPr>
        <w:pStyle w:val="Heading1"/>
      </w:pPr>
      <w:r>
        <w:t xml:space="preserve">Notes</w:t>
      </w:r>
    </w:p>
    <w:p>
      <w:pPr>
        <w:pStyle w:val="FirstParagraph"/>
      </w:pPr>
      <w:r>
        <w:rPr>
          <w:i/>
          <w:iCs/>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layered research archive built by the Advocates for School Trust Lands, one that ties every reusable claim back to a primary source. Present-day figures change continually and are kept current online. Items still awaiting a pinned source are marked; if you can supply or correct a source, please write to us through schooltrusts.net. State-by-state sources appear with each Part Two entry and its living page.</w:t>
      </w:r>
    </w:p>
    <w:bookmarkStart w:id="242" w:name="a-note-from-the-first-author-1"/>
    <w:p>
      <w:pPr>
        <w:pStyle w:val="Heading2"/>
      </w:pPr>
      <w:r>
        <w:t xml:space="preserve">A Note from the First Author</w:t>
      </w:r>
    </w:p>
    <w:p>
      <w:pPr>
        <w:pStyle w:val="Compact"/>
        <w:numPr>
          <w:ilvl w:val="0"/>
          <w:numId w:val="1005"/>
        </w:numPr>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bookmarkEnd w:id="242"/>
    <w:bookmarkStart w:id="243" w:name="Xb66c01350146b99bd020f215610e5a734adf7f5"/>
    <w:p>
      <w:pPr>
        <w:pStyle w:val="Heading2"/>
      </w:pPr>
      <w:r>
        <w:t xml:space="preserve">Chapter 1 — The Inheritance Still Standing</w:t>
      </w:r>
    </w:p>
    <w:p>
      <w:pPr>
        <w:numPr>
          <w:ilvl w:val="0"/>
          <w:numId w:val="1006"/>
        </w:numPr>
      </w:pPr>
      <w:r>
        <w:t xml:space="preserve">James Madison to W. T. Barry, Aug. 4, 1822, Founders Online, National Archives.</w:t>
      </w:r>
    </w:p>
    <w:p>
      <w:pPr>
        <w:numPr>
          <w:ilvl w:val="0"/>
          <w:numId w:val="1006"/>
        </w:numPr>
      </w:pPr>
      <w:r>
        <w:t xml:space="preserve">On rate bills and the move to tax-supported common schools, see Carl F. Kaestle,</w:t>
      </w:r>
      <w:r>
        <w:t xml:space="preserve"> </w:t>
      </w:r>
      <w:r>
        <w:rPr>
          <w:i/>
          <w:iCs/>
        </w:rPr>
        <w:t xml:space="preserve">Pillars of the Republic</w:t>
      </w:r>
      <w:r>
        <w:t xml:space="preserve"> </w:t>
      </w:r>
      <w:r>
        <w:t xml:space="preserve">(1983); Claudia Goldin &amp; Lawrence F. Katz,</w:t>
      </w:r>
      <w:r>
        <w:t xml:space="preserve"> </w:t>
      </w:r>
      <w:r>
        <w:rPr>
          <w:i/>
          <w:iCs/>
        </w:rPr>
        <w:t xml:space="preserve">The Race Between Education and Technology</w:t>
      </w:r>
      <w:r>
        <w:t xml:space="preserve"> </w:t>
      </w:r>
      <w:r>
        <w:t xml:space="preserve">(2008), ch. 4.</w:t>
      </w:r>
    </w:p>
    <w:p>
      <w:pPr>
        <w:numPr>
          <w:ilvl w:val="0"/>
          <w:numId w:val="1006"/>
        </w:numPr>
      </w:pPr>
      <w:r>
        <w:t xml:space="preserve">Bryan County, Georgia, 1847: Thomas Robinson,</w:t>
      </w:r>
      <w:r>
        <w:t xml:space="preserve"> </w:t>
      </w:r>
      <w:r>
        <w:t xml:space="preserve">“Identity, Dissent, and the Roots of Georgia’s Middle Class, 1848–1865”</w:t>
      </w:r>
      <w:r>
        <w:t xml:space="preserve"> </w:t>
      </w:r>
      <w:r>
        <w:t xml:space="preserve">(Ph.D. diss., University of Mississippi, 2019), 110–11, citing the Gov. George W. Towns papers, Hargrett Rare Book and Manuscript Library, University of Georgia Libraries.</w:t>
      </w:r>
    </w:p>
    <w:p>
      <w:pPr>
        <w:numPr>
          <w:ilvl w:val="0"/>
          <w:numId w:val="1006"/>
        </w:numPr>
      </w:pPr>
      <w:r>
        <w:rPr>
          <w:i/>
          <w:iCs/>
        </w:rPr>
        <w:t xml:space="preserve">United States v. Morrison</w:t>
      </w:r>
      <w:r>
        <w:t xml:space="preserve">, 240 U.S. 192 (1916) — which in fact arose under Oregon’s 1859 Admission Act (§4). The Court:</w:t>
      </w:r>
      <w:r>
        <w:t xml:space="preserve"> </w:t>
      </w:r>
      <w:r>
        <w:t xml:space="preserve">“The same clause, relating to the same subject and enacted in pursuance of the same policy, did not have one meaning in one grant and a different meaning in another.”</w:t>
      </w:r>
      <w:r>
        <w:t xml:space="preserve"> </w:t>
      </w:r>
      <w:r>
        <w:t xml:space="preserve">Verified against the opinion.</w:t>
      </w:r>
    </w:p>
    <w:bookmarkEnd w:id="243"/>
    <w:bookmarkStart w:id="244" w:name="Xb3f62c669d52283d53d25140b090dcfe3002413"/>
    <w:p>
      <w:pPr>
        <w:pStyle w:val="Heading2"/>
      </w:pPr>
      <w:r>
        <w:t xml:space="preserve">Chapter 2 - The World That Made the Gift</w:t>
      </w:r>
    </w:p>
    <w:p>
      <w:pPr>
        <w:numPr>
          <w:ilvl w:val="0"/>
          <w:numId w:val="1007"/>
        </w:numPr>
      </w:pPr>
      <w:r>
        <w:t xml:space="preserve">John Adams,</w:t>
      </w:r>
      <w:r>
        <w:t xml:space="preserve"> </w:t>
      </w:r>
      <w:r>
        <w:rPr>
          <w:i/>
          <w:iCs/>
        </w:rPr>
        <w:t xml:space="preserve">Thoughts on Government</w:t>
      </w:r>
      <w:r>
        <w:t xml:space="preserve"> </w:t>
      </w:r>
      <w:r>
        <w:t xml:space="preserve">(1776), Founders Online, National Archives.</w:t>
      </w:r>
    </w:p>
    <w:p>
      <w:pPr>
        <w:numPr>
          <w:ilvl w:val="0"/>
          <w:numId w:val="1007"/>
        </w:numPr>
      </w:pPr>
      <w:r>
        <w:t xml:space="preserve">Jefferson’s 1784 territorial-government report and the failed anti-slavery clause: Founders Online, Papers of Thomas Jefferson, Report of the Committee, Mar. 1, 1784; Jefferson to Madison, Apr. 25, 1784. Jefferson chaired the 1784 committee; the Land Ordinance of May 20, 1785 was a separate land-disposition act adopted after Jefferson had left Congress for France.</w:t>
      </w:r>
    </w:p>
    <w:p>
      <w:pPr>
        <w:numPr>
          <w:ilvl w:val="0"/>
          <w:numId w:val="1007"/>
        </w:numPr>
      </w:pPr>
      <w:r>
        <w:t xml:space="preserve">Land Ordinance of May 20, 1785, Journals of the Continental Congress, vol. 28, reserving Lot No. 16 of every township for the maintenance of public schools. Northwest Ordinance of 1787, Journals of the Continental Congress, vols. 32-33, supplying the</w:t>
      </w:r>
      <w:r>
        <w:t xml:space="preserve"> </w:t>
      </w:r>
      <w:r>
        <w:t xml:space="preserve">“Religion, morality, and knowledge”</w:t>
      </w:r>
      <w:r>
        <w:t xml:space="preserve"> </w:t>
      </w:r>
      <w:r>
        <w:t xml:space="preserve">education language.</w:t>
      </w:r>
    </w:p>
    <w:p>
      <w:pPr>
        <w:numPr>
          <w:ilvl w:val="0"/>
          <w:numId w:val="1007"/>
        </w:numPr>
      </w:pPr>
      <w:r>
        <w:t xml:space="preserve">Early-republic finance: Alexander Hamilton,</w:t>
      </w:r>
      <w:r>
        <w:t xml:space="preserve"> </w:t>
      </w:r>
      <w:r>
        <w:rPr>
          <w:i/>
          <w:iCs/>
        </w:rPr>
        <w:t xml:space="preserve">First Report on the Public Credit</w:t>
      </w:r>
      <w:r>
        <w:t xml:space="preserve"> </w:t>
      </w:r>
      <w:r>
        <w:t xml:space="preserve">(Jan. 9, 1790), Founders Online; E. James Ferguson,</w:t>
      </w:r>
      <w:r>
        <w:t xml:space="preserve"> </w:t>
      </w:r>
      <w:r>
        <w:rPr>
          <w:i/>
          <w:iCs/>
        </w:rPr>
        <w:t xml:space="preserve">The Power of the Purse: A History of American Public Finance, 1776–1790</w:t>
      </w:r>
      <w:r>
        <w:t xml:space="preserve"> </w:t>
      </w:r>
      <w:r>
        <w:t xml:space="preserve">(1961). Western claims and cessions: Treaty of Paris (1783), arts. 1–2, 8; Virginia Deed of Cession, Mar. 1, 1784, Journals of the Continental Congress, vol. 26; Peter S. Onuf,</w:t>
      </w:r>
      <w:r>
        <w:t xml:space="preserve"> </w:t>
      </w:r>
      <w:r>
        <w:rPr>
          <w:i/>
          <w:iCs/>
        </w:rPr>
        <w:t xml:space="preserve">Statehood and Union: A History of the Northwest Ordinance</w:t>
      </w:r>
      <w:r>
        <w:t xml:space="preserve"> </w:t>
      </w:r>
      <w:r>
        <w:t xml:space="preserve">(1987). Indigenous title and the disposal assumption: Land Ordinance of May 20, 1785, Journals of the Continental Congress, vol. 28 (directing disposal of lands</w:t>
      </w:r>
      <w:r>
        <w:t xml:space="preserve"> </w:t>
      </w:r>
      <w:r>
        <w:t xml:space="preserve">“purchased of the Indian inhabitants”</w:t>
      </w:r>
      <w:r>
        <w:t xml:space="preserve">); Stuart Banner,</w:t>
      </w:r>
      <w:r>
        <w:t xml:space="preserve"> </w:t>
      </w:r>
      <w:r>
        <w:rPr>
          <w:i/>
          <w:iCs/>
        </w:rPr>
        <w:t xml:space="preserve">How the Indians Lost Their Land: Law and Power on the Frontier</w:t>
      </w:r>
      <w:r>
        <w:t xml:space="preserve"> </w:t>
      </w:r>
      <w:r>
        <w:t xml:space="preserve">(2005), chs. 3–4; Paul W. Gates,</w:t>
      </w:r>
      <w:r>
        <w:t xml:space="preserve"> </w:t>
      </w:r>
      <w:r>
        <w:rPr>
          <w:i/>
          <w:iCs/>
        </w:rPr>
        <w:t xml:space="preserve">History of Public Land Law Development</w:t>
      </w:r>
      <w:r>
        <w:t xml:space="preserve"> </w:t>
      </w:r>
      <w:r>
        <w:t xml:space="preserve">(1968), ch. 4.</w:t>
      </w:r>
    </w:p>
    <w:p>
      <w:pPr>
        <w:numPr>
          <w:ilvl w:val="0"/>
          <w:numId w:val="1007"/>
        </w:numPr>
      </w:pPr>
      <w:r>
        <w:t xml:space="preserve">Compact framing: Ohio Enabling Act of Apr. 30, 1802, §7, 2 Stat. 173, 175 (section 16 granted for schools; in return, federal lands sold within the state exempt from state taxation for five years); Paul W. Gates,</w:t>
      </w:r>
      <w:r>
        <w:t xml:space="preserve"> </w:t>
      </w:r>
      <w:r>
        <w:rPr>
          <w:i/>
          <w:iCs/>
        </w:rPr>
        <w:t xml:space="preserve">History of Public Land Law Development</w:t>
      </w:r>
      <w:r>
        <w:t xml:space="preserve"> </w:t>
      </w:r>
      <w:r>
        <w:t xml:space="preserve">(1968), 288–89; Justice Powell’s dissent in</w:t>
      </w:r>
      <w:r>
        <w:t xml:space="preserve"> </w:t>
      </w:r>
      <w:r>
        <w:rPr>
          <w:i/>
          <w:iCs/>
        </w:rPr>
        <w:t xml:space="preserve">Andrus v. Utah</w:t>
      </w:r>
      <w:r>
        <w:t xml:space="preserve">, 446 U.S. 500, 522–23 (1980); and the Oregon Admission Act’s</w:t>
      </w:r>
      <w:r>
        <w:t xml:space="preserve"> </w:t>
      </w:r>
      <w:r>
        <w:t xml:space="preserve">“obligatory on the United States and upon the said State”</w:t>
      </w:r>
      <w:r>
        <w:t xml:space="preserve"> </w:t>
      </w:r>
      <w:r>
        <w:t xml:space="preserve">language.</w:t>
      </w:r>
    </w:p>
    <w:bookmarkEnd w:id="244"/>
    <w:bookmarkStart w:id="245" w:name="chapter-3-the-punctilio-of-honor-1"/>
    <w:p>
      <w:pPr>
        <w:pStyle w:val="Heading2"/>
      </w:pPr>
      <w:r>
        <w:t xml:space="preserve">Chapter 3 — The Punctilio of Honor</w:t>
      </w:r>
    </w:p>
    <w:p>
      <w:pPr>
        <w:pStyle w:val="Compact"/>
        <w:numPr>
          <w:ilvl w:val="0"/>
          <w:numId w:val="1008"/>
        </w:numPr>
      </w:pPr>
      <w:r>
        <w:rPr>
          <w:i/>
          <w:iCs/>
        </w:rPr>
        <w:t xml:space="preserve">Meinhard v. Salmon</w:t>
      </w:r>
      <w:r>
        <w:t xml:space="preserve">, 249 N.Y. 458, 464, 164 N.E. 545, 546 (1928) (Cardozo, C.J.).</w:t>
      </w:r>
    </w:p>
    <w:bookmarkEnd w:id="245"/>
    <w:bookmarkStart w:id="246" w:name="X0c57d452c3b676170775aa42a10a1b6bc3c6792"/>
    <w:p>
      <w:pPr>
        <w:pStyle w:val="Heading2"/>
      </w:pPr>
      <w:r>
        <w:t xml:space="preserve">Chapter 4 — Loyalty: The Gift Treated as Pocket Money</w:t>
      </w:r>
    </w:p>
    <w:p>
      <w:pPr>
        <w:numPr>
          <w:ilvl w:val="0"/>
          <w:numId w:val="1009"/>
        </w:numPr>
      </w:pPr>
      <w:r>
        <w:rPr>
          <w:i/>
          <w:iCs/>
        </w:rPr>
        <w:t xml:space="preserve">Keech v. Sandford</w:t>
      </w:r>
      <w:r>
        <w:t xml:space="preserve">, (1726) Sel. Cas. Ch. 61, 25 Eng. Rep. 223.</w:t>
      </w:r>
    </w:p>
    <w:p>
      <w:pPr>
        <w:numPr>
          <w:ilvl w:val="0"/>
          <w:numId w:val="1009"/>
        </w:numPr>
      </w:pPr>
      <w:r>
        <w:rPr>
          <w:i/>
          <w:iCs/>
        </w:rPr>
        <w:t xml:space="preserve">Magruder v. Drury</w:t>
      </w:r>
      <w:r>
        <w:t xml:space="preserve">, 235 U.S. 106, 119 (1914) (Day, J.). (An earlier draft mis-credited the next sentence —</w:t>
      </w:r>
      <w:r>
        <w:t xml:space="preserve"> </w:t>
      </w:r>
      <w:r>
        <w:t xml:space="preserve">“the morals of the market place”</w:t>
      </w:r>
      <w:r>
        <w:t xml:space="preserve"> </w:t>
      </w:r>
      <w:r>
        <w:t xml:space="preserve">— to Magruder; that line is Cardozo’s in</w:t>
      </w:r>
      <w:r>
        <w:t xml:space="preserve"> </w:t>
      </w:r>
      <w:r>
        <w:rPr>
          <w:i/>
          <w:iCs/>
        </w:rPr>
        <w:t xml:space="preserve">Meinhard</w:t>
      </w:r>
      <w:r>
        <w:t xml:space="preserve">, below.)</w:t>
      </w:r>
    </w:p>
    <w:p>
      <w:pPr>
        <w:numPr>
          <w:ilvl w:val="0"/>
          <w:numId w:val="1009"/>
        </w:numPr>
      </w:pPr>
      <w:r>
        <w:rPr>
          <w:i/>
          <w:iCs/>
        </w:rPr>
        <w:t xml:space="preserve">Meinhard v. Salmon</w:t>
      </w:r>
      <w:r>
        <w:t xml:space="preserve">, 249 N.Y. 458, 464, 164 N.E. 545, 546 (1928) (Cardozo, C.J.).</w:t>
      </w:r>
    </w:p>
    <w:p>
      <w:pPr>
        <w:numPr>
          <w:ilvl w:val="0"/>
          <w:numId w:val="1009"/>
        </w:numPr>
      </w:pPr>
      <w:r>
        <w:rPr>
          <w:i/>
          <w:iCs/>
        </w:rPr>
        <w:t xml:space="preserve">Ervien v. United States</w:t>
      </w:r>
      <w:r>
        <w:t xml:space="preserve">, 251 U.S. 41 (1919); New Mexico–Arizona Enabling Act of 1910, §10 (36 Stat. 557). The quoted language (</w:t>
      </w:r>
      <w:r>
        <w:t xml:space="preserve">“special and exact”</w:t>
      </w:r>
      <w:r>
        <w:t xml:space="preserve">;</w:t>
      </w:r>
      <w:r>
        <w:t xml:space="preserve"> </w:t>
      </w:r>
      <w:r>
        <w:t xml:space="preserve">“preclude any license of construction or liberties of inference”</w:t>
      </w:r>
      <w:r>
        <w:t xml:space="preserve">) is verified against the opinion. The sentence sometimes misattributed to</w:t>
      </w:r>
      <w:r>
        <w:t xml:space="preserve"> </w:t>
      </w:r>
      <w:r>
        <w:rPr>
          <w:i/>
          <w:iCs/>
        </w:rPr>
        <w:t xml:space="preserve">Ervien</w:t>
      </w:r>
      <w:r>
        <w:t xml:space="preserve"> </w:t>
      </w:r>
      <w:r>
        <w:t xml:space="preserve">—</w:t>
      </w:r>
      <w:r>
        <w:t xml:space="preserve"> </w:t>
      </w:r>
      <w:r>
        <w:t xml:space="preserve">“they must be performed; they admit of no substitution; they admit of no addition”</w:t>
      </w:r>
      <w:r>
        <w:t xml:space="preserve"> </w:t>
      </w:r>
      <w:r>
        <w:t xml:space="preserve">— does not appear in it and is not used in this book.</w:t>
      </w:r>
    </w:p>
    <w:p>
      <w:pPr>
        <w:numPr>
          <w:ilvl w:val="0"/>
          <w:numId w:val="1009"/>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“1990”</w:t>
      </w:r>
      <w:r>
        <w:t xml:space="preserve"> </w:t>
      </w:r>
      <w:r>
        <w:t xml:space="preserve">date is corrected to 1998.</w:t>
      </w:r>
    </w:p>
    <w:bookmarkEnd w:id="246"/>
    <w:bookmarkStart w:id="247" w:name="X06b0bf3faa77b5f67995e4e6d8a528d921f8655"/>
    <w:p>
      <w:pPr>
        <w:pStyle w:val="Heading2"/>
      </w:pPr>
      <w:r>
        <w:t xml:space="preserve">Chapter 5 — Prudence: Do Not Eat the Seed Corn</w:t>
      </w:r>
    </w:p>
    <w:p>
      <w:pPr>
        <w:numPr>
          <w:ilvl w:val="0"/>
          <w:numId w:val="1010"/>
        </w:numPr>
      </w:pPr>
      <w:r>
        <w:rPr>
          <w:i/>
          <w:iCs/>
        </w:rPr>
        <w:t xml:space="preserve">Lassen v. Arizona ex rel. Arizona Highway Department</w:t>
      </w:r>
      <w:r>
        <w:t xml:space="preserve">, 385 U.S. 458 (1967). [VERIFY — pin cite: the</w:t>
      </w:r>
      <w:r>
        <w:t xml:space="preserve"> </w:t>
      </w:r>
      <w:r>
        <w:t xml:space="preserve">“eye single”</w:t>
      </w:r>
      <w:r>
        <w:t xml:space="preserve"> </w:t>
      </w:r>
      <w:r>
        <w:t xml:space="preserve">formulation is quoted in the school-land cases from</w:t>
      </w:r>
      <w:r>
        <w:t xml:space="preserve"> </w:t>
      </w:r>
      <w:r>
        <w:rPr>
          <w:i/>
          <w:iCs/>
        </w:rPr>
        <w:t xml:space="preserve">Lassen</w:t>
      </w:r>
      <w:r>
        <w:t xml:space="preserve">, which itself drew it from earlier trust authority; confirm the page before print.]</w:t>
      </w:r>
    </w:p>
    <w:p>
      <w:pPr>
        <w:numPr>
          <w:ilvl w:val="0"/>
          <w:numId w:val="1010"/>
        </w:numPr>
      </w:pPr>
      <w:r>
        <w:t xml:space="preserve">Chicago’s Section 16 (the downtown Loop), sold Oct. 4, 1833. [NEEDS-SOURCE — the sale date, the roughly $60-an-acre price, and the ~$38,000 total rest on secondary accounts (e.g., the</w:t>
      </w:r>
      <w:r>
        <w:t xml:space="preserve"> </w:t>
      </w:r>
      <w:r>
        <w:rPr>
          <w:i/>
          <w:iCs/>
        </w:rPr>
        <w:t xml:space="preserve">Encyclopedia of Chicago</w:t>
      </w:r>
      <w:r>
        <w:t xml:space="preserve">); pin to a documentary source before print.]</w:t>
      </w:r>
    </w:p>
    <w:p>
      <w:pPr>
        <w:numPr>
          <w:ilvl w:val="0"/>
          <w:numId w:val="1010"/>
        </w:numPr>
      </w:pPr>
      <w:r>
        <w:t xml:space="preserve">Wisconsin’s price-capped university-land grant and the board of land commissioners’ confession. [VERIFY — quote source:</w:t>
      </w:r>
      <w:r>
        <w:t xml:space="preserve"> </w:t>
      </w:r>
      <w:r>
        <w:t xml:space="preserve">“a man of ordinary judgment”</w:t>
      </w:r>
      <w:r>
        <w:t xml:space="preserve"> </w:t>
      </w:r>
      <w:r>
        <w:t xml:space="preserve">is a direct quotation whose primary source has not yet been located; do not print without one.]</w:t>
      </w:r>
    </w:p>
    <w:p>
      <w:pPr>
        <w:numPr>
          <w:ilvl w:val="0"/>
          <w:numId w:val="1010"/>
        </w:numPr>
      </w:pPr>
      <w:r>
        <w:t xml:space="preserve">Alabama’s share of the federal surplus distribution (Deposit Act of June 23, 1836, 5 Stat. 52), lost in the 1843 collapse of the state bank.</w:t>
      </w:r>
    </w:p>
    <w:p>
      <w:pPr>
        <w:numPr>
          <w:ilvl w:val="0"/>
          <w:numId w:val="1010"/>
        </w:numPr>
      </w:pPr>
      <w:r>
        <w:t xml:space="preserve">Nevada Division of State Lands (the surviving school-trust land is about 3,000 acres; the audited figure is 2,914); under $5,000 a year in recent reporting (</w:t>
      </w:r>
      <w:r>
        <w:rPr>
          <w:i/>
          <w:iCs/>
        </w:rPr>
        <w:t xml:space="preserve">Las Vegas Review-Journal</w:t>
      </w:r>
      <w:r>
        <w:t xml:space="preserve">). Margaret Bird’s larger never-claimed-acreage estimate is her own judgment and is not asserted here.</w:t>
      </w:r>
    </w:p>
    <w:p>
      <w:pPr>
        <w:numPr>
          <w:ilvl w:val="0"/>
          <w:numId w:val="1010"/>
        </w:numPr>
      </w:pPr>
      <w:r>
        <w:t xml:space="preserve">William Henry Harrison Beadle and the $10/acre minimum written into South Dakota’s 1885/1889 constitution: South Dakota Historical Society Foundation,</w:t>
      </w:r>
      <w:r>
        <w:t xml:space="preserve"> </w:t>
      </w:r>
      <w:r>
        <w:t xml:space="preserve">“The Savior of School Lands”</w:t>
      </w:r>
      <w:r>
        <w:t xml:space="preserve">; South Dakota Department of Education. The floor is $10 an acre — not $1.25, which was the federal preemption/homestead price. Beadle’s</w:t>
      </w:r>
      <w:r>
        <w:t xml:space="preserve"> </w:t>
      </w:r>
      <w:r>
        <w:t xml:space="preserve">“great trust of the future commonwealth”</w:t>
      </w:r>
      <w:r>
        <w:t xml:space="preserve"> </w:t>
      </w:r>
      <w:r>
        <w:t xml:space="preserve">quotation per the SDHSF account.</w:t>
      </w:r>
    </w:p>
    <w:p>
      <w:pPr>
        <w:numPr>
          <w:ilvl w:val="0"/>
          <w:numId w:val="1010"/>
        </w:numPr>
      </w:pPr>
      <w:r>
        <w:t xml:space="preserve">“An educated and forewarned constituency”</w:t>
      </w:r>
      <w:r>
        <w:t xml:space="preserve">: Margaret Bird, manuscript notes, 2026.</w:t>
      </w:r>
    </w:p>
    <w:p>
      <w:pPr>
        <w:numPr>
          <w:ilvl w:val="0"/>
          <w:numId w:val="1010"/>
        </w:numPr>
      </w:pPr>
      <w:r>
        <w:t xml:space="preserve">The Beadle Club survives today as a school-trust advocacy body open to citizen membership (Margaret Bird’s notes).</w:t>
      </w:r>
    </w:p>
    <w:p>
      <w:pPr>
        <w:numPr>
          <w:ilvl w:val="0"/>
          <w:numId w:val="1010"/>
        </w:numPr>
      </w:pPr>
      <w:r>
        <w:t xml:space="preserve">North Dakota Common Schools Trust Fund = $7.94 billion [as of Dec. 11, 2025], as reported to the Board of University and School Lands (North Dakota Department of Trust Lands) — up from $7 billion at the end of the prior fiscal year. A separate industry analysis projects a further $8.4 billion in future royalty payments from state-owned minerals over the remaining life of production (reported by the</w:t>
      </w:r>
      <w:r>
        <w:t xml:space="preserve"> </w:t>
      </w:r>
      <w:r>
        <w:rPr>
          <w:i/>
          <w:iCs/>
        </w:rPr>
        <w:t xml:space="preserve">North Dakota Monitor</w:t>
      </w:r>
      <w:r>
        <w:t xml:space="preserve">, Dec. 15, 2025) — a projection of future income, not a fund balance. Distributions to schools for the 2025–27 biennium total $584,677,350, up from about $77 million in 2009–11.</w:t>
      </w:r>
    </w:p>
    <w:p>
      <w:pPr>
        <w:numPr>
          <w:ilvl w:val="0"/>
          <w:numId w:val="1010"/>
        </w:numPr>
      </w:pPr>
      <w:r>
        <w:t xml:space="preserve">New Mexico Land Grant Permanent Fund ≈ $32.97 billion market value at calendar year-end 2024 [as of Dec. 31, 2024] (New Mexico State Investment Council). The Council reported ≈$1.83 billion in total FY2025 beneficiary distributions, of which public schools (≈ 88% of the fund) received the great majority.</w:t>
      </w:r>
    </w:p>
    <w:bookmarkEnd w:id="247"/>
    <w:bookmarkStart w:id="248" w:name="Xed21330c589ce4e06fad817b746249318876dfe"/>
    <w:p>
      <w:pPr>
        <w:pStyle w:val="Heading2"/>
      </w:pPr>
      <w:r>
        <w:t xml:space="preserve">Chapter 6 — Competence and Accounting: The Books Must Tell the Truth</w:t>
      </w:r>
    </w:p>
    <w:p>
      <w:pPr>
        <w:pStyle w:val="Compact"/>
        <w:numPr>
          <w:ilvl w:val="0"/>
          <w:numId w:val="1011"/>
        </w:numPr>
      </w:pPr>
      <w:r>
        <w:rPr>
          <w:i/>
          <w:iCs/>
        </w:rPr>
        <w:t xml:space="preserve">SEC v. Chenery Corp.</w:t>
      </w:r>
      <w:r>
        <w:t xml:space="preserve">, 318 U.S. 80, 85–86 (1943) (Frankfurter, J.).</w:t>
      </w:r>
    </w:p>
    <w:bookmarkEnd w:id="248"/>
    <w:bookmarkStart w:id="249" w:name="X0658e84416aaa0fdfcd22c0c94bee3a12f05811"/>
    <w:p>
      <w:pPr>
        <w:pStyle w:val="Heading2"/>
      </w:pPr>
      <w:r>
        <w:t xml:space="preserve">Chapter 7 — Supervision and Enforcement: Someone Has to Watch the Watcher</w:t>
      </w:r>
    </w:p>
    <w:p>
      <w:pPr>
        <w:numPr>
          <w:ilvl w:val="0"/>
          <w:numId w:val="1012"/>
        </w:numPr>
      </w:pPr>
      <w:r>
        <w:rPr>
          <w:i/>
          <w:iCs/>
        </w:rPr>
        <w:t xml:space="preserve">State ex rel. Ebke v. Board of Educational Lands &amp; Funds</w:t>
      </w:r>
      <w:r>
        <w:t xml:space="preserve">, 154 Neb. 244, 248–49, 47 N.W.2d 520, 524 (1951).</w:t>
      </w:r>
    </w:p>
    <w:p>
      <w:pPr>
        <w:numPr>
          <w:ilvl w:val="0"/>
          <w:numId w:val="1012"/>
        </w:numPr>
      </w:pPr>
      <w:r>
        <w:rPr>
          <w:i/>
          <w:iCs/>
        </w:rPr>
        <w:t xml:space="preserve">Hill v. Thompson</w:t>
      </w:r>
      <w:r>
        <w:t xml:space="preserve">, 564 So. 2d 1 (Miss. 1989) — the $7.50, ninety-nine-year Forest lease, verified.</w:t>
      </w:r>
    </w:p>
    <w:p>
      <w:pPr>
        <w:numPr>
          <w:ilvl w:val="0"/>
          <w:numId w:val="1012"/>
        </w:numPr>
      </w:pPr>
      <w:r>
        <w:rPr>
          <w:i/>
          <w:iCs/>
        </w:rPr>
        <w:t xml:space="preserve">Keys v. Carter</w:t>
      </w:r>
      <w:r>
        <w:t xml:space="preserve">, 318 So. 2d 862 (Miss. 1975) (the Rankin County superintendent’s lease to himself, voided for grossly inadequate consideration).</w:t>
      </w:r>
    </w:p>
    <w:p>
      <w:pPr>
        <w:numPr>
          <w:ilvl w:val="0"/>
          <w:numId w:val="1012"/>
        </w:numPr>
      </w:pPr>
      <w:r>
        <w:rPr>
          <w:i/>
          <w:iCs/>
        </w:rPr>
        <w:t xml:space="preserve">Ervien v. United States</w:t>
      </w:r>
      <w:r>
        <w:t xml:space="preserve">, 251 U.S. 41, 47 (1919).</w:t>
      </w:r>
    </w:p>
    <w:p>
      <w:pPr>
        <w:numPr>
          <w:ilvl w:val="0"/>
          <w:numId w:val="1012"/>
        </w:numPr>
      </w:pPr>
      <w:r>
        <w:rPr>
          <w:i/>
          <w:iCs/>
        </w:rPr>
        <w:t xml:space="preserve">Lassen v. Arizona ex rel. Arizona Highway Department</w:t>
      </w:r>
      <w:r>
        <w:t xml:space="preserve">, 385 U.S. 458, 465–69 (1967).</w:t>
      </w:r>
    </w:p>
    <w:p>
      <w:pPr>
        <w:numPr>
          <w:ilvl w:val="0"/>
          <w:numId w:val="1012"/>
        </w:numPr>
      </w:pPr>
      <w:r>
        <w:t xml:space="preserve">The decades-long delay in enforcing</w:t>
      </w:r>
      <w:r>
        <w:t xml:space="preserve"> </w:t>
      </w:r>
      <w:r>
        <w:rPr>
          <w:i/>
          <w:iCs/>
        </w:rPr>
        <w:t xml:space="preserve">Lassen</w:t>
      </w:r>
      <w:r>
        <w:t xml:space="preserve"> </w:t>
      </w:r>
      <w:r>
        <w:t xml:space="preserve">and the later statute-of-limitations defeat are from Margaret Bird’s compiled account; the specific Arizona suit, court, and limitations holding have not been located in a primary source.</w:t>
      </w:r>
    </w:p>
    <w:p>
      <w:pPr>
        <w:numPr>
          <w:ilvl w:val="0"/>
          <w:numId w:val="1012"/>
        </w:numPr>
      </w:pPr>
      <w:r>
        <w:rPr>
          <w:i/>
          <w:iCs/>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“One good attorney in the right place”</w:t>
      </w:r>
      <w:r>
        <w:t xml:space="preserve">: Margaret Bird, manuscript notes, 2026.</w:t>
      </w:r>
    </w:p>
    <w:p>
      <w:pPr>
        <w:numPr>
          <w:ilvl w:val="0"/>
          <w:numId w:val="1012"/>
        </w:numPr>
      </w:pPr>
      <w:r>
        <w:t xml:space="preserve">Project BOLD, championed by Gov. Scott M. Matheson. The account that it would have reworked the Enabling Act to serve the state rather than the schools — flagged by Bird to the State School Board — is her first-hand recollection.</w:t>
      </w:r>
    </w:p>
    <w:p>
      <w:pPr>
        <w:numPr>
          <w:ilvl w:val="0"/>
          <w:numId w:val="1012"/>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“5 million to 150 million … thirty times”</w:t>
      </w:r>
      <w:r>
        <w:t xml:space="preserve"> </w:t>
      </w:r>
      <w:r>
        <w:t xml:space="preserve">describes annual land revenue (SITLA FY2025 land revenue ≈ $142.1 million).</w:t>
      </w:r>
    </w:p>
    <w:p>
      <w:pPr>
        <w:numPr>
          <w:ilvl w:val="0"/>
          <w:numId w:val="1012"/>
        </w:numPr>
      </w:pPr>
      <w:r>
        <w:t xml:space="preserve">Dick Molpus / sixteenth-section reform:</w:t>
      </w:r>
      <w:r>
        <w:t xml:space="preserve"> </w:t>
      </w:r>
      <w:r>
        <w:rPr>
          <w:i/>
          <w:iCs/>
        </w:rPr>
        <w:t xml:space="preserve">Mississippi Encyclopedia</w:t>
      </w:r>
      <w:r>
        <w:t xml:space="preserve">,</w:t>
      </w:r>
      <w:r>
        <w:t xml:space="preserve"> </w:t>
      </w:r>
      <w:r>
        <w:t xml:space="preserve">“Sixteenth Section Lands.”</w:t>
      </w:r>
      <w:r>
        <w:t xml:space="preserve"> </w:t>
      </w:r>
      <w:r>
        <w:t xml:space="preserve">Revenue and lease-count figures rest on secondary accounts; specific numbers to be pinned to a Mississippi Secretary of State report before being asserted bare.</w:t>
      </w:r>
    </w:p>
    <w:bookmarkEnd w:id="249"/>
    <w:bookmarkStart w:id="250" w:name="chapter-8---the-money-must-be-seen-1"/>
    <w:p>
      <w:pPr>
        <w:pStyle w:val="Heading2"/>
      </w:pPr>
      <w:r>
        <w:t xml:space="preserve">Chapter 8 - The Money Must Be Seen</w:t>
      </w:r>
    </w:p>
    <w:p>
      <w:pPr>
        <w:numPr>
          <w:ilvl w:val="0"/>
          <w:numId w:val="1013"/>
        </w:numPr>
      </w:pPr>
      <w:r>
        <w:t xml:space="preserve">Utah School LAND Trust Program and distribution figures: Utah Trust Lands FY2025 performance reporting; see also Chapter 7 notes on SITLA, SITFO, and the Land Trusts Protection and Advocacy Office.</w:t>
      </w:r>
    </w:p>
    <w:p>
      <w:pPr>
        <w:numPr>
          <w:ilvl w:val="0"/>
          <w:numId w:val="1013"/>
        </w:numPr>
      </w:pPr>
      <w:r>
        <w:t xml:space="preserve">Mississippi reform: Dick Molpus / sixteenth-section reform materials; final print should pin specific lawsuit and lease-count figures to Mississippi Secretary of State records before asserting numbers.</w:t>
      </w:r>
    </w:p>
    <w:bookmarkEnd w:id="250"/>
    <w:bookmarkStart w:id="251" w:name="part-two-the-granted-states-a-to-z-1"/>
    <w:p>
      <w:pPr>
        <w:pStyle w:val="Heading2"/>
      </w:pPr>
      <w:r>
        <w:t xml:space="preserve">PART TWO — The Granted States, A to Z</w:t>
      </w:r>
    </w:p>
    <w:p>
      <w:pPr>
        <w:numPr>
          <w:ilvl w:val="0"/>
          <w:numId w:val="1014"/>
        </w:numPr>
      </w:pPr>
      <w:r>
        <w:rPr>
          <w:i/>
          <w:iCs/>
        </w:rPr>
        <w:t xml:space="preserve">Cooper v. Roberts</w:t>
      </w:r>
      <w:r>
        <w:t xml:space="preserve">, 59 U.S. (18 How.) 173, 178 (1855).</w:t>
      </w:r>
    </w:p>
    <w:p>
      <w:pPr>
        <w:numPr>
          <w:ilvl w:val="0"/>
          <w:numId w:val="1014"/>
        </w:numPr>
      </w:pPr>
      <w:r>
        <w:t xml:space="preserve">Quoted from the State of Oregon’s own filing: Defendants’ answer and summary-judgment briefing in</w:t>
      </w:r>
      <w:r>
        <w:t xml:space="preserve"> </w:t>
      </w:r>
      <w:r>
        <w:rPr>
          <w:i/>
          <w:iCs/>
        </w:rPr>
        <w:t xml:space="preserve">Siuslaw School District 97J v. State of Oregon</w:t>
      </w:r>
      <w:r>
        <w:t xml:space="preserve">, Polk County Circuit Court No. 24CV38372 (filed 2025–26) [record document].</w:t>
      </w:r>
    </w:p>
    <w:bookmarkEnd w:id="251"/>
    <w:bookmarkEnd w:id="252"/>
    <w:sectPr>
      <w:headerReference r:id="rId9" w:type="default"/>
      <w:footerReference r:id="rId10" w:type="default"/>
      <w:pgSz w:h="12960" w:w="8640"/>
      <w:pgMar w:bottom="864" w:footer="432" w:gutter="144" w:header="576" w:left="864" w:right="720" w:top="8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The Forgotten Forever Gift to Public Schools</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The Forgotten Forever Gift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B83489"/>
    <w:multiLevelType w:val="multilevel"/>
    <w:tmpl w:val="6E7873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25225A4"/>
    <w:multiLevelType w:val="multilevel"/>
    <w:tmpl w:val="66C4CAE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2">
    <w:nsid w:val="02B46019"/>
    <w:multiLevelType w:val="multilevel"/>
    <w:tmpl w:val="B3E62C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4BF499E"/>
    <w:multiLevelType w:val="multilevel"/>
    <w:tmpl w:val="D098E7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5973402"/>
    <w:multiLevelType w:val="multilevel"/>
    <w:tmpl w:val="D74882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067569F0"/>
    <w:multiLevelType w:val="multilevel"/>
    <w:tmpl w:val="CBF05D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6E41006"/>
    <w:multiLevelType w:val="multilevel"/>
    <w:tmpl w:val="D8D2A0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070D20AD"/>
    <w:multiLevelType w:val="multilevel"/>
    <w:tmpl w:val="6776A79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
    <w:nsid w:val="07126A7A"/>
    <w:multiLevelType w:val="hybridMultilevel"/>
    <w:tmpl w:val="41AE44A6"/>
    <w:lvl w:ilvl="0" w:tplc="0409000F">
      <w:start w:val="1"/>
      <w:numFmt w:val="decimal"/>
      <w:lvlText w:val="%1."/>
      <w:lvlJc w:val="left"/>
      <w:pPr>
        <w:ind w:hanging="360" w:left="1008"/>
      </w:pPr>
    </w:lvl>
    <w:lvl w:ilvl="1" w:tentative="1" w:tplc="04090019">
      <w:start w:val="1"/>
      <w:numFmt w:val="lowerLetter"/>
      <w:lvlText w:val="%2."/>
      <w:lvlJc w:val="left"/>
      <w:pPr>
        <w:ind w:hanging="360" w:left="1728"/>
      </w:pPr>
    </w:lvl>
    <w:lvl w:ilvl="2" w:tentative="1" w:tplc="0409001B">
      <w:start w:val="1"/>
      <w:numFmt w:val="lowerRoman"/>
      <w:lvlText w:val="%3."/>
      <w:lvlJc w:val="right"/>
      <w:pPr>
        <w:ind w:hanging="180" w:left="2448"/>
      </w:pPr>
    </w:lvl>
    <w:lvl w:ilvl="3" w:tentative="1" w:tplc="0409000F">
      <w:start w:val="1"/>
      <w:numFmt w:val="decimal"/>
      <w:lvlText w:val="%4."/>
      <w:lvlJc w:val="left"/>
      <w:pPr>
        <w:ind w:hanging="360" w:left="3168"/>
      </w:pPr>
    </w:lvl>
    <w:lvl w:ilvl="4" w:tentative="1" w:tplc="04090019">
      <w:start w:val="1"/>
      <w:numFmt w:val="lowerLetter"/>
      <w:lvlText w:val="%5."/>
      <w:lvlJc w:val="left"/>
      <w:pPr>
        <w:ind w:hanging="360" w:left="3888"/>
      </w:pPr>
    </w:lvl>
    <w:lvl w:ilvl="5" w:tentative="1" w:tplc="0409001B">
      <w:start w:val="1"/>
      <w:numFmt w:val="lowerRoman"/>
      <w:lvlText w:val="%6."/>
      <w:lvlJc w:val="right"/>
      <w:pPr>
        <w:ind w:hanging="180" w:left="4608"/>
      </w:pPr>
    </w:lvl>
    <w:lvl w:ilvl="6" w:tentative="1" w:tplc="0409000F">
      <w:start w:val="1"/>
      <w:numFmt w:val="decimal"/>
      <w:lvlText w:val="%7."/>
      <w:lvlJc w:val="left"/>
      <w:pPr>
        <w:ind w:hanging="360" w:left="5328"/>
      </w:pPr>
    </w:lvl>
    <w:lvl w:ilvl="7" w:tentative="1" w:tplc="04090019">
      <w:start w:val="1"/>
      <w:numFmt w:val="lowerLetter"/>
      <w:lvlText w:val="%8."/>
      <w:lvlJc w:val="left"/>
      <w:pPr>
        <w:ind w:hanging="360" w:left="6048"/>
      </w:pPr>
    </w:lvl>
    <w:lvl w:ilvl="8" w:tentative="1" w:tplc="0409001B">
      <w:start w:val="1"/>
      <w:numFmt w:val="lowerRoman"/>
      <w:lvlText w:val="%9."/>
      <w:lvlJc w:val="right"/>
      <w:pPr>
        <w:ind w:hanging="180" w:left="6768"/>
      </w:pPr>
    </w:lvl>
  </w:abstractNum>
  <w:abstractNum w15:restartNumberingAfterBreak="0" w:abstractNumId="9">
    <w:nsid w:val="078640D5"/>
    <w:multiLevelType w:val="multilevel"/>
    <w:tmpl w:val="C4A8D8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089327AC"/>
    <w:multiLevelType w:val="multilevel"/>
    <w:tmpl w:val="45C855C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08D914CD"/>
    <w:multiLevelType w:val="multilevel"/>
    <w:tmpl w:val="5590DB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08E44A82"/>
    <w:multiLevelType w:val="multilevel"/>
    <w:tmpl w:val="21808D1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08F83062"/>
    <w:multiLevelType w:val="hybridMultilevel"/>
    <w:tmpl w:val="A17ED9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9467879"/>
    <w:multiLevelType w:val="multilevel"/>
    <w:tmpl w:val="2732EC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09CC01CD"/>
    <w:multiLevelType w:val="multilevel"/>
    <w:tmpl w:val="732860E8"/>
    <w:lvl w:ilvl="0">
      <w:start w:val="2"/>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0A993E95"/>
    <w:multiLevelType w:val="multilevel"/>
    <w:tmpl w:val="53881B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0AD707CC"/>
    <w:multiLevelType w:val="multilevel"/>
    <w:tmpl w:val="BAB060D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0B3F1236"/>
    <w:multiLevelType w:val="multilevel"/>
    <w:tmpl w:val="8CD68D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0D035787"/>
    <w:multiLevelType w:val="multilevel"/>
    <w:tmpl w:val="1A1ADE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0E0E682D"/>
    <w:multiLevelType w:val="multilevel"/>
    <w:tmpl w:val="9340961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0E4064F4"/>
    <w:multiLevelType w:val="multilevel"/>
    <w:tmpl w:val="7ED2C68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0FC23FDF"/>
    <w:multiLevelType w:val="multilevel"/>
    <w:tmpl w:val="3DB266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129D3BAF"/>
    <w:multiLevelType w:val="multilevel"/>
    <w:tmpl w:val="D78E0E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12A868DF"/>
    <w:multiLevelType w:val="multilevel"/>
    <w:tmpl w:val="F2F66352"/>
    <w:lvl w:ilvl="0">
      <w:start w:val="1"/>
      <w:numFmt w:val="decimal"/>
      <w:lvlText w:val="%1."/>
      <w:lvlJc w:val="left"/>
      <w:pPr>
        <w:ind w:hanging="360" w:left="720"/>
      </w:pPr>
      <w:rPr>
        <w:b/>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25">
    <w:nsid w:val="12DF3196"/>
    <w:multiLevelType w:val="multilevel"/>
    <w:tmpl w:val="22E0358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13206C53"/>
    <w:multiLevelType w:val="multilevel"/>
    <w:tmpl w:val="0AEAF4D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27">
    <w:nsid w:val="13706FC4"/>
    <w:multiLevelType w:val="multilevel"/>
    <w:tmpl w:val="1B003F9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14A23E40"/>
    <w:multiLevelType w:val="multilevel"/>
    <w:tmpl w:val="B770D14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1577283A"/>
    <w:multiLevelType w:val="multilevel"/>
    <w:tmpl w:val="E422670A"/>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30">
    <w:nsid w:val="15C273F8"/>
    <w:multiLevelType w:val="multilevel"/>
    <w:tmpl w:val="9EFCB9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15E100FB"/>
    <w:multiLevelType w:val="multilevel"/>
    <w:tmpl w:val="A132A0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17FB1EDA"/>
    <w:multiLevelType w:val="multilevel"/>
    <w:tmpl w:val="812E54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183262E5"/>
    <w:multiLevelType w:val="multilevel"/>
    <w:tmpl w:val="91E8E1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19353F6B"/>
    <w:multiLevelType w:val="multilevel"/>
    <w:tmpl w:val="617A1DE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5">
    <w:nsid w:val="195C0BD3"/>
    <w:multiLevelType w:val="multilevel"/>
    <w:tmpl w:val="8228BC1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19D52E58"/>
    <w:multiLevelType w:val="multilevel"/>
    <w:tmpl w:val="3280C762"/>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4"/>
      <w:numFmt w:val="decimal"/>
      <w:lvlText w:val="%3."/>
      <w:lvlJc w:val="left"/>
      <w:pPr>
        <w:ind w:hanging="360" w:left="2160"/>
      </w:pPr>
      <w:rPr>
        <w:rFonts w:hint="default"/>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7">
    <w:nsid w:val="1A65385D"/>
    <w:multiLevelType w:val="multilevel"/>
    <w:tmpl w:val="EA2C1E5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1A7F2A8E"/>
    <w:multiLevelType w:val="multilevel"/>
    <w:tmpl w:val="811C9E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1AC10337"/>
    <w:multiLevelType w:val="multilevel"/>
    <w:tmpl w:val="1C2C3F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1AD6415F"/>
    <w:multiLevelType w:val="multilevel"/>
    <w:tmpl w:val="29B6B9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1">
    <w:nsid w:val="1CF9261D"/>
    <w:multiLevelType w:val="multilevel"/>
    <w:tmpl w:val="9FC6EF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1DDA7AC5"/>
    <w:multiLevelType w:val="multilevel"/>
    <w:tmpl w:val="6AD61BBE"/>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43">
    <w:nsid w:val="20AC10D0"/>
    <w:multiLevelType w:val="multilevel"/>
    <w:tmpl w:val="61ECFB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2146409A"/>
    <w:multiLevelType w:val="multilevel"/>
    <w:tmpl w:val="12F466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21BA25DE"/>
    <w:multiLevelType w:val="multilevel"/>
    <w:tmpl w:val="E272F2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2270510C"/>
    <w:multiLevelType w:val="multilevel"/>
    <w:tmpl w:val="DF4CE31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22821C6A"/>
    <w:multiLevelType w:val="multilevel"/>
    <w:tmpl w:val="AE3E36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8">
    <w:nsid w:val="230E10B7"/>
    <w:multiLevelType w:val="multilevel"/>
    <w:tmpl w:val="E2D244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9">
    <w:nsid w:val="240C0EE5"/>
    <w:multiLevelType w:val="multilevel"/>
    <w:tmpl w:val="49BE4A6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50">
    <w:nsid w:val="256B211C"/>
    <w:multiLevelType w:val="multilevel"/>
    <w:tmpl w:val="D5B046CE"/>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1">
    <w:nsid w:val="2582382B"/>
    <w:multiLevelType w:val="multilevel"/>
    <w:tmpl w:val="F7065FA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52">
    <w:nsid w:val="25851C1C"/>
    <w:multiLevelType w:val="multilevel"/>
    <w:tmpl w:val="28E06B8A"/>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53">
    <w:nsid w:val="258A4C0E"/>
    <w:multiLevelType w:val="multilevel"/>
    <w:tmpl w:val="EED85A7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25EB65F7"/>
    <w:multiLevelType w:val="multilevel"/>
    <w:tmpl w:val="E36AE4C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2703633F"/>
    <w:multiLevelType w:val="multilevel"/>
    <w:tmpl w:val="528C48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6">
    <w:nsid w:val="27F233F9"/>
    <w:multiLevelType w:val="multilevel"/>
    <w:tmpl w:val="37926A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282D7BEA"/>
    <w:multiLevelType w:val="multilevel"/>
    <w:tmpl w:val="46D00D2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28434A80"/>
    <w:multiLevelType w:val="multilevel"/>
    <w:tmpl w:val="B56EDC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9">
    <w:nsid w:val="28916CB1"/>
    <w:multiLevelType w:val="multilevel"/>
    <w:tmpl w:val="2220B1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2AEF5880"/>
    <w:multiLevelType w:val="multilevel"/>
    <w:tmpl w:val="040A48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2B5B0E77"/>
    <w:multiLevelType w:val="multilevel"/>
    <w:tmpl w:val="3D569D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2">
    <w:nsid w:val="2BD547BE"/>
    <w:multiLevelType w:val="multilevel"/>
    <w:tmpl w:val="EC0C0FF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3">
    <w:nsid w:val="2BF04CA4"/>
    <w:multiLevelType w:val="multilevel"/>
    <w:tmpl w:val="0C2653B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4">
    <w:nsid w:val="2C1A0AE9"/>
    <w:multiLevelType w:val="multilevel"/>
    <w:tmpl w:val="6CB2810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5">
    <w:nsid w:val="2C67257F"/>
    <w:multiLevelType w:val="multilevel"/>
    <w:tmpl w:val="4724804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66">
    <w:nsid w:val="2D4E486A"/>
    <w:multiLevelType w:val="multilevel"/>
    <w:tmpl w:val="83F02C3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2D6B1191"/>
    <w:multiLevelType w:val="multilevel"/>
    <w:tmpl w:val="38D46B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8">
    <w:nsid w:val="2D886EAD"/>
    <w:multiLevelType w:val="multilevel"/>
    <w:tmpl w:val="5764F5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2DC22A7D"/>
    <w:multiLevelType w:val="multilevel"/>
    <w:tmpl w:val="52B0A08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0">
    <w:nsid w:val="2DC356F8"/>
    <w:multiLevelType w:val="multilevel"/>
    <w:tmpl w:val="855C99F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1">
    <w:nsid w:val="2E007F60"/>
    <w:multiLevelType w:val="multilevel"/>
    <w:tmpl w:val="CB506F2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2">
    <w:nsid w:val="2E0D726E"/>
    <w:multiLevelType w:val="multilevel"/>
    <w:tmpl w:val="91747CB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73">
    <w:nsid w:val="2E9423C8"/>
    <w:multiLevelType w:val="multilevel"/>
    <w:tmpl w:val="BD48EC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4">
    <w:nsid w:val="2EB63878"/>
    <w:multiLevelType w:val="multilevel"/>
    <w:tmpl w:val="3F52BC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5">
    <w:nsid w:val="2F24471D"/>
    <w:multiLevelType w:val="multilevel"/>
    <w:tmpl w:val="ACA4AF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6">
    <w:nsid w:val="2F772FCA"/>
    <w:multiLevelType w:val="multilevel"/>
    <w:tmpl w:val="4C9AFF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30EF0700"/>
    <w:multiLevelType w:val="multilevel"/>
    <w:tmpl w:val="6532C02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8">
    <w:nsid w:val="31542B99"/>
    <w:multiLevelType w:val="multilevel"/>
    <w:tmpl w:val="A5E4BC9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9">
    <w:nsid w:val="3214752D"/>
    <w:multiLevelType w:val="multilevel"/>
    <w:tmpl w:val="0544756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0">
    <w:nsid w:val="32D96254"/>
    <w:multiLevelType w:val="multilevel"/>
    <w:tmpl w:val="DF067CA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1">
    <w:nsid w:val="32F22D74"/>
    <w:multiLevelType w:val="multilevel"/>
    <w:tmpl w:val="F5545000"/>
    <w:lvl w:ilvl="0">
      <w:start w:val="4"/>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2">
    <w:nsid w:val="333357C3"/>
    <w:multiLevelType w:val="multilevel"/>
    <w:tmpl w:val="13167D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3">
    <w:nsid w:val="3341054F"/>
    <w:multiLevelType w:val="multilevel"/>
    <w:tmpl w:val="9B7A3CC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4">
    <w:nsid w:val="34072499"/>
    <w:multiLevelType w:val="multilevel"/>
    <w:tmpl w:val="922E9928"/>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85">
    <w:nsid w:val="34887E3E"/>
    <w:multiLevelType w:val="multilevel"/>
    <w:tmpl w:val="C99AB4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6">
    <w:nsid w:val="351C418F"/>
    <w:multiLevelType w:val="multilevel"/>
    <w:tmpl w:val="BA8C03D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7">
    <w:nsid w:val="35AA772E"/>
    <w:multiLevelType w:val="multilevel"/>
    <w:tmpl w:val="EC3E940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8">
    <w:nsid w:val="35C05556"/>
    <w:multiLevelType w:val="multilevel"/>
    <w:tmpl w:val="172EAA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9">
    <w:nsid w:val="369D734E"/>
    <w:multiLevelType w:val="multilevel"/>
    <w:tmpl w:val="9ABA77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0">
    <w:nsid w:val="36F50B74"/>
    <w:multiLevelType w:val="multilevel"/>
    <w:tmpl w:val="557E1C08"/>
    <w:lvl w:ilvl="0">
      <w:start w:val="1"/>
      <w:numFmt w:val="bullet"/>
      <w:pStyle w:val="Box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1">
    <w:nsid w:val="37B43038"/>
    <w:multiLevelType w:val="multilevel"/>
    <w:tmpl w:val="0B74D32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2">
    <w:nsid w:val="38096A17"/>
    <w:multiLevelType w:val="multilevel"/>
    <w:tmpl w:val="6BD8A8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38711365"/>
    <w:multiLevelType w:val="multilevel"/>
    <w:tmpl w:val="5FE40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4">
    <w:nsid w:val="38891BE5"/>
    <w:multiLevelType w:val="multilevel"/>
    <w:tmpl w:val="896C5E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5">
    <w:nsid w:val="3A2D0C0F"/>
    <w:multiLevelType w:val="multilevel"/>
    <w:tmpl w:val="B20C208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96">
    <w:nsid w:val="3B6D768D"/>
    <w:multiLevelType w:val="multilevel"/>
    <w:tmpl w:val="B5DC70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3BB54721"/>
    <w:multiLevelType w:val="multilevel"/>
    <w:tmpl w:val="1C62253C"/>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98">
    <w:nsid w:val="3BC53099"/>
    <w:multiLevelType w:val="multilevel"/>
    <w:tmpl w:val="4E0CB44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9">
    <w:nsid w:val="3BCB20FE"/>
    <w:multiLevelType w:val="multilevel"/>
    <w:tmpl w:val="10307388"/>
    <w:lvl w:ilvl="0">
      <w:start w:val="1"/>
      <w:numFmt w:val="decimal"/>
      <w:pStyle w:val="BulletNumbeered"/>
      <w:lvlText w:val="%1."/>
      <w:lvlJc w:val="left"/>
      <w:pPr>
        <w:tabs>
          <w:tab w:pos="720" w:val="num"/>
        </w:tabs>
        <w:ind w:hanging="360" w:left="720"/>
      </w:pPr>
      <w:rPr>
        <w:rFonts w:ascii="Palatino Linotype" w:hAnsi="Palatino Linotype" w:hint="default"/>
        <w:color w:val="000000"/>
        <w:sz w:val="22"/>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0">
    <w:nsid w:val="3C2B06DE"/>
    <w:multiLevelType w:val="hybridMultilevel"/>
    <w:tmpl w:val="DC262F3C"/>
    <w:lvl w:ilvl="0" w:tplc="02E6B3A8">
      <w:numFmt w:val="bullet"/>
      <w:lvlText w:val=""/>
      <w:lvlJc w:val="left"/>
      <w:pPr>
        <w:ind w:hanging="360" w:left="570"/>
      </w:pPr>
      <w:rPr>
        <w:rFonts w:ascii="Wingdings" w:cs="Google Sans Text" w:eastAsia="Google Sans Text" w:hAnsi="Wingdings" w:hint="default"/>
      </w:rPr>
    </w:lvl>
    <w:lvl w:ilvl="1" w:tentative="1" w:tplc="04090003">
      <w:start w:val="1"/>
      <w:numFmt w:val="bullet"/>
      <w:lvlText w:val="o"/>
      <w:lvlJc w:val="left"/>
      <w:pPr>
        <w:ind w:hanging="360" w:left="1290"/>
      </w:pPr>
      <w:rPr>
        <w:rFonts w:ascii="Courier New" w:cs="Courier New" w:hAnsi="Courier New" w:hint="default"/>
      </w:rPr>
    </w:lvl>
    <w:lvl w:ilvl="2" w:tentative="1" w:tplc="04090005">
      <w:start w:val="1"/>
      <w:numFmt w:val="bullet"/>
      <w:lvlText w:val=""/>
      <w:lvlJc w:val="left"/>
      <w:pPr>
        <w:ind w:hanging="360" w:left="2010"/>
      </w:pPr>
      <w:rPr>
        <w:rFonts w:ascii="Wingdings" w:hAnsi="Wingdings" w:hint="default"/>
      </w:rPr>
    </w:lvl>
    <w:lvl w:ilvl="3" w:tentative="1" w:tplc="04090001">
      <w:start w:val="1"/>
      <w:numFmt w:val="bullet"/>
      <w:lvlText w:val=""/>
      <w:lvlJc w:val="left"/>
      <w:pPr>
        <w:ind w:hanging="360" w:left="2730"/>
      </w:pPr>
      <w:rPr>
        <w:rFonts w:ascii="Symbol" w:hAnsi="Symbol" w:hint="default"/>
      </w:rPr>
    </w:lvl>
    <w:lvl w:ilvl="4" w:tentative="1" w:tplc="04090003">
      <w:start w:val="1"/>
      <w:numFmt w:val="bullet"/>
      <w:lvlText w:val="o"/>
      <w:lvlJc w:val="left"/>
      <w:pPr>
        <w:ind w:hanging="360" w:left="3450"/>
      </w:pPr>
      <w:rPr>
        <w:rFonts w:ascii="Courier New" w:cs="Courier New" w:hAnsi="Courier New" w:hint="default"/>
      </w:rPr>
    </w:lvl>
    <w:lvl w:ilvl="5" w:tentative="1" w:tplc="04090005">
      <w:start w:val="1"/>
      <w:numFmt w:val="bullet"/>
      <w:lvlText w:val=""/>
      <w:lvlJc w:val="left"/>
      <w:pPr>
        <w:ind w:hanging="360" w:left="4170"/>
      </w:pPr>
      <w:rPr>
        <w:rFonts w:ascii="Wingdings" w:hAnsi="Wingdings" w:hint="default"/>
      </w:rPr>
    </w:lvl>
    <w:lvl w:ilvl="6" w:tentative="1" w:tplc="04090001">
      <w:start w:val="1"/>
      <w:numFmt w:val="bullet"/>
      <w:lvlText w:val=""/>
      <w:lvlJc w:val="left"/>
      <w:pPr>
        <w:ind w:hanging="360" w:left="4890"/>
      </w:pPr>
      <w:rPr>
        <w:rFonts w:ascii="Symbol" w:hAnsi="Symbol" w:hint="default"/>
      </w:rPr>
    </w:lvl>
    <w:lvl w:ilvl="7" w:tentative="1" w:tplc="04090003">
      <w:start w:val="1"/>
      <w:numFmt w:val="bullet"/>
      <w:lvlText w:val="o"/>
      <w:lvlJc w:val="left"/>
      <w:pPr>
        <w:ind w:hanging="360" w:left="5610"/>
      </w:pPr>
      <w:rPr>
        <w:rFonts w:ascii="Courier New" w:cs="Courier New" w:hAnsi="Courier New" w:hint="default"/>
      </w:rPr>
    </w:lvl>
    <w:lvl w:ilvl="8" w:tentative="1" w:tplc="04090005">
      <w:start w:val="1"/>
      <w:numFmt w:val="bullet"/>
      <w:lvlText w:val=""/>
      <w:lvlJc w:val="left"/>
      <w:pPr>
        <w:ind w:hanging="360" w:left="6330"/>
      </w:pPr>
      <w:rPr>
        <w:rFonts w:ascii="Wingdings" w:hAnsi="Wingdings" w:hint="default"/>
      </w:rPr>
    </w:lvl>
  </w:abstractNum>
  <w:abstractNum w15:restartNumberingAfterBreak="0" w:abstractNumId="101">
    <w:nsid w:val="3C555179"/>
    <w:multiLevelType w:val="multilevel"/>
    <w:tmpl w:val="CD2491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2">
    <w:nsid w:val="3C704ADB"/>
    <w:multiLevelType w:val="multilevel"/>
    <w:tmpl w:val="E534B8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3">
    <w:nsid w:val="3C82108F"/>
    <w:multiLevelType w:val="multilevel"/>
    <w:tmpl w:val="CA20CB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4">
    <w:nsid w:val="3DCD2D9E"/>
    <w:multiLevelType w:val="multilevel"/>
    <w:tmpl w:val="8EA024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5">
    <w:nsid w:val="3EB306FC"/>
    <w:multiLevelType w:val="multilevel"/>
    <w:tmpl w:val="64C2CA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6">
    <w:nsid w:val="3EC37C2D"/>
    <w:multiLevelType w:val="multilevel"/>
    <w:tmpl w:val="616008F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07">
    <w:nsid w:val="401E7C60"/>
    <w:multiLevelType w:val="multilevel"/>
    <w:tmpl w:val="6BB2E3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8">
    <w:nsid w:val="40276AA6"/>
    <w:multiLevelType w:val="multilevel"/>
    <w:tmpl w:val="6AACA2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9">
    <w:nsid w:val="40891277"/>
    <w:multiLevelType w:val="multilevel"/>
    <w:tmpl w:val="0DCEFA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0">
    <w:nsid w:val="409A090C"/>
    <w:multiLevelType w:val="multilevel"/>
    <w:tmpl w:val="A0067D5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11">
    <w:nsid w:val="41231A37"/>
    <w:multiLevelType w:val="multilevel"/>
    <w:tmpl w:val="D4F2CDDA"/>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12">
    <w:nsid w:val="41BC1395"/>
    <w:multiLevelType w:val="multilevel"/>
    <w:tmpl w:val="BC0EE9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3">
    <w:nsid w:val="42823B80"/>
    <w:multiLevelType w:val="multilevel"/>
    <w:tmpl w:val="B12ECA3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14">
    <w:nsid w:val="429B79E7"/>
    <w:multiLevelType w:val="multilevel"/>
    <w:tmpl w:val="AFF84B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5">
    <w:nsid w:val="42DF370F"/>
    <w:multiLevelType w:val="multilevel"/>
    <w:tmpl w:val="14B6D8E6"/>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16">
    <w:nsid w:val="430312F6"/>
    <w:multiLevelType w:val="multilevel"/>
    <w:tmpl w:val="274CD12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17">
    <w:nsid w:val="439310B2"/>
    <w:multiLevelType w:val="multilevel"/>
    <w:tmpl w:val="45AC2F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8">
    <w:nsid w:val="44313B65"/>
    <w:multiLevelType w:val="multilevel"/>
    <w:tmpl w:val="7D70CB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9">
    <w:nsid w:val="44386BF3"/>
    <w:multiLevelType w:val="multilevel"/>
    <w:tmpl w:val="546C06C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0">
    <w:nsid w:val="45A177C8"/>
    <w:multiLevelType w:val="multilevel"/>
    <w:tmpl w:val="ECBEBC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1">
    <w:nsid w:val="45A35442"/>
    <w:multiLevelType w:val="multilevel"/>
    <w:tmpl w:val="7474EDF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22">
    <w:nsid w:val="473A371D"/>
    <w:multiLevelType w:val="multilevel"/>
    <w:tmpl w:val="19E27D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3">
    <w:nsid w:val="476D7637"/>
    <w:multiLevelType w:val="multilevel"/>
    <w:tmpl w:val="D708E61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24">
    <w:nsid w:val="477D53A2"/>
    <w:multiLevelType w:val="multilevel"/>
    <w:tmpl w:val="63ECADD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5">
    <w:nsid w:val="47D87F39"/>
    <w:multiLevelType w:val="multilevel"/>
    <w:tmpl w:val="F9CA47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6">
    <w:nsid w:val="489241BE"/>
    <w:multiLevelType w:val="multilevel"/>
    <w:tmpl w:val="8A9879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7">
    <w:nsid w:val="48D8594D"/>
    <w:multiLevelType w:val="multilevel"/>
    <w:tmpl w:val="3C80886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8">
    <w:nsid w:val="49D7063B"/>
    <w:multiLevelType w:val="multilevel"/>
    <w:tmpl w:val="729437E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29">
    <w:nsid w:val="49F03E6A"/>
    <w:multiLevelType w:val="multilevel"/>
    <w:tmpl w:val="3496A4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0">
    <w:nsid w:val="4A05674B"/>
    <w:multiLevelType w:val="multilevel"/>
    <w:tmpl w:val="000050B0"/>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31">
    <w:nsid w:val="4B51181A"/>
    <w:multiLevelType w:val="multilevel"/>
    <w:tmpl w:val="903612D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32">
    <w:nsid w:val="4B6076AA"/>
    <w:multiLevelType w:val="multilevel"/>
    <w:tmpl w:val="44A6FD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3">
    <w:nsid w:val="4BCD2E3D"/>
    <w:multiLevelType w:val="multilevel"/>
    <w:tmpl w:val="243A21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4">
    <w:nsid w:val="4C841C46"/>
    <w:multiLevelType w:val="multilevel"/>
    <w:tmpl w:val="DBE44F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5">
    <w:nsid w:val="4D1B409F"/>
    <w:multiLevelType w:val="multilevel"/>
    <w:tmpl w:val="9D123F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6">
    <w:nsid w:val="4E6135DC"/>
    <w:multiLevelType w:val="multilevel"/>
    <w:tmpl w:val="EAF43FC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7">
    <w:nsid w:val="4F401538"/>
    <w:multiLevelType w:val="multilevel"/>
    <w:tmpl w:val="5C3AB0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8">
    <w:nsid w:val="4FDB46EB"/>
    <w:multiLevelType w:val="multilevel"/>
    <w:tmpl w:val="D83E71E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39">
    <w:nsid w:val="503D6F2A"/>
    <w:multiLevelType w:val="hybridMultilevel"/>
    <w:tmpl w:val="CD9A09F6"/>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40">
    <w:nsid w:val="50771B82"/>
    <w:multiLevelType w:val="multilevel"/>
    <w:tmpl w:val="00A2A028"/>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41">
    <w:nsid w:val="51475281"/>
    <w:multiLevelType w:val="multilevel"/>
    <w:tmpl w:val="E204464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2">
    <w:nsid w:val="517A0002"/>
    <w:multiLevelType w:val="multilevel"/>
    <w:tmpl w:val="EFBC9E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3">
    <w:nsid w:val="51D477CD"/>
    <w:multiLevelType w:val="multilevel"/>
    <w:tmpl w:val="88525870"/>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1"/>
      <w:numFmt w:val="decimal"/>
      <w:lvlText w:val="%3."/>
      <w:lvlJc w:val="left"/>
      <w:pPr>
        <w:ind w:hanging="360" w:left="2160"/>
      </w:p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4">
    <w:nsid w:val="528A3A5A"/>
    <w:multiLevelType w:val="multilevel"/>
    <w:tmpl w:val="9606EB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52960679"/>
    <w:multiLevelType w:val="multilevel"/>
    <w:tmpl w:val="F964F7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6">
    <w:nsid w:val="533B4062"/>
    <w:multiLevelType w:val="multilevel"/>
    <w:tmpl w:val="823843C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47">
    <w:nsid w:val="5374515C"/>
    <w:multiLevelType w:val="multilevel"/>
    <w:tmpl w:val="118A33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8">
    <w:nsid w:val="549E6689"/>
    <w:multiLevelType w:val="multilevel"/>
    <w:tmpl w:val="A5F061C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9">
    <w:nsid w:val="54BA3144"/>
    <w:multiLevelType w:val="multilevel"/>
    <w:tmpl w:val="79460F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0">
    <w:nsid w:val="54F044A2"/>
    <w:multiLevelType w:val="multilevel"/>
    <w:tmpl w:val="5942B77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1">
    <w:nsid w:val="55670DD9"/>
    <w:multiLevelType w:val="multilevel"/>
    <w:tmpl w:val="C0446D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2">
    <w:nsid w:val="56594C26"/>
    <w:multiLevelType w:val="multilevel"/>
    <w:tmpl w:val="097650A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3">
    <w:nsid w:val="56F40D0E"/>
    <w:multiLevelType w:val="multilevel"/>
    <w:tmpl w:val="1F3A6AA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4">
    <w:nsid w:val="58C84356"/>
    <w:multiLevelType w:val="multilevel"/>
    <w:tmpl w:val="F8A434B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5">
    <w:nsid w:val="59C52E87"/>
    <w:multiLevelType w:val="multilevel"/>
    <w:tmpl w:val="77B25C2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56">
    <w:nsid w:val="5ACE56FB"/>
    <w:multiLevelType w:val="multilevel"/>
    <w:tmpl w:val="39BA1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7">
    <w:nsid w:val="5BAD53A6"/>
    <w:multiLevelType w:val="multilevel"/>
    <w:tmpl w:val="78F025DC"/>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58">
    <w:nsid w:val="5CC070F0"/>
    <w:multiLevelType w:val="multilevel"/>
    <w:tmpl w:val="D4404ED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9">
    <w:nsid w:val="5CD94485"/>
    <w:multiLevelType w:val="multilevel"/>
    <w:tmpl w:val="E612FC4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0">
    <w:nsid w:val="5DB25203"/>
    <w:multiLevelType w:val="multilevel"/>
    <w:tmpl w:val="FF6A2C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1">
    <w:nsid w:val="5E430B5C"/>
    <w:multiLevelType w:val="multilevel"/>
    <w:tmpl w:val="0A0EF73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2">
    <w:nsid w:val="5EC15B4E"/>
    <w:multiLevelType w:val="multilevel"/>
    <w:tmpl w:val="22DCC5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3">
    <w:nsid w:val="5F16094C"/>
    <w:multiLevelType w:val="multilevel"/>
    <w:tmpl w:val="8E26AF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4">
    <w:nsid w:val="5F476DD3"/>
    <w:multiLevelType w:val="multilevel"/>
    <w:tmpl w:val="FC223E9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5">
    <w:nsid w:val="5F5F0A36"/>
    <w:multiLevelType w:val="multilevel"/>
    <w:tmpl w:val="BFB61C1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6">
    <w:nsid w:val="5FD67132"/>
    <w:multiLevelType w:val="multilevel"/>
    <w:tmpl w:val="939C614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67">
    <w:nsid w:val="60126244"/>
    <w:multiLevelType w:val="multilevel"/>
    <w:tmpl w:val="4856A1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8">
    <w:nsid w:val="60846D45"/>
    <w:multiLevelType w:val="multilevel"/>
    <w:tmpl w:val="6E9834F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9">
    <w:nsid w:val="60A2725D"/>
    <w:multiLevelType w:val="multilevel"/>
    <w:tmpl w:val="3CFAAC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0">
    <w:nsid w:val="62A63F6A"/>
    <w:multiLevelType w:val="multilevel"/>
    <w:tmpl w:val="05945D9E"/>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71">
    <w:nsid w:val="62A80EDA"/>
    <w:multiLevelType w:val="multilevel"/>
    <w:tmpl w:val="008EA2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2">
    <w:nsid w:val="635163EA"/>
    <w:multiLevelType w:val="multilevel"/>
    <w:tmpl w:val="A9F23D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3">
    <w:nsid w:val="6357506A"/>
    <w:multiLevelType w:val="multilevel"/>
    <w:tmpl w:val="4F945B2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4">
    <w:nsid w:val="638B09D6"/>
    <w:multiLevelType w:val="multilevel"/>
    <w:tmpl w:val="22322FD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5">
    <w:nsid w:val="64C53728"/>
    <w:multiLevelType w:val="multilevel"/>
    <w:tmpl w:val="857690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6">
    <w:nsid w:val="65095320"/>
    <w:multiLevelType w:val="multilevel"/>
    <w:tmpl w:val="90EE6F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7">
    <w:nsid w:val="6568227F"/>
    <w:multiLevelType w:val="multilevel"/>
    <w:tmpl w:val="4DB21DE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78">
    <w:nsid w:val="66132AA6"/>
    <w:multiLevelType w:val="multilevel"/>
    <w:tmpl w:val="B90C9A86"/>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9">
    <w:nsid w:val="67A43AFE"/>
    <w:multiLevelType w:val="multilevel"/>
    <w:tmpl w:val="9E8C10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0">
    <w:nsid w:val="67A867E0"/>
    <w:multiLevelType w:val="multilevel"/>
    <w:tmpl w:val="B4825AB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1">
    <w:nsid w:val="68735F5F"/>
    <w:multiLevelType w:val="multilevel"/>
    <w:tmpl w:val="2DE625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2">
    <w:nsid w:val="68EE44CA"/>
    <w:multiLevelType w:val="multilevel"/>
    <w:tmpl w:val="64C8AF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3">
    <w:nsid w:val="694423F9"/>
    <w:multiLevelType w:val="multilevel"/>
    <w:tmpl w:val="82903C3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84">
    <w:nsid w:val="6A5929D9"/>
    <w:multiLevelType w:val="multilevel"/>
    <w:tmpl w:val="6B0621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5">
    <w:nsid w:val="6AA45C92"/>
    <w:multiLevelType w:val="multilevel"/>
    <w:tmpl w:val="0E52CE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6">
    <w:nsid w:val="6B270AE9"/>
    <w:multiLevelType w:val="multilevel"/>
    <w:tmpl w:val="9BCC8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7">
    <w:nsid w:val="6B421227"/>
    <w:multiLevelType w:val="multilevel"/>
    <w:tmpl w:val="0974E1B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8">
    <w:nsid w:val="6C0B320D"/>
    <w:multiLevelType w:val="multilevel"/>
    <w:tmpl w:val="ADD2FEC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89">
    <w:nsid w:val="6D6A3EDD"/>
    <w:multiLevelType w:val="multilevel"/>
    <w:tmpl w:val="CC64BB58"/>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190">
    <w:nsid w:val="705C5C3B"/>
    <w:multiLevelType w:val="multilevel"/>
    <w:tmpl w:val="00AE6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1">
    <w:nsid w:val="7066477D"/>
    <w:multiLevelType w:val="multilevel"/>
    <w:tmpl w:val="A3F8CB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2">
    <w:nsid w:val="711802C8"/>
    <w:multiLevelType w:val="multilevel"/>
    <w:tmpl w:val="8DB03B50"/>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3">
    <w:nsid w:val="71E65512"/>
    <w:multiLevelType w:val="multilevel"/>
    <w:tmpl w:val="A192D7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4">
    <w:nsid w:val="7255063F"/>
    <w:multiLevelType w:val="multilevel"/>
    <w:tmpl w:val="97CE29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5">
    <w:nsid w:val="73294A23"/>
    <w:multiLevelType w:val="multilevel"/>
    <w:tmpl w:val="D3BC51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6">
    <w:nsid w:val="73E56B79"/>
    <w:multiLevelType w:val="multilevel"/>
    <w:tmpl w:val="1A406078"/>
    <w:lvl w:ilvl="0">
      <w:start w:val="1"/>
      <w:numFmt w:val="decimal"/>
      <w:lvlText w:val="%1."/>
      <w:lvlJc w:val="left"/>
      <w:pPr>
        <w:ind w:hanging="360" w:left="720"/>
      </w:pPr>
    </w:lvl>
    <w:lvl w:ilvl="1">
      <w:start w:val="1"/>
      <w:numFmt w:val="upp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97">
    <w:nsid w:val="750517B4"/>
    <w:multiLevelType w:val="multilevel"/>
    <w:tmpl w:val="0512C99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8">
    <w:nsid w:val="75284068"/>
    <w:multiLevelType w:val="multilevel"/>
    <w:tmpl w:val="175208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9">
    <w:nsid w:val="75EB7ECE"/>
    <w:multiLevelType w:val="multilevel"/>
    <w:tmpl w:val="F036D838"/>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00">
    <w:nsid w:val="76A27427"/>
    <w:multiLevelType w:val="multilevel"/>
    <w:tmpl w:val="999A41F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1">
    <w:nsid w:val="76AC6782"/>
    <w:multiLevelType w:val="multilevel"/>
    <w:tmpl w:val="43E887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2">
    <w:nsid w:val="76C53E48"/>
    <w:multiLevelType w:val="multilevel"/>
    <w:tmpl w:val="2FAE92A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3">
    <w:nsid w:val="76D33B8C"/>
    <w:multiLevelType w:val="hybridMultilevel"/>
    <w:tmpl w:val="49D02E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4">
    <w:nsid w:val="77DD3312"/>
    <w:multiLevelType w:val="multilevel"/>
    <w:tmpl w:val="E6BA031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5">
    <w:nsid w:val="78036894"/>
    <w:multiLevelType w:val="multilevel"/>
    <w:tmpl w:val="A9941B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6">
    <w:nsid w:val="78471EAC"/>
    <w:multiLevelType w:val="multilevel"/>
    <w:tmpl w:val="B47C92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7">
    <w:nsid w:val="787456D3"/>
    <w:multiLevelType w:val="multilevel"/>
    <w:tmpl w:val="460233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8">
    <w:nsid w:val="78883C65"/>
    <w:multiLevelType w:val="multilevel"/>
    <w:tmpl w:val="4C78FE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9">
    <w:nsid w:val="789700DA"/>
    <w:multiLevelType w:val="multilevel"/>
    <w:tmpl w:val="991652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0">
    <w:nsid w:val="792305A9"/>
    <w:multiLevelType w:val="multilevel"/>
    <w:tmpl w:val="9E18A7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1">
    <w:nsid w:val="79365BF8"/>
    <w:multiLevelType w:val="multilevel"/>
    <w:tmpl w:val="EFCCF3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2">
    <w:nsid w:val="793708FA"/>
    <w:multiLevelType w:val="multilevel"/>
    <w:tmpl w:val="3C981C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3">
    <w:nsid w:val="794D501E"/>
    <w:multiLevelType w:val="multilevel"/>
    <w:tmpl w:val="BF9E9B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4">
    <w:nsid w:val="79E77127"/>
    <w:multiLevelType w:val="multilevel"/>
    <w:tmpl w:val="65DAE3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5">
    <w:nsid w:val="7A4443B6"/>
    <w:multiLevelType w:val="multilevel"/>
    <w:tmpl w:val="AC28F5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6">
    <w:nsid w:val="7AA73D30"/>
    <w:multiLevelType w:val="multilevel"/>
    <w:tmpl w:val="215E95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7">
    <w:nsid w:val="7B0010AD"/>
    <w:multiLevelType w:val="multilevel"/>
    <w:tmpl w:val="501CB682"/>
    <w:lvl w:ilvl="0">
      <w:start w:val="1"/>
      <w:numFmt w:val="bullet"/>
      <w:pStyle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8">
    <w:nsid w:val="7BDB5ACA"/>
    <w:multiLevelType w:val="multilevel"/>
    <w:tmpl w:val="639E36C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19">
    <w:nsid w:val="7C7E3B92"/>
    <w:multiLevelType w:val="multilevel"/>
    <w:tmpl w:val="01EAB54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0">
    <w:nsid w:val="7C7F6CDD"/>
    <w:multiLevelType w:val="multilevel"/>
    <w:tmpl w:val="5F2A647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21">
    <w:nsid w:val="7D3D6381"/>
    <w:multiLevelType w:val="multilevel"/>
    <w:tmpl w:val="21680A1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2">
    <w:nsid w:val="7F5414AD"/>
    <w:multiLevelType w:val="hybridMultilevel"/>
    <w:tmpl w:val="4496C5C6"/>
    <w:lvl w:ilvl="0" w:tplc="8430AA3C">
      <w:numFmt w:val="bullet"/>
      <w:lvlText w:val=""/>
      <w:lvlJc w:val="left"/>
      <w:pPr>
        <w:ind w:hanging="360" w:left="720"/>
      </w:pPr>
      <w:rPr>
        <w:rFonts w:ascii="Wingdings" w:cs="Google Sans Text" w:eastAsia="Google Sans Text"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3">
    <w:nsid w:val="7FF64CDF"/>
    <w:multiLevelType w:val="multilevel"/>
    <w:tmpl w:val="9B8020A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47649596" w:numId="1">
    <w:abstractNumId w:val="131"/>
  </w:num>
  <w:num w16cid:durableId="883911778" w:numId="2">
    <w:abstractNumId w:val="95"/>
  </w:num>
  <w:num w16cid:durableId="551618336" w:numId="3">
    <w:abstractNumId w:val="84"/>
  </w:num>
  <w:num w16cid:durableId="1401296210" w:numId="4">
    <w:abstractNumId w:val="140"/>
  </w:num>
  <w:num w16cid:durableId="617958071" w:numId="5">
    <w:abstractNumId w:val="26"/>
  </w:num>
  <w:num w16cid:durableId="1880437804" w:numId="6">
    <w:abstractNumId w:val="170"/>
  </w:num>
  <w:num w16cid:durableId="361174028" w:numId="7">
    <w:abstractNumId w:val="52"/>
  </w:num>
  <w:num w16cid:durableId="1960448749" w:numId="8">
    <w:abstractNumId w:val="115"/>
  </w:num>
  <w:num w16cid:durableId="2098363378" w:numId="9">
    <w:abstractNumId w:val="42"/>
  </w:num>
  <w:num w16cid:durableId="1077435058" w:numId="10">
    <w:abstractNumId w:val="157"/>
  </w:num>
  <w:num w16cid:durableId="327710405" w:numId="11">
    <w:abstractNumId w:val="130"/>
  </w:num>
  <w:num w16cid:durableId="1449854649" w:numId="12">
    <w:abstractNumId w:val="65"/>
  </w:num>
  <w:num w16cid:durableId="167453876" w:numId="13">
    <w:abstractNumId w:val="111"/>
  </w:num>
  <w:num w16cid:durableId="188833294" w:numId="14">
    <w:abstractNumId w:val="100"/>
  </w:num>
  <w:num w16cid:durableId="872885304" w:numId="15">
    <w:abstractNumId w:val="190"/>
  </w:num>
  <w:num w16cid:durableId="229772076" w:numId="16">
    <w:abstractNumId w:val="222"/>
  </w:num>
  <w:num w16cid:durableId="6180342" w:numId="17">
    <w:abstractNumId w:val="90"/>
  </w:num>
  <w:num w16cid:durableId="2035112719" w:numId="18">
    <w:abstractNumId w:val="31"/>
  </w:num>
  <w:num w16cid:durableId="342361198" w:numId="19">
    <w:abstractNumId w:val="75"/>
  </w:num>
  <w:num w16cid:durableId="277031651" w:numId="20">
    <w:abstractNumId w:val="109"/>
  </w:num>
  <w:num w16cid:durableId="720052681" w:numId="21">
    <w:abstractNumId w:val="37"/>
  </w:num>
  <w:num w16cid:durableId="190803654" w:numId="22">
    <w:abstractNumId w:val="4"/>
  </w:num>
  <w:num w16cid:durableId="1334071851" w:numId="23">
    <w:abstractNumId w:val="9"/>
  </w:num>
  <w:num w16cid:durableId="1652640673" w:numId="24">
    <w:abstractNumId w:val="195"/>
  </w:num>
  <w:num w16cid:durableId="456874883" w:numId="25">
    <w:abstractNumId w:val="68"/>
  </w:num>
  <w:num w16cid:durableId="604506644" w:numId="26">
    <w:abstractNumId w:val="137"/>
  </w:num>
  <w:num w16cid:durableId="948010113" w:numId="27">
    <w:abstractNumId w:val="148"/>
  </w:num>
  <w:num w16cid:durableId="205262988" w:numId="28">
    <w:abstractNumId w:val="172"/>
  </w:num>
  <w:num w16cid:durableId="1969043435" w:numId="29">
    <w:abstractNumId w:val="62"/>
  </w:num>
  <w:num w16cid:durableId="631597432" w:numId="30">
    <w:abstractNumId w:val="64"/>
  </w:num>
  <w:num w16cid:durableId="1556429664" w:numId="31">
    <w:abstractNumId w:val="221"/>
  </w:num>
  <w:num w16cid:durableId="632832415" w:numId="32">
    <w:abstractNumId w:val="39"/>
  </w:num>
  <w:num w16cid:durableId="1395003120" w:numId="33">
    <w:abstractNumId w:val="76"/>
  </w:num>
  <w:num w16cid:durableId="34896189" w:numId="34">
    <w:abstractNumId w:val="85"/>
  </w:num>
  <w:num w16cid:durableId="429008878" w:numId="35">
    <w:abstractNumId w:val="61"/>
  </w:num>
  <w:num w16cid:durableId="1528762483" w:numId="36">
    <w:abstractNumId w:val="12"/>
  </w:num>
  <w:num w16cid:durableId="212086747" w:numId="37">
    <w:abstractNumId w:val="125"/>
  </w:num>
  <w:num w16cid:durableId="989136311" w:numId="38">
    <w:abstractNumId w:val="175"/>
  </w:num>
  <w:num w16cid:durableId="1379429444" w:numId="39">
    <w:abstractNumId w:val="168"/>
  </w:num>
  <w:num w16cid:durableId="570581103" w:numId="40">
    <w:abstractNumId w:val="82"/>
  </w:num>
  <w:num w16cid:durableId="890919220" w:numId="41">
    <w:abstractNumId w:val="135"/>
  </w:num>
  <w:num w16cid:durableId="48462462" w:numId="42">
    <w:abstractNumId w:val="102"/>
  </w:num>
  <w:num w16cid:durableId="1520923415" w:numId="43">
    <w:abstractNumId w:val="50"/>
  </w:num>
  <w:num w16cid:durableId="1588686787" w:numId="44">
    <w:abstractNumId w:val="211"/>
  </w:num>
  <w:num w16cid:durableId="393967326" w:numId="45">
    <w:abstractNumId w:val="15"/>
  </w:num>
  <w:num w16cid:durableId="438061699" w:numId="46">
    <w:abstractNumId w:val="185"/>
  </w:num>
  <w:num w16cid:durableId="1190754953" w:numId="47">
    <w:abstractNumId w:val="81"/>
  </w:num>
  <w:num w16cid:durableId="90248742" w:numId="48">
    <w:abstractNumId w:val="181"/>
  </w:num>
  <w:num w16cid:durableId="917178225" w:numId="49">
    <w:abstractNumId w:val="165"/>
  </w:num>
  <w:num w16cid:durableId="396244404" w:numId="50">
    <w:abstractNumId w:val="20"/>
  </w:num>
  <w:num w16cid:durableId="585001513" w:numId="51">
    <w:abstractNumId w:val="16"/>
  </w:num>
  <w:num w16cid:durableId="585965262" w:numId="52">
    <w:abstractNumId w:val="169"/>
  </w:num>
  <w:num w16cid:durableId="685837071" w:numId="53">
    <w:abstractNumId w:val="210"/>
  </w:num>
  <w:num w16cid:durableId="1576474405" w:numId="54">
    <w:abstractNumId w:val="104"/>
  </w:num>
  <w:num w16cid:durableId="633945348" w:numId="55">
    <w:abstractNumId w:val="118"/>
  </w:num>
  <w:num w16cid:durableId="294991950" w:numId="56">
    <w:abstractNumId w:val="209"/>
  </w:num>
  <w:num w16cid:durableId="61804189" w:numId="57">
    <w:abstractNumId w:val="122"/>
  </w:num>
  <w:num w16cid:durableId="1165320625" w:numId="58">
    <w:abstractNumId w:val="117"/>
  </w:num>
  <w:num w16cid:durableId="827089927" w:numId="59">
    <w:abstractNumId w:val="25"/>
  </w:num>
  <w:num w16cid:durableId="2043819265" w:numId="60">
    <w:abstractNumId w:val="94"/>
  </w:num>
  <w:num w16cid:durableId="708606461" w:numId="61">
    <w:abstractNumId w:val="63"/>
  </w:num>
  <w:num w16cid:durableId="1864438336" w:numId="62">
    <w:abstractNumId w:val="108"/>
  </w:num>
  <w:num w16cid:durableId="1345788721" w:numId="63">
    <w:abstractNumId w:val="149"/>
  </w:num>
  <w:num w16cid:durableId="960696726" w:numId="64">
    <w:abstractNumId w:val="154"/>
  </w:num>
  <w:num w16cid:durableId="1873609506" w:numId="65">
    <w:abstractNumId w:val="160"/>
  </w:num>
  <w:num w16cid:durableId="460268879" w:numId="66">
    <w:abstractNumId w:val="153"/>
  </w:num>
  <w:num w16cid:durableId="1858152858" w:numId="67">
    <w:abstractNumId w:val="171"/>
  </w:num>
  <w:num w16cid:durableId="83035268" w:numId="68">
    <w:abstractNumId w:val="59"/>
  </w:num>
  <w:num w16cid:durableId="1764715511" w:numId="69">
    <w:abstractNumId w:val="147"/>
  </w:num>
  <w:num w16cid:durableId="1237745521" w:numId="70">
    <w:abstractNumId w:val="58"/>
  </w:num>
  <w:num w16cid:durableId="669791037" w:numId="71">
    <w:abstractNumId w:val="152"/>
  </w:num>
  <w:num w16cid:durableId="2082557437" w:numId="72">
    <w:abstractNumId w:val="18"/>
  </w:num>
  <w:num w16cid:durableId="1841432104" w:numId="73">
    <w:abstractNumId w:val="53"/>
  </w:num>
  <w:num w16cid:durableId="1948850038" w:numId="74">
    <w:abstractNumId w:val="73"/>
  </w:num>
  <w:num w16cid:durableId="2109884301" w:numId="75">
    <w:abstractNumId w:val="129"/>
  </w:num>
  <w:num w16cid:durableId="1018241483" w:numId="76">
    <w:abstractNumId w:val="93"/>
  </w:num>
  <w:num w16cid:durableId="132062523" w:numId="77">
    <w:abstractNumId w:val="34"/>
  </w:num>
  <w:num w16cid:durableId="1863547834" w:numId="78">
    <w:abstractNumId w:val="41"/>
  </w:num>
  <w:num w16cid:durableId="1831361123" w:numId="79">
    <w:abstractNumId w:val="87"/>
  </w:num>
  <w:num w16cid:durableId="1726299848" w:numId="80">
    <w:abstractNumId w:val="150"/>
  </w:num>
  <w:num w16cid:durableId="1483044302" w:numId="81">
    <w:abstractNumId w:val="136"/>
  </w:num>
  <w:num w16cid:durableId="1479616947" w:numId="82">
    <w:abstractNumId w:val="40"/>
  </w:num>
  <w:num w16cid:durableId="947082019" w:numId="83">
    <w:abstractNumId w:val="98"/>
  </w:num>
  <w:num w16cid:durableId="1303778409" w:numId="84">
    <w:abstractNumId w:val="96"/>
  </w:num>
  <w:num w16cid:durableId="2100783447" w:numId="85">
    <w:abstractNumId w:val="69"/>
  </w:num>
  <w:num w16cid:durableId="70858142" w:numId="86">
    <w:abstractNumId w:val="214"/>
  </w:num>
  <w:num w16cid:durableId="859120519" w:numId="87">
    <w:abstractNumId w:val="158"/>
  </w:num>
  <w:num w16cid:durableId="1476987612" w:numId="88">
    <w:abstractNumId w:val="78"/>
  </w:num>
  <w:num w16cid:durableId="1762141280" w:numId="89">
    <w:abstractNumId w:val="141"/>
  </w:num>
  <w:num w16cid:durableId="1976909139" w:numId="90">
    <w:abstractNumId w:val="66"/>
  </w:num>
  <w:num w16cid:durableId="430398597" w:numId="91">
    <w:abstractNumId w:val="223"/>
  </w:num>
  <w:num w16cid:durableId="1173959403" w:numId="92">
    <w:abstractNumId w:val="46"/>
  </w:num>
  <w:num w16cid:durableId="434906350" w:numId="93">
    <w:abstractNumId w:val="28"/>
  </w:num>
  <w:num w16cid:durableId="662706413" w:numId="94">
    <w:abstractNumId w:val="213"/>
  </w:num>
  <w:num w16cid:durableId="1360276423" w:numId="95">
    <w:abstractNumId w:val="14"/>
  </w:num>
  <w:num w16cid:durableId="599145869" w:numId="96">
    <w:abstractNumId w:val="86"/>
  </w:num>
  <w:num w16cid:durableId="1570654677" w:numId="97">
    <w:abstractNumId w:val="119"/>
  </w:num>
  <w:num w16cid:durableId="362681795" w:numId="98">
    <w:abstractNumId w:val="91"/>
  </w:num>
  <w:num w16cid:durableId="441269114" w:numId="99">
    <w:abstractNumId w:val="3"/>
  </w:num>
  <w:num w16cid:durableId="1562204398" w:numId="100">
    <w:abstractNumId w:val="202"/>
  </w:num>
  <w:num w16cid:durableId="779378611" w:numId="101">
    <w:abstractNumId w:val="164"/>
  </w:num>
  <w:num w16cid:durableId="1784494982" w:numId="102">
    <w:abstractNumId w:val="77"/>
  </w:num>
  <w:num w16cid:durableId="1595743273" w:numId="103">
    <w:abstractNumId w:val="124"/>
  </w:num>
  <w:num w16cid:durableId="273904660" w:numId="104">
    <w:abstractNumId w:val="54"/>
  </w:num>
  <w:num w16cid:durableId="1976182414" w:numId="105">
    <w:abstractNumId w:val="204"/>
  </w:num>
  <w:num w16cid:durableId="1446851035" w:numId="106">
    <w:abstractNumId w:val="216"/>
  </w:num>
  <w:num w16cid:durableId="872379869" w:numId="107">
    <w:abstractNumId w:val="191"/>
  </w:num>
  <w:num w16cid:durableId="1020009137" w:numId="108">
    <w:abstractNumId w:val="178"/>
  </w:num>
  <w:num w16cid:durableId="1810896960" w:numId="109">
    <w:abstractNumId w:val="27"/>
  </w:num>
  <w:num w16cid:durableId="248320358" w:numId="110">
    <w:abstractNumId w:val="207"/>
  </w:num>
  <w:num w16cid:durableId="1000347546" w:numId="111">
    <w:abstractNumId w:val="92"/>
  </w:num>
  <w:num w16cid:durableId="1907837805" w:numId="112">
    <w:abstractNumId w:val="60"/>
  </w:num>
  <w:num w16cid:durableId="1805923039" w:numId="113">
    <w:abstractNumId w:val="205"/>
  </w:num>
  <w:num w16cid:durableId="1767336736" w:numId="114">
    <w:abstractNumId w:val="193"/>
  </w:num>
  <w:num w16cid:durableId="2134669207" w:numId="115">
    <w:abstractNumId w:val="17"/>
  </w:num>
  <w:num w16cid:durableId="727189156" w:numId="116">
    <w:abstractNumId w:val="67"/>
  </w:num>
  <w:num w16cid:durableId="233322434" w:numId="117">
    <w:abstractNumId w:val="5"/>
  </w:num>
  <w:num w16cid:durableId="2063097559" w:numId="118">
    <w:abstractNumId w:val="103"/>
  </w:num>
  <w:num w16cid:durableId="1742799338" w:numId="119">
    <w:abstractNumId w:val="88"/>
  </w:num>
  <w:num w16cid:durableId="1761415645" w:numId="120">
    <w:abstractNumId w:val="151"/>
  </w:num>
  <w:num w16cid:durableId="1687439585" w:numId="121">
    <w:abstractNumId w:val="133"/>
  </w:num>
  <w:num w16cid:durableId="431704298" w:numId="122">
    <w:abstractNumId w:val="44"/>
  </w:num>
  <w:num w16cid:durableId="255482916" w:numId="123">
    <w:abstractNumId w:val="208"/>
  </w:num>
  <w:num w16cid:durableId="1178806444" w:numId="124">
    <w:abstractNumId w:val="33"/>
  </w:num>
  <w:num w16cid:durableId="1847548474" w:numId="125">
    <w:abstractNumId w:val="184"/>
  </w:num>
  <w:num w16cid:durableId="350498717" w:numId="126">
    <w:abstractNumId w:val="55"/>
  </w:num>
  <w:num w16cid:durableId="2145155337" w:numId="127">
    <w:abstractNumId w:val="145"/>
  </w:num>
  <w:num w16cid:durableId="614404026" w:numId="128">
    <w:abstractNumId w:val="30"/>
  </w:num>
  <w:num w16cid:durableId="1205170905" w:numId="129">
    <w:abstractNumId w:val="182"/>
  </w:num>
  <w:num w16cid:durableId="1741444944" w:numId="130">
    <w:abstractNumId w:val="197"/>
  </w:num>
  <w:num w16cid:durableId="122040359" w:numId="131">
    <w:abstractNumId w:val="83"/>
  </w:num>
  <w:num w16cid:durableId="304970797" w:numId="132">
    <w:abstractNumId w:val="35"/>
  </w:num>
  <w:num w16cid:durableId="1755128469" w:numId="133">
    <w:abstractNumId w:val="74"/>
  </w:num>
  <w:num w16cid:durableId="542442443" w:numId="134">
    <w:abstractNumId w:val="167"/>
  </w:num>
  <w:num w16cid:durableId="78409045" w:numId="135">
    <w:abstractNumId w:val="194"/>
  </w:num>
  <w:num w16cid:durableId="383720759" w:numId="136">
    <w:abstractNumId w:val="127"/>
  </w:num>
  <w:num w16cid:durableId="451485696" w:numId="137">
    <w:abstractNumId w:val="10"/>
  </w:num>
  <w:num w16cid:durableId="1803688526" w:numId="138">
    <w:abstractNumId w:val="217"/>
  </w:num>
  <w:num w16cid:durableId="1014577321" w:numId="139">
    <w:abstractNumId w:val="180"/>
  </w:num>
  <w:num w16cid:durableId="387850445" w:numId="140">
    <w:abstractNumId w:val="212"/>
  </w:num>
  <w:num w16cid:durableId="743575082" w:numId="141">
    <w:abstractNumId w:val="43"/>
  </w:num>
  <w:num w16cid:durableId="2039888707" w:numId="142">
    <w:abstractNumId w:val="45"/>
  </w:num>
  <w:num w16cid:durableId="223638892" w:numId="143">
    <w:abstractNumId w:val="22"/>
  </w:num>
  <w:num w16cid:durableId="1260404991" w:numId="144">
    <w:abstractNumId w:val="155"/>
  </w:num>
  <w:num w16cid:durableId="1420831479" w:numId="145">
    <w:abstractNumId w:val="138"/>
  </w:num>
  <w:num w16cid:durableId="604266570" w:numId="146">
    <w:abstractNumId w:val="183"/>
  </w:num>
  <w:num w16cid:durableId="939728177" w:numId="147">
    <w:abstractNumId w:val="220"/>
  </w:num>
  <w:num w16cid:durableId="1851791108" w:numId="148">
    <w:abstractNumId w:val="106"/>
  </w:num>
  <w:num w16cid:durableId="1802646557" w:numId="149">
    <w:abstractNumId w:val="110"/>
  </w:num>
  <w:num w16cid:durableId="61224333" w:numId="150">
    <w:abstractNumId w:val="173"/>
  </w:num>
  <w:num w16cid:durableId="561259417" w:numId="151">
    <w:abstractNumId w:val="199"/>
  </w:num>
  <w:num w16cid:durableId="1758401630" w:numId="152">
    <w:abstractNumId w:val="79"/>
  </w:num>
  <w:num w16cid:durableId="908156862" w:numId="153">
    <w:abstractNumId w:val="166"/>
  </w:num>
  <w:num w16cid:durableId="1323583325" w:numId="154">
    <w:abstractNumId w:val="7"/>
  </w:num>
  <w:num w16cid:durableId="561017569" w:numId="155">
    <w:abstractNumId w:val="128"/>
  </w:num>
  <w:num w16cid:durableId="306250680" w:numId="156">
    <w:abstractNumId w:val="113"/>
  </w:num>
  <w:num w16cid:durableId="142476682" w:numId="157">
    <w:abstractNumId w:val="49"/>
  </w:num>
  <w:num w16cid:durableId="2130510687" w:numId="158">
    <w:abstractNumId w:val="146"/>
  </w:num>
  <w:num w16cid:durableId="1998610819" w:numId="159">
    <w:abstractNumId w:val="189"/>
  </w:num>
  <w:num w16cid:durableId="1897083838" w:numId="160">
    <w:abstractNumId w:val="123"/>
  </w:num>
  <w:num w16cid:durableId="2110814498" w:numId="161">
    <w:abstractNumId w:val="72"/>
  </w:num>
  <w:num w16cid:durableId="306516272" w:numId="162">
    <w:abstractNumId w:val="51"/>
  </w:num>
  <w:num w16cid:durableId="272129454" w:numId="163">
    <w:abstractNumId w:val="188"/>
  </w:num>
  <w:num w16cid:durableId="1988165822" w:numId="164">
    <w:abstractNumId w:val="196"/>
  </w:num>
  <w:num w16cid:durableId="2118671223" w:numId="165">
    <w:abstractNumId w:val="116"/>
  </w:num>
  <w:num w16cid:durableId="1229733423" w:numId="166">
    <w:abstractNumId w:val="80"/>
  </w:num>
  <w:num w16cid:durableId="1898123009" w:numId="167">
    <w:abstractNumId w:val="29"/>
  </w:num>
  <w:num w16cid:durableId="621108653" w:numId="168">
    <w:abstractNumId w:val="218"/>
  </w:num>
  <w:num w16cid:durableId="1759712268" w:numId="169">
    <w:abstractNumId w:val="174"/>
  </w:num>
  <w:num w16cid:durableId="381559796" w:numId="170">
    <w:abstractNumId w:val="97"/>
  </w:num>
  <w:num w16cid:durableId="839583911" w:numId="171">
    <w:abstractNumId w:val="24"/>
  </w:num>
  <w:num w16cid:durableId="638343574" w:numId="172">
    <w:abstractNumId w:val="177"/>
  </w:num>
  <w:num w16cid:durableId="1498114944" w:numId="173">
    <w:abstractNumId w:val="121"/>
  </w:num>
  <w:num w16cid:durableId="282221" w:numId="174">
    <w:abstractNumId w:val="1"/>
  </w:num>
  <w:num w16cid:durableId="795022705" w:numId="175">
    <w:abstractNumId w:val="134"/>
  </w:num>
  <w:num w16cid:durableId="1793330212" w:numId="176">
    <w:abstractNumId w:val="219"/>
  </w:num>
  <w:num w16cid:durableId="1938518194" w:numId="177">
    <w:abstractNumId w:val="176"/>
  </w:num>
  <w:num w16cid:durableId="14890569" w:numId="178">
    <w:abstractNumId w:val="159"/>
  </w:num>
  <w:num w16cid:durableId="591351588" w:numId="179">
    <w:abstractNumId w:val="70"/>
  </w:num>
  <w:num w16cid:durableId="1617181281" w:numId="180">
    <w:abstractNumId w:val="23"/>
  </w:num>
  <w:num w16cid:durableId="614016924" w:numId="181">
    <w:abstractNumId w:val="161"/>
  </w:num>
  <w:num w16cid:durableId="1333292323" w:numId="182">
    <w:abstractNumId w:val="142"/>
  </w:num>
  <w:num w16cid:durableId="615454769" w:numId="183">
    <w:abstractNumId w:val="57"/>
  </w:num>
  <w:num w16cid:durableId="748966063" w:numId="184">
    <w:abstractNumId w:val="105"/>
  </w:num>
  <w:num w16cid:durableId="356273885" w:numId="185">
    <w:abstractNumId w:val="11"/>
  </w:num>
  <w:num w16cid:durableId="1852723124" w:numId="186">
    <w:abstractNumId w:val="163"/>
  </w:num>
  <w:num w16cid:durableId="18120394" w:numId="187">
    <w:abstractNumId w:val="206"/>
  </w:num>
  <w:num w16cid:durableId="230623623" w:numId="188">
    <w:abstractNumId w:val="186"/>
  </w:num>
  <w:num w16cid:durableId="6950476" w:numId="189">
    <w:abstractNumId w:val="47"/>
  </w:num>
  <w:num w16cid:durableId="1227447919" w:numId="190">
    <w:abstractNumId w:val="71"/>
  </w:num>
  <w:num w16cid:durableId="983000034" w:numId="191">
    <w:abstractNumId w:val="0"/>
  </w:num>
  <w:num w16cid:durableId="1565948638" w:numId="192">
    <w:abstractNumId w:val="126"/>
  </w:num>
  <w:num w16cid:durableId="1156800600" w:numId="193">
    <w:abstractNumId w:val="179"/>
  </w:num>
  <w:num w16cid:durableId="1646157175" w:numId="194">
    <w:abstractNumId w:val="187"/>
  </w:num>
  <w:num w16cid:durableId="81727290" w:numId="195">
    <w:abstractNumId w:val="89"/>
  </w:num>
  <w:num w16cid:durableId="187062853" w:numId="196">
    <w:abstractNumId w:val="120"/>
  </w:num>
  <w:num w16cid:durableId="1971010502" w:numId="197">
    <w:abstractNumId w:val="192"/>
  </w:num>
  <w:num w16cid:durableId="910696221" w:numId="198">
    <w:abstractNumId w:val="132"/>
  </w:num>
  <w:num w16cid:durableId="120730720" w:numId="199">
    <w:abstractNumId w:val="144"/>
  </w:num>
  <w:num w16cid:durableId="1640064950" w:numId="200">
    <w:abstractNumId w:val="99"/>
  </w:num>
  <w:num w16cid:durableId="2025741294" w:numId="201">
    <w:abstractNumId w:val="13"/>
  </w:num>
  <w:num w16cid:durableId="1349016807" w:numId="202">
    <w:abstractNumId w:val="201"/>
  </w:num>
  <w:num w16cid:durableId="84571000" w:numId="203">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08639595" w:numId="204">
    <w:abstractNumId w:val="215"/>
  </w:num>
  <w:num w16cid:durableId="1107703135" w:numId="205">
    <w:abstractNumId w:val="6"/>
  </w:num>
  <w:num w16cid:durableId="618339373" w:numId="206">
    <w:abstractNumId w:val="198"/>
  </w:num>
  <w:num w16cid:durableId="1250888040" w:numId="207">
    <w:abstractNumId w:val="32"/>
  </w:num>
  <w:num w16cid:durableId="1838761143" w:numId="208">
    <w:abstractNumId w:val="38"/>
  </w:num>
  <w:num w16cid:durableId="1559432910" w:numId="209">
    <w:abstractNumId w:val="114"/>
  </w:num>
  <w:num w16cid:durableId="486094217" w:numId="210">
    <w:abstractNumId w:val="156"/>
  </w:num>
  <w:num w16cid:durableId="1979797098" w:numId="211">
    <w:abstractNumId w:val="56"/>
  </w:num>
  <w:num w16cid:durableId="1629314137" w:numId="212">
    <w:abstractNumId w:val="21"/>
  </w:num>
  <w:num w16cid:durableId="1419329223" w:numId="213">
    <w:abstractNumId w:val="112"/>
  </w:num>
  <w:num w16cid:durableId="1961256641" w:numId="214">
    <w:abstractNumId w:val="200"/>
  </w:num>
  <w:num w16cid:durableId="927808271" w:numId="215">
    <w:abstractNumId w:val="101"/>
  </w:num>
  <w:num w16cid:durableId="1905752237" w:numId="216">
    <w:abstractNumId w:val="139"/>
  </w:num>
  <w:num w16cid:durableId="1445735079" w:numId="217">
    <w:abstractNumId w:val="8"/>
  </w:num>
  <w:num w16cid:durableId="1090738500" w:numId="218">
    <w:abstractNumId w:val="143"/>
  </w:num>
  <w:num w16cid:durableId="1248925017" w:numId="219">
    <w:abstractNumId w:val="36"/>
  </w:num>
  <w:num w16cid:durableId="364722671" w:numId="220">
    <w:abstractNumId w:val="48"/>
  </w:num>
  <w:num w16cid:durableId="985012261" w:numId="221">
    <w:abstractNumId w:val="19"/>
  </w:num>
  <w:num w16cid:durableId="1527255727" w:numId="222">
    <w:abstractNumId w:val="203"/>
  </w:num>
  <w:num w16cid:durableId="1874999020" w:numId="223">
    <w:abstractNumId w:val="107"/>
  </w:num>
  <w:num w16cid:durableId="2130203210" w:numId="224">
    <w:abstractNumId w:val="162"/>
  </w:num>
  <w:num w16cid:durableId="1772044163" w:numId="225">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mirrorMargins/>
  <w:proofState w:grammar="clean" w:spelling="clean"/>
  <w:stylePaneFormatFilter w:val="0004"/>
  <w:doNotTrackMoves/>
  <w:defaultTabStop w:val="144"/>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8C"/>
    <w:rsid w:val="00001B1D"/>
    <w:rsid w:val="000021EE"/>
    <w:rsid w:val="00004067"/>
    <w:rsid w:val="000052B9"/>
    <w:rsid w:val="00007FA9"/>
    <w:rsid w:val="0001198C"/>
    <w:rsid w:val="0001465A"/>
    <w:rsid w:val="000212D5"/>
    <w:rsid w:val="000215ED"/>
    <w:rsid w:val="00030F16"/>
    <w:rsid w:val="00033DE0"/>
    <w:rsid w:val="00053849"/>
    <w:rsid w:val="00065D22"/>
    <w:rsid w:val="00076E0C"/>
    <w:rsid w:val="00082FBF"/>
    <w:rsid w:val="000912FD"/>
    <w:rsid w:val="00092F40"/>
    <w:rsid w:val="00092F87"/>
    <w:rsid w:val="0009483E"/>
    <w:rsid w:val="000973C7"/>
    <w:rsid w:val="000A0529"/>
    <w:rsid w:val="000A0B09"/>
    <w:rsid w:val="000A2620"/>
    <w:rsid w:val="000A4A31"/>
    <w:rsid w:val="000B12BA"/>
    <w:rsid w:val="000B371A"/>
    <w:rsid w:val="000B7E3D"/>
    <w:rsid w:val="000C0259"/>
    <w:rsid w:val="000C23FA"/>
    <w:rsid w:val="000D2240"/>
    <w:rsid w:val="000D3FEA"/>
    <w:rsid w:val="000D66A6"/>
    <w:rsid w:val="000D7518"/>
    <w:rsid w:val="000E0847"/>
    <w:rsid w:val="000F1007"/>
    <w:rsid w:val="000F1B35"/>
    <w:rsid w:val="000F2818"/>
    <w:rsid w:val="000F2A10"/>
    <w:rsid w:val="0010138F"/>
    <w:rsid w:val="00102E3D"/>
    <w:rsid w:val="00103F80"/>
    <w:rsid w:val="00111D6A"/>
    <w:rsid w:val="00113419"/>
    <w:rsid w:val="0011357E"/>
    <w:rsid w:val="001150CD"/>
    <w:rsid w:val="001213E1"/>
    <w:rsid w:val="00131CB6"/>
    <w:rsid w:val="00132374"/>
    <w:rsid w:val="001332E7"/>
    <w:rsid w:val="0013386A"/>
    <w:rsid w:val="00134E13"/>
    <w:rsid w:val="00137AF7"/>
    <w:rsid w:val="00145882"/>
    <w:rsid w:val="0014679F"/>
    <w:rsid w:val="0015300C"/>
    <w:rsid w:val="001531AA"/>
    <w:rsid w:val="0015438D"/>
    <w:rsid w:val="001543C4"/>
    <w:rsid w:val="0015752D"/>
    <w:rsid w:val="001608A5"/>
    <w:rsid w:val="00161714"/>
    <w:rsid w:val="00166494"/>
    <w:rsid w:val="00167579"/>
    <w:rsid w:val="00170C4F"/>
    <w:rsid w:val="00171576"/>
    <w:rsid w:val="00171B7D"/>
    <w:rsid w:val="0017383E"/>
    <w:rsid w:val="001754E8"/>
    <w:rsid w:val="00176926"/>
    <w:rsid w:val="00176DF0"/>
    <w:rsid w:val="001824AE"/>
    <w:rsid w:val="00191A5F"/>
    <w:rsid w:val="00194088"/>
    <w:rsid w:val="001A1398"/>
    <w:rsid w:val="001A534B"/>
    <w:rsid w:val="001A5E66"/>
    <w:rsid w:val="001B7180"/>
    <w:rsid w:val="001D0AA4"/>
    <w:rsid w:val="001D0EEC"/>
    <w:rsid w:val="001D36B1"/>
    <w:rsid w:val="001E02AA"/>
    <w:rsid w:val="001E1F6A"/>
    <w:rsid w:val="001E2EDE"/>
    <w:rsid w:val="001E3625"/>
    <w:rsid w:val="001E3F0C"/>
    <w:rsid w:val="001E6609"/>
    <w:rsid w:val="001F4B94"/>
    <w:rsid w:val="001F66EA"/>
    <w:rsid w:val="001F670F"/>
    <w:rsid w:val="001F6CE7"/>
    <w:rsid w:val="00203F14"/>
    <w:rsid w:val="00205029"/>
    <w:rsid w:val="002060DC"/>
    <w:rsid w:val="00210B07"/>
    <w:rsid w:val="00211960"/>
    <w:rsid w:val="0021311E"/>
    <w:rsid w:val="00223BDF"/>
    <w:rsid w:val="00234593"/>
    <w:rsid w:val="0023729E"/>
    <w:rsid w:val="002376A6"/>
    <w:rsid w:val="00242222"/>
    <w:rsid w:val="0024775D"/>
    <w:rsid w:val="00247F53"/>
    <w:rsid w:val="00250ACE"/>
    <w:rsid w:val="00251866"/>
    <w:rsid w:val="00253A56"/>
    <w:rsid w:val="002628F9"/>
    <w:rsid w:val="0026392E"/>
    <w:rsid w:val="00263C85"/>
    <w:rsid w:val="00264489"/>
    <w:rsid w:val="00272C8F"/>
    <w:rsid w:val="00275470"/>
    <w:rsid w:val="00277660"/>
    <w:rsid w:val="002813A5"/>
    <w:rsid w:val="00281C36"/>
    <w:rsid w:val="002821BF"/>
    <w:rsid w:val="00295389"/>
    <w:rsid w:val="002A1D27"/>
    <w:rsid w:val="002A3BC0"/>
    <w:rsid w:val="002B440F"/>
    <w:rsid w:val="002B5C04"/>
    <w:rsid w:val="002C0928"/>
    <w:rsid w:val="002C1740"/>
    <w:rsid w:val="002C52DC"/>
    <w:rsid w:val="002D0CAB"/>
    <w:rsid w:val="002D4EE7"/>
    <w:rsid w:val="002E4DEB"/>
    <w:rsid w:val="002E4EC3"/>
    <w:rsid w:val="002E534B"/>
    <w:rsid w:val="002F1917"/>
    <w:rsid w:val="002F2E4B"/>
    <w:rsid w:val="003039AA"/>
    <w:rsid w:val="00307B4A"/>
    <w:rsid w:val="0031289F"/>
    <w:rsid w:val="00316089"/>
    <w:rsid w:val="00316312"/>
    <w:rsid w:val="00327077"/>
    <w:rsid w:val="003303B6"/>
    <w:rsid w:val="00333A84"/>
    <w:rsid w:val="003458FC"/>
    <w:rsid w:val="00346CBB"/>
    <w:rsid w:val="00353B72"/>
    <w:rsid w:val="00363074"/>
    <w:rsid w:val="00375C8F"/>
    <w:rsid w:val="00386A69"/>
    <w:rsid w:val="003928AC"/>
    <w:rsid w:val="00396304"/>
    <w:rsid w:val="0039767C"/>
    <w:rsid w:val="00397999"/>
    <w:rsid w:val="003A5262"/>
    <w:rsid w:val="003A7428"/>
    <w:rsid w:val="003B67E5"/>
    <w:rsid w:val="003C5E7B"/>
    <w:rsid w:val="003C7D66"/>
    <w:rsid w:val="003D0511"/>
    <w:rsid w:val="003D760E"/>
    <w:rsid w:val="003D78C0"/>
    <w:rsid w:val="003D7C5E"/>
    <w:rsid w:val="003D7EED"/>
    <w:rsid w:val="003E6F2B"/>
    <w:rsid w:val="003E7EEA"/>
    <w:rsid w:val="003F7CCC"/>
    <w:rsid w:val="00400782"/>
    <w:rsid w:val="004027A7"/>
    <w:rsid w:val="00403842"/>
    <w:rsid w:val="004156C3"/>
    <w:rsid w:val="004170A0"/>
    <w:rsid w:val="0042021F"/>
    <w:rsid w:val="004216DF"/>
    <w:rsid w:val="0042304F"/>
    <w:rsid w:val="004313EF"/>
    <w:rsid w:val="00433646"/>
    <w:rsid w:val="00437B7C"/>
    <w:rsid w:val="004451F4"/>
    <w:rsid w:val="00451333"/>
    <w:rsid w:val="004557BD"/>
    <w:rsid w:val="00455D06"/>
    <w:rsid w:val="004565AC"/>
    <w:rsid w:val="00456CD0"/>
    <w:rsid w:val="004602CE"/>
    <w:rsid w:val="00461D10"/>
    <w:rsid w:val="00472B86"/>
    <w:rsid w:val="00475AA9"/>
    <w:rsid w:val="00477D72"/>
    <w:rsid w:val="00490F08"/>
    <w:rsid w:val="004932D5"/>
    <w:rsid w:val="00496B4C"/>
    <w:rsid w:val="004A4280"/>
    <w:rsid w:val="004A44D2"/>
    <w:rsid w:val="004B37AF"/>
    <w:rsid w:val="004C5F88"/>
    <w:rsid w:val="004D2F24"/>
    <w:rsid w:val="004D4173"/>
    <w:rsid w:val="004D523A"/>
    <w:rsid w:val="004E196B"/>
    <w:rsid w:val="004E2BEC"/>
    <w:rsid w:val="004E44E5"/>
    <w:rsid w:val="004E5D09"/>
    <w:rsid w:val="004F0EB3"/>
    <w:rsid w:val="004F6890"/>
    <w:rsid w:val="004F731D"/>
    <w:rsid w:val="004F736E"/>
    <w:rsid w:val="00500618"/>
    <w:rsid w:val="005010DC"/>
    <w:rsid w:val="00501358"/>
    <w:rsid w:val="00506317"/>
    <w:rsid w:val="00507B68"/>
    <w:rsid w:val="00513013"/>
    <w:rsid w:val="005242AB"/>
    <w:rsid w:val="00526A06"/>
    <w:rsid w:val="00536AB8"/>
    <w:rsid w:val="00541235"/>
    <w:rsid w:val="00543325"/>
    <w:rsid w:val="0055176B"/>
    <w:rsid w:val="0055330D"/>
    <w:rsid w:val="005606F8"/>
    <w:rsid w:val="00562D5D"/>
    <w:rsid w:val="00570D04"/>
    <w:rsid w:val="005714FD"/>
    <w:rsid w:val="0058414B"/>
    <w:rsid w:val="00585084"/>
    <w:rsid w:val="005950DE"/>
    <w:rsid w:val="005A2894"/>
    <w:rsid w:val="005A349B"/>
    <w:rsid w:val="005B5661"/>
    <w:rsid w:val="005C2C83"/>
    <w:rsid w:val="005C2E96"/>
    <w:rsid w:val="005D3557"/>
    <w:rsid w:val="005D668C"/>
    <w:rsid w:val="005E0E83"/>
    <w:rsid w:val="005E47BC"/>
    <w:rsid w:val="005E4CAC"/>
    <w:rsid w:val="005E5A24"/>
    <w:rsid w:val="005E609F"/>
    <w:rsid w:val="005F4668"/>
    <w:rsid w:val="00612B80"/>
    <w:rsid w:val="0062015B"/>
    <w:rsid w:val="00620392"/>
    <w:rsid w:val="0062283C"/>
    <w:rsid w:val="00626883"/>
    <w:rsid w:val="00647431"/>
    <w:rsid w:val="00650BB9"/>
    <w:rsid w:val="006631A0"/>
    <w:rsid w:val="00664AFC"/>
    <w:rsid w:val="00665AD4"/>
    <w:rsid w:val="006710E8"/>
    <w:rsid w:val="0067652B"/>
    <w:rsid w:val="00687D35"/>
    <w:rsid w:val="00695936"/>
    <w:rsid w:val="006962AC"/>
    <w:rsid w:val="006A1171"/>
    <w:rsid w:val="006A62CE"/>
    <w:rsid w:val="006B0E64"/>
    <w:rsid w:val="006B164B"/>
    <w:rsid w:val="006B288D"/>
    <w:rsid w:val="006B367A"/>
    <w:rsid w:val="006B5521"/>
    <w:rsid w:val="006B7C32"/>
    <w:rsid w:val="006B7E31"/>
    <w:rsid w:val="006C1C84"/>
    <w:rsid w:val="006D373D"/>
    <w:rsid w:val="006E0242"/>
    <w:rsid w:val="006E307C"/>
    <w:rsid w:val="006E5088"/>
    <w:rsid w:val="006E6B6F"/>
    <w:rsid w:val="006F0003"/>
    <w:rsid w:val="0070175D"/>
    <w:rsid w:val="00710ABA"/>
    <w:rsid w:val="00711532"/>
    <w:rsid w:val="00712C3C"/>
    <w:rsid w:val="00727791"/>
    <w:rsid w:val="00740207"/>
    <w:rsid w:val="007431BA"/>
    <w:rsid w:val="0074371B"/>
    <w:rsid w:val="00744A79"/>
    <w:rsid w:val="00750CD4"/>
    <w:rsid w:val="00750F10"/>
    <w:rsid w:val="007523B4"/>
    <w:rsid w:val="00755BDD"/>
    <w:rsid w:val="00757D3D"/>
    <w:rsid w:val="00761E5B"/>
    <w:rsid w:val="0076240E"/>
    <w:rsid w:val="00762CE3"/>
    <w:rsid w:val="007654EC"/>
    <w:rsid w:val="00765664"/>
    <w:rsid w:val="00771A90"/>
    <w:rsid w:val="00776BCA"/>
    <w:rsid w:val="00785923"/>
    <w:rsid w:val="00786E79"/>
    <w:rsid w:val="007940FB"/>
    <w:rsid w:val="0079540E"/>
    <w:rsid w:val="007A2B64"/>
    <w:rsid w:val="007A2FDA"/>
    <w:rsid w:val="007B3C3B"/>
    <w:rsid w:val="007B635F"/>
    <w:rsid w:val="007B6462"/>
    <w:rsid w:val="007B72C2"/>
    <w:rsid w:val="007C1DFC"/>
    <w:rsid w:val="007D1943"/>
    <w:rsid w:val="007D6B6E"/>
    <w:rsid w:val="007E25D1"/>
    <w:rsid w:val="007F33CD"/>
    <w:rsid w:val="007F3F64"/>
    <w:rsid w:val="008041A4"/>
    <w:rsid w:val="00811468"/>
    <w:rsid w:val="00815A7D"/>
    <w:rsid w:val="00821693"/>
    <w:rsid w:val="00824BA6"/>
    <w:rsid w:val="008313DC"/>
    <w:rsid w:val="00835991"/>
    <w:rsid w:val="00835B02"/>
    <w:rsid w:val="00846B2A"/>
    <w:rsid w:val="0084720C"/>
    <w:rsid w:val="008528F0"/>
    <w:rsid w:val="00856558"/>
    <w:rsid w:val="008620E7"/>
    <w:rsid w:val="0087079C"/>
    <w:rsid w:val="00870D72"/>
    <w:rsid w:val="0087364B"/>
    <w:rsid w:val="00883A56"/>
    <w:rsid w:val="0088536D"/>
    <w:rsid w:val="00891D48"/>
    <w:rsid w:val="00892184"/>
    <w:rsid w:val="00895CAF"/>
    <w:rsid w:val="008B5118"/>
    <w:rsid w:val="008F0F34"/>
    <w:rsid w:val="008F1BBE"/>
    <w:rsid w:val="008F215F"/>
    <w:rsid w:val="008F6AB0"/>
    <w:rsid w:val="00903357"/>
    <w:rsid w:val="00904C85"/>
    <w:rsid w:val="00910050"/>
    <w:rsid w:val="00912F9A"/>
    <w:rsid w:val="009203DE"/>
    <w:rsid w:val="00921D51"/>
    <w:rsid w:val="00923988"/>
    <w:rsid w:val="00933560"/>
    <w:rsid w:val="00935805"/>
    <w:rsid w:val="009473EA"/>
    <w:rsid w:val="0095079F"/>
    <w:rsid w:val="00950ACF"/>
    <w:rsid w:val="00950E2D"/>
    <w:rsid w:val="00952E5D"/>
    <w:rsid w:val="00954335"/>
    <w:rsid w:val="00961293"/>
    <w:rsid w:val="00964BCA"/>
    <w:rsid w:val="009677B4"/>
    <w:rsid w:val="00973737"/>
    <w:rsid w:val="009740BC"/>
    <w:rsid w:val="00977161"/>
    <w:rsid w:val="0097773E"/>
    <w:rsid w:val="00977C40"/>
    <w:rsid w:val="00985525"/>
    <w:rsid w:val="00985C66"/>
    <w:rsid w:val="00990052"/>
    <w:rsid w:val="009911E1"/>
    <w:rsid w:val="00994784"/>
    <w:rsid w:val="00994F08"/>
    <w:rsid w:val="009B18B8"/>
    <w:rsid w:val="009B2652"/>
    <w:rsid w:val="009B4010"/>
    <w:rsid w:val="009B6621"/>
    <w:rsid w:val="009B7C87"/>
    <w:rsid w:val="009C5DE8"/>
    <w:rsid w:val="009E470B"/>
    <w:rsid w:val="009E71B5"/>
    <w:rsid w:val="009F0505"/>
    <w:rsid w:val="009F4D16"/>
    <w:rsid w:val="009F5A19"/>
    <w:rsid w:val="009F6D76"/>
    <w:rsid w:val="00A008F1"/>
    <w:rsid w:val="00A02526"/>
    <w:rsid w:val="00A025A5"/>
    <w:rsid w:val="00A07797"/>
    <w:rsid w:val="00A1580E"/>
    <w:rsid w:val="00A16EEE"/>
    <w:rsid w:val="00A17990"/>
    <w:rsid w:val="00A21E46"/>
    <w:rsid w:val="00A26A6E"/>
    <w:rsid w:val="00A30387"/>
    <w:rsid w:val="00A441B3"/>
    <w:rsid w:val="00A47D9D"/>
    <w:rsid w:val="00A509CB"/>
    <w:rsid w:val="00A50B79"/>
    <w:rsid w:val="00A53FFA"/>
    <w:rsid w:val="00A55A89"/>
    <w:rsid w:val="00A624ED"/>
    <w:rsid w:val="00A64643"/>
    <w:rsid w:val="00A74C5B"/>
    <w:rsid w:val="00A816C0"/>
    <w:rsid w:val="00A832CE"/>
    <w:rsid w:val="00A8391D"/>
    <w:rsid w:val="00A9486E"/>
    <w:rsid w:val="00A9695E"/>
    <w:rsid w:val="00AA5F5F"/>
    <w:rsid w:val="00AB3340"/>
    <w:rsid w:val="00AB44AD"/>
    <w:rsid w:val="00AB4977"/>
    <w:rsid w:val="00AB6E7B"/>
    <w:rsid w:val="00AC1370"/>
    <w:rsid w:val="00AC4564"/>
    <w:rsid w:val="00AC66B7"/>
    <w:rsid w:val="00AC73F8"/>
    <w:rsid w:val="00AD0C8B"/>
    <w:rsid w:val="00AD7824"/>
    <w:rsid w:val="00AE1D11"/>
    <w:rsid w:val="00AE4415"/>
    <w:rsid w:val="00AE5395"/>
    <w:rsid w:val="00AF5BE5"/>
    <w:rsid w:val="00AF7650"/>
    <w:rsid w:val="00B0044A"/>
    <w:rsid w:val="00B12B1E"/>
    <w:rsid w:val="00B13DF3"/>
    <w:rsid w:val="00B21985"/>
    <w:rsid w:val="00B27A54"/>
    <w:rsid w:val="00B36100"/>
    <w:rsid w:val="00B41754"/>
    <w:rsid w:val="00B4180F"/>
    <w:rsid w:val="00B41FAD"/>
    <w:rsid w:val="00B4356E"/>
    <w:rsid w:val="00B4433A"/>
    <w:rsid w:val="00B513D4"/>
    <w:rsid w:val="00B60307"/>
    <w:rsid w:val="00B65A0C"/>
    <w:rsid w:val="00B83F29"/>
    <w:rsid w:val="00B930A1"/>
    <w:rsid w:val="00B93909"/>
    <w:rsid w:val="00B94934"/>
    <w:rsid w:val="00B96C6D"/>
    <w:rsid w:val="00B976E1"/>
    <w:rsid w:val="00BA2D62"/>
    <w:rsid w:val="00BA2E41"/>
    <w:rsid w:val="00BA5999"/>
    <w:rsid w:val="00BA6749"/>
    <w:rsid w:val="00BB1832"/>
    <w:rsid w:val="00BB70DB"/>
    <w:rsid w:val="00BC2ABB"/>
    <w:rsid w:val="00BC3883"/>
    <w:rsid w:val="00BC75E9"/>
    <w:rsid w:val="00BD1A29"/>
    <w:rsid w:val="00BD4B61"/>
    <w:rsid w:val="00BD7789"/>
    <w:rsid w:val="00BE07EC"/>
    <w:rsid w:val="00BE0E1E"/>
    <w:rsid w:val="00BE275F"/>
    <w:rsid w:val="00BE3F73"/>
    <w:rsid w:val="00BE4936"/>
    <w:rsid w:val="00BE706A"/>
    <w:rsid w:val="00BF042F"/>
    <w:rsid w:val="00BF117F"/>
    <w:rsid w:val="00BF1E8A"/>
    <w:rsid w:val="00BF71AE"/>
    <w:rsid w:val="00BF7295"/>
    <w:rsid w:val="00C001FF"/>
    <w:rsid w:val="00C0204D"/>
    <w:rsid w:val="00C0214E"/>
    <w:rsid w:val="00C02B5B"/>
    <w:rsid w:val="00C076E4"/>
    <w:rsid w:val="00C131E2"/>
    <w:rsid w:val="00C17A6D"/>
    <w:rsid w:val="00C20DF4"/>
    <w:rsid w:val="00C40CE5"/>
    <w:rsid w:val="00C45D50"/>
    <w:rsid w:val="00C45E69"/>
    <w:rsid w:val="00C46804"/>
    <w:rsid w:val="00C55B51"/>
    <w:rsid w:val="00C6145A"/>
    <w:rsid w:val="00C65D21"/>
    <w:rsid w:val="00C66FB6"/>
    <w:rsid w:val="00C67D12"/>
    <w:rsid w:val="00C715B3"/>
    <w:rsid w:val="00C74237"/>
    <w:rsid w:val="00C75A0B"/>
    <w:rsid w:val="00C8021F"/>
    <w:rsid w:val="00C86283"/>
    <w:rsid w:val="00C913C3"/>
    <w:rsid w:val="00C958C9"/>
    <w:rsid w:val="00C97595"/>
    <w:rsid w:val="00C97CB3"/>
    <w:rsid w:val="00CA2105"/>
    <w:rsid w:val="00CB0463"/>
    <w:rsid w:val="00CB23AB"/>
    <w:rsid w:val="00CB4564"/>
    <w:rsid w:val="00CB56C8"/>
    <w:rsid w:val="00CC0C33"/>
    <w:rsid w:val="00CC3C6A"/>
    <w:rsid w:val="00CC7EFD"/>
    <w:rsid w:val="00CD1DB8"/>
    <w:rsid w:val="00CE1C04"/>
    <w:rsid w:val="00CF3BF6"/>
    <w:rsid w:val="00D2116F"/>
    <w:rsid w:val="00D3539F"/>
    <w:rsid w:val="00D3699C"/>
    <w:rsid w:val="00D50D69"/>
    <w:rsid w:val="00D52AEA"/>
    <w:rsid w:val="00D575D1"/>
    <w:rsid w:val="00D62B47"/>
    <w:rsid w:val="00D64589"/>
    <w:rsid w:val="00D7091E"/>
    <w:rsid w:val="00D70D92"/>
    <w:rsid w:val="00D710A3"/>
    <w:rsid w:val="00D744B7"/>
    <w:rsid w:val="00D80A42"/>
    <w:rsid w:val="00D84CB1"/>
    <w:rsid w:val="00D923B7"/>
    <w:rsid w:val="00D93058"/>
    <w:rsid w:val="00DA07D4"/>
    <w:rsid w:val="00DA1DEB"/>
    <w:rsid w:val="00DA7290"/>
    <w:rsid w:val="00DC7C65"/>
    <w:rsid w:val="00DD4AD3"/>
    <w:rsid w:val="00DD7612"/>
    <w:rsid w:val="00DD7E12"/>
    <w:rsid w:val="00DE191A"/>
    <w:rsid w:val="00DE2202"/>
    <w:rsid w:val="00DE663A"/>
    <w:rsid w:val="00DE6E22"/>
    <w:rsid w:val="00DF460E"/>
    <w:rsid w:val="00DF67C5"/>
    <w:rsid w:val="00E005C5"/>
    <w:rsid w:val="00E061D3"/>
    <w:rsid w:val="00E07802"/>
    <w:rsid w:val="00E07A4B"/>
    <w:rsid w:val="00E2085C"/>
    <w:rsid w:val="00E2349C"/>
    <w:rsid w:val="00E26C33"/>
    <w:rsid w:val="00E31DDE"/>
    <w:rsid w:val="00E369FE"/>
    <w:rsid w:val="00E42BC3"/>
    <w:rsid w:val="00E64339"/>
    <w:rsid w:val="00E64DE5"/>
    <w:rsid w:val="00E74572"/>
    <w:rsid w:val="00E77035"/>
    <w:rsid w:val="00E77A5B"/>
    <w:rsid w:val="00E82047"/>
    <w:rsid w:val="00E8604D"/>
    <w:rsid w:val="00E901E2"/>
    <w:rsid w:val="00E90A4B"/>
    <w:rsid w:val="00E97B14"/>
    <w:rsid w:val="00EA1F87"/>
    <w:rsid w:val="00EA52A3"/>
    <w:rsid w:val="00EA7E17"/>
    <w:rsid w:val="00EB2DFC"/>
    <w:rsid w:val="00EB7DD1"/>
    <w:rsid w:val="00EC033B"/>
    <w:rsid w:val="00EC3678"/>
    <w:rsid w:val="00EC404E"/>
    <w:rsid w:val="00EC4363"/>
    <w:rsid w:val="00EC4BE0"/>
    <w:rsid w:val="00EC5C37"/>
    <w:rsid w:val="00ED2C85"/>
    <w:rsid w:val="00ED5A4D"/>
    <w:rsid w:val="00EE6B10"/>
    <w:rsid w:val="00EF045A"/>
    <w:rsid w:val="00F051C1"/>
    <w:rsid w:val="00F22B2A"/>
    <w:rsid w:val="00F32B70"/>
    <w:rsid w:val="00F34B41"/>
    <w:rsid w:val="00F35B78"/>
    <w:rsid w:val="00F45C81"/>
    <w:rsid w:val="00F45D30"/>
    <w:rsid w:val="00F477A2"/>
    <w:rsid w:val="00F477BE"/>
    <w:rsid w:val="00F50C8B"/>
    <w:rsid w:val="00F544C7"/>
    <w:rsid w:val="00F54B63"/>
    <w:rsid w:val="00F567C3"/>
    <w:rsid w:val="00F640DF"/>
    <w:rsid w:val="00F64245"/>
    <w:rsid w:val="00F679EF"/>
    <w:rsid w:val="00F71099"/>
    <w:rsid w:val="00F74639"/>
    <w:rsid w:val="00F82B0B"/>
    <w:rsid w:val="00F87B49"/>
    <w:rsid w:val="00FB091A"/>
    <w:rsid w:val="00FB2FAD"/>
    <w:rsid w:val="00FB4846"/>
    <w:rsid w:val="00FC4E91"/>
    <w:rsid w:val="00FD272C"/>
    <w:rsid w:val="00FD5DD6"/>
    <w:rsid w:val="00FD7A74"/>
    <w:rsid w:val="00FE74EB"/>
    <w:rsid w:val="00FE7F02"/>
    <w:rsid w:val="00FF58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A7290"/>
    <w:rPr>
      <w:rFonts w:ascii="Palatino Linotype" w:hAnsi="Palatino Linotype"/>
      <w:sz w:val="22"/>
    </w:rPr>
  </w:style>
  <w:style w:styleId="Heading1" w:type="paragraph">
    <w:name w:val="heading 1"/>
    <w:basedOn w:val="Normal"/>
    <w:next w:val="Normal"/>
    <w:link w:val="Heading1Char"/>
    <w:uiPriority w:val="9"/>
    <w:qFormat/>
    <w:rsid w:val="00456CD0"/>
    <w:pPr>
      <w:keepNext/>
      <w:keepLines/>
      <w:spacing w:after="240"/>
      <w:outlineLvl w:val="0"/>
    </w:pPr>
    <w:rPr>
      <w:rFonts w:ascii="Source Sans Pro" w:cstheme="majorBidi" w:eastAsiaTheme="majorEastAsia" w:hAnsi="Source Sans Pro"/>
      <w:b/>
      <w:color w:val="164432"/>
      <w:sz w:val="40"/>
      <w:szCs w:val="40"/>
    </w:rPr>
  </w:style>
  <w:style w:styleId="Heading2" w:type="paragraph">
    <w:name w:val="heading 2"/>
    <w:basedOn w:val="Normal"/>
    <w:next w:val="Normal"/>
    <w:link w:val="Heading2Char"/>
    <w:uiPriority w:val="9"/>
    <w:unhideWhenUsed/>
    <w:qFormat/>
    <w:rsid w:val="00456CD0"/>
    <w:pPr>
      <w:keepNext/>
      <w:keepLines/>
      <w:spacing w:after="120" w:before="360"/>
      <w:outlineLvl w:val="1"/>
    </w:pPr>
    <w:rPr>
      <w:rFonts w:ascii="Source Sans Pro" w:cstheme="majorBidi" w:eastAsiaTheme="majorEastAsia" w:hAnsi="Source Sans Pro"/>
      <w:color w:val="164432"/>
      <w:sz w:val="32"/>
      <w:szCs w:val="32"/>
    </w:rPr>
  </w:style>
  <w:style w:styleId="Heading3" w:type="paragraph">
    <w:name w:val="heading 3"/>
    <w:basedOn w:val="Normal"/>
    <w:next w:val="Normal"/>
    <w:link w:val="Heading3Char"/>
    <w:uiPriority w:val="9"/>
    <w:unhideWhenUsed/>
    <w:qFormat/>
    <w:rsid w:val="0076240E"/>
    <w:pPr>
      <w:keepNext/>
      <w:keepLines/>
      <w:spacing w:after="80" w:before="160"/>
      <w:outlineLvl w:val="2"/>
    </w:pPr>
    <w:rPr>
      <w:rFonts w:ascii="Source Sans Pro" w:cstheme="majorBidi" w:eastAsiaTheme="majorEastAsia" w:hAnsi="Source Sans Pro"/>
      <w:color w:val="164432"/>
      <w:sz w:val="28"/>
      <w:szCs w:val="28"/>
    </w:rPr>
  </w:style>
  <w:style w:styleId="Heading4" w:type="paragraph">
    <w:name w:val="heading 4"/>
    <w:basedOn w:val="Normal"/>
    <w:next w:val="Normal"/>
    <w:link w:val="Heading4Char"/>
    <w:uiPriority w:val="9"/>
    <w:unhideWhenUsed/>
    <w:qFormat/>
    <w:rsid w:val="0001198C"/>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1198C"/>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1198C"/>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1198C"/>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1198C"/>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1198C"/>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56CD0"/>
    <w:rPr>
      <w:rFonts w:ascii="Source Sans Pro" w:cstheme="majorBidi" w:eastAsiaTheme="majorEastAsia" w:hAnsi="Source Sans Pro"/>
      <w:b/>
      <w:color w:val="164432"/>
      <w:sz w:val="40"/>
      <w:szCs w:val="40"/>
    </w:rPr>
  </w:style>
  <w:style w:customStyle="1" w:styleId="Heading2Char" w:type="character">
    <w:name w:val="Heading 2 Char"/>
    <w:basedOn w:val="DefaultParagraphFont"/>
    <w:link w:val="Heading2"/>
    <w:uiPriority w:val="9"/>
    <w:rsid w:val="00456CD0"/>
    <w:rPr>
      <w:rFonts w:ascii="Source Sans Pro" w:cstheme="majorBidi" w:eastAsiaTheme="majorEastAsia" w:hAnsi="Source Sans Pro"/>
      <w:color w:val="164432"/>
      <w:sz w:val="32"/>
      <w:szCs w:val="32"/>
    </w:rPr>
  </w:style>
  <w:style w:customStyle="1" w:styleId="Heading3Char" w:type="character">
    <w:name w:val="Heading 3 Char"/>
    <w:basedOn w:val="DefaultParagraphFont"/>
    <w:link w:val="Heading3"/>
    <w:uiPriority w:val="9"/>
    <w:rsid w:val="0076240E"/>
    <w:rPr>
      <w:rFonts w:ascii="Source Sans Pro" w:cstheme="majorBidi" w:eastAsiaTheme="majorEastAsia" w:hAnsi="Source Sans Pro"/>
      <w:color w:val="164432"/>
      <w:sz w:val="28"/>
      <w:szCs w:val="28"/>
    </w:rPr>
  </w:style>
  <w:style w:customStyle="1" w:styleId="Heading4Char" w:type="character">
    <w:name w:val="Heading 4 Char"/>
    <w:basedOn w:val="DefaultParagraphFont"/>
    <w:link w:val="Heading4"/>
    <w:uiPriority w:val="9"/>
    <w:rsid w:val="0001198C"/>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01198C"/>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1198C"/>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1198C"/>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1198C"/>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1198C"/>
    <w:rPr>
      <w:rFonts w:cstheme="majorBidi" w:eastAsiaTheme="majorEastAsia"/>
      <w:color w:themeColor="text1" w:themeTint="D8" w:val="272727"/>
    </w:rPr>
  </w:style>
  <w:style w:styleId="Title" w:type="paragraph">
    <w:name w:val="Title"/>
    <w:basedOn w:val="Normal"/>
    <w:next w:val="Normal"/>
    <w:link w:val="TitleChar"/>
    <w:uiPriority w:val="10"/>
    <w:qFormat/>
    <w:rsid w:val="00985525"/>
    <w:pPr>
      <w:spacing w:after="80" w:line="240" w:lineRule="auto"/>
      <w:contextualSpacing/>
    </w:pPr>
    <w:rPr>
      <w:rFonts w:ascii="Source Sans Pro" w:cstheme="majorBidi" w:eastAsiaTheme="majorEastAsia" w:hAnsi="Source Sans Pro"/>
      <w:color w:val="164432"/>
      <w:spacing w:val="-10"/>
      <w:kern w:val="28"/>
      <w:sz w:val="56"/>
      <w:szCs w:val="56"/>
    </w:rPr>
  </w:style>
  <w:style w:customStyle="1" w:styleId="TitleChar" w:type="character">
    <w:name w:val="Title Char"/>
    <w:basedOn w:val="DefaultParagraphFont"/>
    <w:link w:val="Title"/>
    <w:uiPriority w:val="10"/>
    <w:rsid w:val="00985525"/>
    <w:rPr>
      <w:rFonts w:ascii="Source Sans Pro" w:cstheme="majorBidi" w:eastAsiaTheme="majorEastAsia" w:hAnsi="Source Sans Pro"/>
      <w:color w:val="164432"/>
      <w:spacing w:val="-10"/>
      <w:kern w:val="28"/>
      <w:sz w:val="56"/>
      <w:szCs w:val="56"/>
    </w:rPr>
  </w:style>
  <w:style w:styleId="Subtitle" w:type="paragraph">
    <w:name w:val="Subtitle"/>
    <w:basedOn w:val="Normal"/>
    <w:next w:val="Normal"/>
    <w:link w:val="SubtitleChar"/>
    <w:uiPriority w:val="11"/>
    <w:qFormat/>
    <w:rsid w:val="0001198C"/>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1198C"/>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62283C"/>
    <w:pPr>
      <w:spacing w:before="160"/>
      <w:ind w:left="720" w:right="720"/>
      <w:jc w:val="center"/>
    </w:pPr>
    <w:rPr>
      <w:i/>
      <w:iCs/>
      <w:color w:themeColor="text1" w:themeTint="BF" w:val="404040"/>
      <w:sz w:val="32"/>
      <w:szCs w:val="32"/>
    </w:rPr>
  </w:style>
  <w:style w:customStyle="1" w:styleId="QuoteChar" w:type="character">
    <w:name w:val="Quote Char"/>
    <w:basedOn w:val="DefaultParagraphFont"/>
    <w:link w:val="Quote"/>
    <w:uiPriority w:val="29"/>
    <w:rsid w:val="0062283C"/>
    <w:rPr>
      <w:i/>
      <w:iCs/>
      <w:color w:themeColor="text1" w:themeTint="BF" w:val="404040"/>
      <w:sz w:val="32"/>
      <w:szCs w:val="32"/>
    </w:rPr>
  </w:style>
  <w:style w:styleId="ListParagraph" w:type="paragraph">
    <w:name w:val="List Paragraph"/>
    <w:basedOn w:val="Normal"/>
    <w:uiPriority w:val="34"/>
    <w:qFormat/>
    <w:rsid w:val="0001198C"/>
    <w:pPr>
      <w:ind w:left="720"/>
      <w:contextualSpacing/>
    </w:pPr>
  </w:style>
  <w:style w:styleId="IntenseEmphasis" w:type="character">
    <w:name w:val="Intense Emphasis"/>
    <w:basedOn w:val="DefaultParagraphFont"/>
    <w:uiPriority w:val="21"/>
    <w:qFormat/>
    <w:rsid w:val="0001198C"/>
    <w:rPr>
      <w:i/>
      <w:iCs/>
      <w:color w:themeColor="accent1" w:themeShade="BF" w:val="0F4761"/>
    </w:rPr>
  </w:style>
  <w:style w:styleId="IntenseQuote" w:type="paragraph">
    <w:name w:val="Intense Quote"/>
    <w:basedOn w:val="Normal"/>
    <w:next w:val="Normal"/>
    <w:link w:val="IntenseQuoteChar"/>
    <w:uiPriority w:val="30"/>
    <w:qFormat/>
    <w:rsid w:val="00166494"/>
    <w:pPr>
      <w:pBdr>
        <w:top w:color="0F4761" w:space="10" w:sz="4" w:themeColor="accent1" w:themeShade="BF" w:val="single"/>
        <w:bottom w:color="0F4761" w:space="10" w:sz="4" w:themeColor="accent1" w:themeShade="BF" w:val="single"/>
      </w:pBdr>
      <w:spacing w:after="360" w:before="360"/>
      <w:ind w:left="864" w:right="864"/>
      <w:jc w:val="center"/>
    </w:pPr>
    <w:rPr>
      <w:b/>
      <w:bCs/>
      <w:i/>
      <w:iCs/>
      <w:color w:val="164432"/>
      <w:sz w:val="24"/>
    </w:rPr>
  </w:style>
  <w:style w:customStyle="1" w:styleId="IntenseQuoteChar" w:type="character">
    <w:name w:val="Intense Quote Char"/>
    <w:basedOn w:val="DefaultParagraphFont"/>
    <w:link w:val="IntenseQuote"/>
    <w:uiPriority w:val="30"/>
    <w:rsid w:val="00166494"/>
    <w:rPr>
      <w:rFonts w:ascii="Palatino Linotype" w:hAnsi="Palatino Linotype"/>
      <w:b/>
      <w:bCs/>
      <w:i/>
      <w:iCs/>
      <w:color w:val="164432"/>
    </w:rPr>
  </w:style>
  <w:style w:styleId="IntenseReference" w:type="character">
    <w:name w:val="Intense Reference"/>
    <w:basedOn w:val="DefaultParagraphFont"/>
    <w:uiPriority w:val="32"/>
    <w:qFormat/>
    <w:rsid w:val="0001198C"/>
    <w:rPr>
      <w:b/>
      <w:bCs/>
      <w:smallCaps/>
      <w:color w:themeColor="accent1" w:themeShade="BF" w:val="0F4761"/>
      <w:spacing w:val="5"/>
    </w:rPr>
  </w:style>
  <w:style w:styleId="TOCHeading" w:type="paragraph">
    <w:name w:val="TOC Heading"/>
    <w:basedOn w:val="Heading1"/>
    <w:next w:val="Normal"/>
    <w:uiPriority w:val="39"/>
    <w:unhideWhenUsed/>
    <w:qFormat/>
    <w:rsid w:val="0001198C"/>
    <w:pPr>
      <w:spacing w:after="0" w:before="240" w:line="259" w:lineRule="auto"/>
      <w:outlineLvl w:val="9"/>
    </w:pPr>
    <w:rPr>
      <w:kern w:val="0"/>
      <w:sz w:val="32"/>
      <w:szCs w:val="32"/>
      <w14:ligatures w14:val="none"/>
    </w:rPr>
  </w:style>
  <w:style w:styleId="TOC1" w:type="paragraph">
    <w:name w:val="toc 1"/>
    <w:basedOn w:val="Normal"/>
    <w:next w:val="Normal"/>
    <w:autoRedefine/>
    <w:uiPriority w:val="39"/>
    <w:unhideWhenUsed/>
    <w:rsid w:val="0001198C"/>
    <w:pPr>
      <w:spacing w:after="100"/>
    </w:pPr>
  </w:style>
  <w:style w:styleId="TOC2" w:type="paragraph">
    <w:name w:val="toc 2"/>
    <w:basedOn w:val="Normal"/>
    <w:next w:val="Normal"/>
    <w:autoRedefine/>
    <w:uiPriority w:val="39"/>
    <w:unhideWhenUsed/>
    <w:rsid w:val="0001198C"/>
    <w:pPr>
      <w:spacing w:after="100"/>
      <w:ind w:left="240"/>
    </w:pPr>
  </w:style>
  <w:style w:styleId="Hyperlink" w:type="character">
    <w:name w:val="Hyperlink"/>
    <w:basedOn w:val="DefaultParagraphFont"/>
    <w:uiPriority w:val="99"/>
    <w:unhideWhenUsed/>
    <w:rsid w:val="0001198C"/>
    <w:rPr>
      <w:color w:themeColor="hyperlink" w:val="467886"/>
      <w:u w:val="single"/>
    </w:rPr>
  </w:style>
  <w:style w:styleId="TOC3" w:type="paragraph">
    <w:name w:val="toc 3"/>
    <w:basedOn w:val="Normal"/>
    <w:next w:val="Normal"/>
    <w:autoRedefine/>
    <w:uiPriority w:val="39"/>
    <w:unhideWhenUsed/>
    <w:rsid w:val="001332E7"/>
    <w:pPr>
      <w:spacing w:after="100"/>
      <w:ind w:left="480"/>
    </w:pPr>
  </w:style>
  <w:style w:styleId="TableGrid" w:type="table">
    <w:name w:val="Table Grid"/>
    <w:basedOn w:val="TableNormal"/>
    <w:uiPriority w:val="59"/>
    <w:rsid w:val="001E2EDE"/>
    <w:pPr>
      <w:spacing w:after="0" w:line="240" w:lineRule="auto"/>
    </w:pPr>
    <w:rPr>
      <w:rFonts w:eastAsiaTheme="minorEastAsia"/>
      <w:kern w:val="0"/>
      <w:sz w:val="22"/>
      <w:szCs w:val="22"/>
      <w14:ligatures w14:val="non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BoxHeader" w:type="paragraph">
    <w:name w:val="Box Header"/>
    <w:basedOn w:val="Normal"/>
    <w:qFormat/>
    <w:rsid w:val="001E2EDE"/>
    <w:pPr>
      <w:keepNext/>
      <w:pBdr>
        <w:top w:val="nil"/>
        <w:left w:val="nil"/>
        <w:bottom w:val="nil"/>
        <w:right w:val="nil"/>
        <w:between w:val="nil"/>
      </w:pBdr>
      <w:shd w:color="auto" w:fill="DAE9F7" w:themeFill="text2" w:themeFillTint="1A" w:val="clear"/>
      <w:spacing w:after="240" w:line="276" w:lineRule="auto"/>
      <w:ind w:left="605" w:right="605"/>
    </w:pPr>
    <w:rPr>
      <w:rFonts w:ascii="Google Sans Text" w:cs="Google Sans Text" w:eastAsia="Google Sans Text" w:hAnsi="Google Sans Text"/>
      <w:b/>
      <w:color w:val="1B1C1D"/>
    </w:rPr>
  </w:style>
  <w:style w:styleId="NormalWeb" w:type="paragraph">
    <w:name w:val="Normal (Web)"/>
    <w:basedOn w:val="Normal"/>
    <w:uiPriority w:val="99"/>
    <w:semiHidden/>
    <w:unhideWhenUsed/>
    <w:rsid w:val="005B5661"/>
    <w:pPr>
      <w:spacing w:after="100" w:afterAutospacing="1" w:before="100" w:beforeAutospacing="1" w:line="240" w:lineRule="auto"/>
    </w:pPr>
    <w:rPr>
      <w:rFonts w:ascii="Times New Roman" w:cs="Times New Roman" w:eastAsia="Times New Roman" w:hAnsi="Times New Roman"/>
      <w:kern w:val="0"/>
      <w14:ligatures w14:val="none"/>
    </w:rPr>
  </w:style>
  <w:style w:styleId="Strong" w:type="character">
    <w:name w:val="Strong"/>
    <w:basedOn w:val="DefaultParagraphFont"/>
    <w:uiPriority w:val="22"/>
    <w:qFormat/>
    <w:rsid w:val="005B5661"/>
    <w:rPr>
      <w:b/>
      <w:bCs/>
    </w:rPr>
  </w:style>
  <w:style w:customStyle="1" w:styleId="button-container" w:type="character">
    <w:name w:val="button-container"/>
    <w:basedOn w:val="DefaultParagraphFont"/>
    <w:rsid w:val="005B5661"/>
  </w:style>
  <w:style w:styleId="Header" w:type="paragraph">
    <w:name w:val="header"/>
    <w:basedOn w:val="Normal"/>
    <w:link w:val="HeaderChar"/>
    <w:uiPriority w:val="99"/>
    <w:unhideWhenUsed/>
    <w:rsid w:val="00CB0463"/>
    <w:pPr>
      <w:tabs>
        <w:tab w:pos="4680" w:val="center"/>
        <w:tab w:pos="9360" w:val="right"/>
      </w:tabs>
      <w:spacing w:after="0" w:line="240" w:lineRule="auto"/>
    </w:pPr>
    <w:rPr>
      <w:color w:val="164432"/>
    </w:rPr>
  </w:style>
  <w:style w:customStyle="1" w:styleId="HeaderChar" w:type="character">
    <w:name w:val="Header Char"/>
    <w:basedOn w:val="DefaultParagraphFont"/>
    <w:link w:val="Header"/>
    <w:uiPriority w:val="99"/>
    <w:rsid w:val="00CB0463"/>
    <w:rPr>
      <w:rFonts w:ascii="Palatino Linotype" w:hAnsi="Palatino Linotype"/>
      <w:color w:val="164432"/>
      <w:sz w:val="22"/>
    </w:rPr>
  </w:style>
  <w:style w:styleId="Footer" w:type="paragraph">
    <w:name w:val="footer"/>
    <w:basedOn w:val="Normal"/>
    <w:link w:val="FooterChar"/>
    <w:uiPriority w:val="99"/>
    <w:unhideWhenUsed/>
    <w:rsid w:val="008F215F"/>
    <w:pPr>
      <w:tabs>
        <w:tab w:pos="4680" w:val="center"/>
        <w:tab w:pos="9360" w:val="right"/>
      </w:tabs>
      <w:spacing w:after="0" w:line="240" w:lineRule="auto"/>
    </w:pPr>
  </w:style>
  <w:style w:customStyle="1" w:styleId="FooterChar" w:type="character">
    <w:name w:val="Footer Char"/>
    <w:basedOn w:val="DefaultParagraphFont"/>
    <w:link w:val="Footer"/>
    <w:uiPriority w:val="99"/>
    <w:rsid w:val="008F215F"/>
  </w:style>
  <w:style w:styleId="Index1" w:type="paragraph">
    <w:name w:val="index 1"/>
    <w:basedOn w:val="Normal"/>
    <w:next w:val="Normal"/>
    <w:autoRedefine/>
    <w:uiPriority w:val="99"/>
    <w:semiHidden/>
    <w:unhideWhenUsed/>
    <w:rsid w:val="004B37AF"/>
    <w:pPr>
      <w:spacing w:after="0" w:line="240" w:lineRule="auto"/>
      <w:ind w:hanging="240" w:left="240"/>
    </w:pPr>
  </w:style>
  <w:style w:customStyle="1" w:styleId="GatewaySign" w:type="paragraph">
    <w:name w:val="GatewaySign"/>
    <w:basedOn w:val="Heading2"/>
    <w:rsid w:val="00AF7650"/>
    <w:pPr>
      <w:spacing w:after="0" w:before="200" w:line="276" w:lineRule="auto"/>
    </w:pPr>
    <w:rPr>
      <w:rFonts w:ascii="Lato" w:hAnsi="Lato"/>
      <w:b/>
      <w:bCs/>
      <w:color w:val="FFFFFF"/>
      <w:kern w:val="0"/>
      <w:szCs w:val="26"/>
      <w14:ligatures w14:val="none"/>
    </w:rPr>
  </w:style>
  <w:style w:customStyle="1" w:styleId="BodyText" w:type="paragraph">
    <w:name w:val="BodyText"/>
    <w:basedOn w:val="Normal"/>
    <w:rsid w:val="00AF7650"/>
    <w:pPr>
      <w:spacing w:after="200" w:line="276" w:lineRule="auto"/>
    </w:pPr>
    <w:rPr>
      <w:rFonts w:eastAsiaTheme="minorEastAsia"/>
      <w:kern w:val="0"/>
      <w:szCs w:val="22"/>
      <w14:ligatures w14:val="none"/>
    </w:rPr>
  </w:style>
  <w:style w:customStyle="1" w:styleId="PullQuote" w:type="paragraph">
    <w:name w:val="PullQuote"/>
    <w:basedOn w:val="Normal"/>
    <w:rsid w:val="00AF7650"/>
    <w:pPr>
      <w:spacing w:after="200" w:line="276" w:lineRule="auto"/>
    </w:pPr>
    <w:rPr>
      <w:rFonts w:ascii="Lato" w:eastAsiaTheme="minorEastAsia" w:hAnsi="Lato"/>
      <w:i/>
      <w:color w:val="B38B00"/>
      <w:kern w:val="0"/>
      <w:szCs w:val="22"/>
      <w14:ligatures w14:val="none"/>
    </w:rPr>
  </w:style>
  <w:style w:styleId="Emphasis" w:type="character">
    <w:name w:val="Emphasis"/>
    <w:basedOn w:val="DefaultParagraphFont"/>
    <w:uiPriority w:val="20"/>
    <w:qFormat/>
    <w:rsid w:val="00AF5BE5"/>
    <w:rPr>
      <w:i/>
      <w:iCs/>
    </w:rPr>
  </w:style>
  <w:style w:styleId="SubtleReference" w:type="character">
    <w:name w:val="Subtle Reference"/>
    <w:basedOn w:val="DefaultParagraphFont"/>
    <w:uiPriority w:val="31"/>
    <w:qFormat/>
    <w:rsid w:val="00AF5BE5"/>
    <w:rPr>
      <w:smallCaps/>
      <w:color w:themeColor="text1" w:themeTint="A5" w:val="5A5A5A"/>
    </w:rPr>
  </w:style>
  <w:style w:customStyle="1" w:styleId="BoxedHeaderSimple" w:type="paragraph">
    <w:name w:val="Boxed Header Simple"/>
    <w:basedOn w:val="Normal"/>
    <w:qFormat/>
    <w:rsid w:val="00456CD0"/>
    <w:pPr>
      <w:keepNext/>
      <w:shd w:color="auto" w:fill="164432" w:val="clear"/>
      <w:spacing w:after="120" w:before="240" w:line="276" w:lineRule="auto"/>
    </w:pPr>
    <w:rPr>
      <w:rFonts w:ascii="Google Sans Text" w:cs="Google Sans Text" w:eastAsia="Google Sans Text" w:hAnsi="Google Sans Text"/>
      <w:color w:themeColor="background1" w:val="FFFFFF"/>
    </w:rPr>
  </w:style>
  <w:style w:customStyle="1" w:styleId="BoxBody" w:type="paragraph">
    <w:name w:val="Box Body"/>
    <w:basedOn w:val="Normal"/>
    <w:qFormat/>
    <w:rsid w:val="00BA5999"/>
    <w:pPr>
      <w:shd w:color="auto" w:fill="F2F2F2" w:themeFill="background1" w:themeFillShade="F2" w:val="clear"/>
    </w:pPr>
    <w:rPr>
      <w:rFonts w:ascii="Google Sans Text" w:cs="Google Sans Text" w:eastAsia="Google Sans Text" w:hAnsi="Google Sans Text"/>
      <w:color w:val="1B1C1D"/>
    </w:rPr>
  </w:style>
  <w:style w:customStyle="1" w:styleId="BoxBullet" w:type="paragraph">
    <w:name w:val="Box Bullet"/>
    <w:basedOn w:val="Normal"/>
    <w:qFormat/>
    <w:rsid w:val="00C958C9"/>
    <w:pPr>
      <w:numPr>
        <w:numId w:val="17"/>
      </w:numPr>
      <w:shd w:color="auto" w:fill="F2F2F2" w:themeFill="background1" w:themeFillShade="F2" w:val="clear"/>
    </w:pPr>
    <w:rPr>
      <w:sz w:val="20"/>
    </w:rPr>
  </w:style>
  <w:style w:styleId="UnresolvedMention" w:type="character">
    <w:name w:val="Unresolved Mention"/>
    <w:basedOn w:val="DefaultParagraphFont"/>
    <w:uiPriority w:val="99"/>
    <w:semiHidden/>
    <w:unhideWhenUsed/>
    <w:rsid w:val="008620E7"/>
    <w:rPr>
      <w:color w:val="605E5C"/>
      <w:shd w:color="auto" w:fill="E1DFDD" w:val="clear"/>
    </w:rPr>
  </w:style>
  <w:style w:styleId="SubtleEmphasis" w:type="character">
    <w:name w:val="Subtle Emphasis"/>
    <w:basedOn w:val="DefaultParagraphFont"/>
    <w:uiPriority w:val="19"/>
    <w:qFormat/>
    <w:rsid w:val="00DA7290"/>
    <w:rPr>
      <w:i/>
      <w:iCs/>
      <w:color w:themeColor="text1" w:themeTint="BF" w:val="404040"/>
    </w:rPr>
  </w:style>
  <w:style w:customStyle="1" w:styleId="FootnotesChapter" w:type="paragraph">
    <w:name w:val="Footnotes Chapter"/>
    <w:basedOn w:val="Heading2"/>
    <w:qFormat/>
    <w:rsid w:val="00D710A3"/>
  </w:style>
  <w:style w:styleId="Caption" w:type="paragraph">
    <w:name w:val="caption"/>
    <w:basedOn w:val="Normal"/>
    <w:next w:val="Normal"/>
    <w:uiPriority w:val="35"/>
    <w:unhideWhenUsed/>
    <w:qFormat/>
    <w:rsid w:val="007C1DFC"/>
    <w:pPr>
      <w:spacing w:after="200" w:line="240" w:lineRule="auto"/>
    </w:pPr>
    <w:rPr>
      <w:i/>
      <w:iCs/>
      <w:color w:val="164432"/>
      <w:szCs w:val="20"/>
    </w:rPr>
  </w:style>
  <w:style w:customStyle="1" w:styleId="Prompt" w:type="paragraph">
    <w:name w:val="Prompt"/>
    <w:basedOn w:val="Normal"/>
    <w:qFormat/>
    <w:rsid w:val="00BF7295"/>
    <w:pPr>
      <w:ind w:left="720" w:right="720"/>
    </w:pPr>
    <w:rPr>
      <w:i/>
      <w:iCs/>
    </w:rPr>
  </w:style>
  <w:style w:styleId="FollowedHyperlink" w:type="character">
    <w:name w:val="FollowedHyperlink"/>
    <w:basedOn w:val="DefaultParagraphFont"/>
    <w:uiPriority w:val="99"/>
    <w:semiHidden/>
    <w:unhideWhenUsed/>
    <w:rsid w:val="00A47D9D"/>
    <w:rPr>
      <w:color w:themeColor="followedHyperlink" w:val="96607D"/>
      <w:u w:val="single"/>
    </w:rPr>
  </w:style>
  <w:style w:styleId="GridTable1Light-Accent3" w:type="table">
    <w:name w:val="Grid Table 1 Light Accent 3"/>
    <w:basedOn w:val="TableNormal"/>
    <w:uiPriority w:val="46"/>
    <w:rsid w:val="00007FA9"/>
    <w:pPr>
      <w:spacing w:after="0" w:line="240" w:lineRule="auto"/>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customStyle="1" w:styleId="Bullet" w:type="paragraph">
    <w:name w:val="Bullet"/>
    <w:basedOn w:val="Normal"/>
    <w:qFormat/>
    <w:rsid w:val="0015752D"/>
    <w:pPr>
      <w:numPr>
        <w:numId w:val="138"/>
      </w:numPr>
      <w:tabs>
        <w:tab w:pos="720" w:val="clear"/>
      </w:tabs>
      <w:spacing w:after="120"/>
      <w:ind w:hanging="187" w:left="374"/>
      <w:contextualSpacing/>
    </w:pPr>
    <w:rPr>
      <w:b/>
      <w:bCs/>
    </w:rPr>
  </w:style>
  <w:style w:customStyle="1" w:styleId="selected" w:type="character">
    <w:name w:val="selected"/>
    <w:basedOn w:val="DefaultParagraphFont"/>
    <w:rsid w:val="00B21985"/>
  </w:style>
  <w:style w:customStyle="1" w:styleId="TableNormal0" w:type="table">
    <w:name w:val="TableNormal"/>
    <w:rsid w:val="00BB70DB"/>
    <w:pPr>
      <w:spacing w:line="259" w:lineRule="auto"/>
    </w:pPr>
    <w:rPr>
      <w:rFonts w:eastAsiaTheme="minorEastAsia"/>
      <w:kern w:val="0"/>
      <w:sz w:val="22"/>
      <w:szCs w:val="22"/>
      <w:lang w:val="en"/>
      <w14:ligatures w14:val="none"/>
    </w:rPr>
    <w:tblPr>
      <w:tblCellMar>
        <w:top w:type="dxa" w:w="0"/>
        <w:left w:type="dxa" w:w="0"/>
        <w:bottom w:type="dxa" w:w="0"/>
        <w:right w:type="dxa" w:w="0"/>
      </w:tblCellMar>
    </w:tblPr>
  </w:style>
  <w:style w:styleId="EndnoteText" w:type="paragraph">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customStyle="1" w:styleId="EndnoteTextChar" w:type="character">
    <w:name w:val="Endnote Text Char"/>
    <w:basedOn w:val="DefaultParagraphFont"/>
    <w:link w:val="EndnoteText"/>
    <w:uiPriority w:val="99"/>
    <w:semiHidden/>
    <w:rsid w:val="00BB70DB"/>
    <w:rPr>
      <w:rFonts w:eastAsiaTheme="minorEastAsia"/>
      <w:kern w:val="0"/>
      <w:sz w:val="20"/>
      <w:szCs w:val="20"/>
      <w:lang w:val="en"/>
      <w14:ligatures w14:val="none"/>
    </w:rPr>
  </w:style>
  <w:style w:styleId="EndnoteReference" w:type="character">
    <w:name w:val="endnote reference"/>
    <w:basedOn w:val="DefaultParagraphFont"/>
    <w:uiPriority w:val="99"/>
    <w:semiHidden/>
    <w:unhideWhenUsed/>
    <w:rsid w:val="00BB70DB"/>
    <w:rPr>
      <w:vertAlign w:val="superscript"/>
    </w:rPr>
  </w:style>
  <w:style w:styleId="GridTable1Light" w:type="table">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NoSpacing" w:type="paragraph">
    <w:name w:val="No Spacing"/>
    <w:uiPriority w:val="1"/>
    <w:qFormat/>
    <w:rsid w:val="00BB70DB"/>
    <w:pPr>
      <w:spacing w:after="0" w:line="240" w:lineRule="auto"/>
    </w:pPr>
    <w:rPr>
      <w:rFonts w:eastAsiaTheme="minorEastAsia"/>
      <w:kern w:val="0"/>
      <w:sz w:val="22"/>
      <w:szCs w:val="22"/>
      <w:lang w:val="en"/>
      <w14:ligatures w14:val="none"/>
    </w:rPr>
  </w:style>
  <w:style w:styleId="BookTitle" w:type="character">
    <w:name w:val="Book Title"/>
    <w:basedOn w:val="DefaultParagraphFont"/>
    <w:uiPriority w:val="33"/>
    <w:qFormat/>
    <w:rsid w:val="00BB70DB"/>
    <w:rPr>
      <w:b/>
      <w:bCs/>
      <w:smallCaps/>
      <w:spacing w:val="7"/>
    </w:rPr>
  </w:style>
  <w:style w:customStyle="1" w:styleId="Footnote" w:type="paragraph">
    <w:name w:val="Footnote"/>
    <w:basedOn w:val="Normal"/>
    <w:qFormat/>
    <w:rsid w:val="00F679EF"/>
    <w:pPr>
      <w:spacing w:after="120" w:line="240" w:lineRule="auto"/>
      <w:ind w:hanging="86" w:left="86"/>
    </w:pPr>
    <w:rPr>
      <w:sz w:val="20"/>
      <w:szCs w:val="22"/>
    </w:rPr>
  </w:style>
  <w:style w:styleId="GridTable1Light-Accent4" w:type="table">
    <w:name w:val="Grid Table 1 Light Accent 4"/>
    <w:basedOn w:val="TableNormal"/>
    <w:uiPriority w:val="46"/>
    <w:rsid w:val="00E005C5"/>
    <w:pPr>
      <w:spacing w:after="0" w:line="240" w:lineRule="auto"/>
    </w:pPr>
    <w:tblPr>
      <w:tblStyleRowBandSize w:val="1"/>
      <w:tblStyleColBandSize w:val="1"/>
      <w:tblBorders>
        <w:top w:color="95DCF7" w:space="0" w:sz="4" w:themeColor="accent4" w:themeTint="66" w:val="single"/>
        <w:left w:color="95DCF7" w:space="0" w:sz="4" w:themeColor="accent4" w:themeTint="66" w:val="single"/>
        <w:bottom w:color="95DCF7" w:space="0" w:sz="4" w:themeColor="accent4" w:themeTint="66" w:val="single"/>
        <w:right w:color="95DCF7" w:space="0" w:sz="4" w:themeColor="accent4" w:themeTint="66" w:val="single"/>
        <w:insideH w:color="95DCF7" w:space="0" w:sz="4" w:themeColor="accent4" w:themeTint="66" w:val="single"/>
        <w:insideV w:color="95DCF7" w:space="0" w:sz="4" w:themeColor="accent4" w:themeTint="66" w:val="single"/>
      </w:tblBorders>
    </w:tblPr>
    <w:tblStylePr w:type="firstRow">
      <w:rPr>
        <w:b/>
        <w:bCs/>
      </w:rPr>
      <w:tblPr/>
      <w:tcPr>
        <w:tcBorders>
          <w:bottom w:color="60CAF3" w:space="0" w:sz="12" w:themeColor="accent4" w:themeTint="99" w:val="single"/>
        </w:tcBorders>
      </w:tcPr>
    </w:tblStylePr>
    <w:tblStylePr w:type="lastRow">
      <w:rPr>
        <w:b/>
        <w:bCs/>
      </w:rPr>
      <w:tblPr/>
      <w:tcPr>
        <w:tcBorders>
          <w:top w:color="60CAF3" w:space="0" w:sz="2" w:themeColor="accent4" w:themeTint="99" w:val="double"/>
        </w:tcBorders>
      </w:tcPr>
    </w:tblStylePr>
    <w:tblStylePr w:type="firstCol">
      <w:rPr>
        <w:b/>
        <w:bCs/>
      </w:rPr>
    </w:tblStylePr>
    <w:tblStylePr w:type="lastCol">
      <w:rPr>
        <w:b/>
        <w:bCs/>
      </w:rPr>
    </w:tblStylePr>
  </w:style>
  <w:style w:customStyle="1" w:styleId="BulletNumbeered" w:type="paragraph">
    <w:name w:val="Bullet Numbeered"/>
    <w:basedOn w:val="Normal"/>
    <w:qFormat/>
    <w:rsid w:val="008041A4"/>
    <w:pPr>
      <w:numPr>
        <w:numId w:val="200"/>
      </w:numPr>
      <w:tabs>
        <w:tab w:pos="720" w:val="clear"/>
      </w:tabs>
      <w:spacing w:line="240" w:lineRule="auto"/>
      <w:ind w:hanging="270" w:left="360"/>
      <w:textAlignment w:val="baseline"/>
    </w:pPr>
    <w:rPr>
      <w:rFonts w:cs="Arial" w:eastAsia="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9" Target="media/rId29.jpg" /><Relationship Type="http://schemas.openxmlformats.org/officeDocument/2006/relationships/image" Id="rId24" Target="media/rId24.jpg" /><Relationship Type="http://schemas.openxmlformats.org/officeDocument/2006/relationships/image" Id="rId57" Target="media/rId57.jpg" /><Relationship Type="http://schemas.openxmlformats.org/officeDocument/2006/relationships/image" Id="rId53" Target="media/rId53.jpg" /><Relationship Type="http://schemas.openxmlformats.org/officeDocument/2006/relationships/image" Id="rId65" Target="media/rId65.jpg" /><Relationship Type="http://schemas.openxmlformats.org/officeDocument/2006/relationships/image" Id="rId61" Target="media/rId61.jpg" /><Relationship Type="http://schemas.openxmlformats.org/officeDocument/2006/relationships/image" Id="rId69" Target="media/rId69.jpg" /><Relationship Type="http://schemas.openxmlformats.org/officeDocument/2006/relationships/image" Id="rId73" Target="media/rId73.jpg" /><Relationship Type="http://schemas.openxmlformats.org/officeDocument/2006/relationships/image" Id="rId189" Target="media/rId189.jpg" /><Relationship Type="http://schemas.openxmlformats.org/officeDocument/2006/relationships/image" Id="rId192" Target="media/rId192.jpg" /><Relationship Type="http://schemas.openxmlformats.org/officeDocument/2006/relationships/image" Id="rId77" Target="media/rId77.jpg" /><Relationship Type="http://schemas.openxmlformats.org/officeDocument/2006/relationships/image" Id="rId195" Target="media/rId195.jpg" /><Relationship Type="http://schemas.openxmlformats.org/officeDocument/2006/relationships/image" Id="rId81" Target="media/rId81.jpg" /><Relationship Type="http://schemas.openxmlformats.org/officeDocument/2006/relationships/image" Id="rId97" Target="media/rId97.jpg" /><Relationship Type="http://schemas.openxmlformats.org/officeDocument/2006/relationships/image" Id="rId85" Target="media/rId85.jpg" /><Relationship Type="http://schemas.openxmlformats.org/officeDocument/2006/relationships/image" Id="rId89" Target="media/rId89.jpg" /><Relationship Type="http://schemas.openxmlformats.org/officeDocument/2006/relationships/image" Id="rId93" Target="media/rId93.jpg" /><Relationship Type="http://schemas.openxmlformats.org/officeDocument/2006/relationships/image" Id="rId101" Target="media/rId101.jpg" /><Relationship Type="http://schemas.openxmlformats.org/officeDocument/2006/relationships/image" Id="rId198" Target="media/rId198.jpg" /><Relationship Type="http://schemas.openxmlformats.org/officeDocument/2006/relationships/image" Id="rId105" Target="media/rId105.jpg" /><Relationship Type="http://schemas.openxmlformats.org/officeDocument/2006/relationships/image" Id="rId207" Target="media/rId207.jpg" /><Relationship Type="http://schemas.openxmlformats.org/officeDocument/2006/relationships/image" Id="rId204" Target="media/rId204.jpg" /><Relationship Type="http://schemas.openxmlformats.org/officeDocument/2006/relationships/image" Id="rId201" Target="media/rId201.jpg" /><Relationship Type="http://schemas.openxmlformats.org/officeDocument/2006/relationships/image" Id="rId109" Target="media/rId109.jpg" /><Relationship Type="http://schemas.openxmlformats.org/officeDocument/2006/relationships/image" Id="rId113" Target="media/rId113.jpg" /><Relationship Type="http://schemas.openxmlformats.org/officeDocument/2006/relationships/image" Id="rId121" Target="media/rId121.jpg" /><Relationship Type="http://schemas.openxmlformats.org/officeDocument/2006/relationships/image" Id="rId117" Target="media/rId117.jpg" /><Relationship Type="http://schemas.openxmlformats.org/officeDocument/2006/relationships/image" Id="rId125" Target="media/rId125.jpg" /><Relationship Type="http://schemas.openxmlformats.org/officeDocument/2006/relationships/image" Id="rId219" Target="media/rId219.jpg" /><Relationship Type="http://schemas.openxmlformats.org/officeDocument/2006/relationships/image" Id="rId141" Target="media/rId141.jpg" /><Relationship Type="http://schemas.openxmlformats.org/officeDocument/2006/relationships/image" Id="rId129" Target="media/rId129.jpg" /><Relationship Type="http://schemas.openxmlformats.org/officeDocument/2006/relationships/image" Id="rId210" Target="media/rId210.jpg" /><Relationship Type="http://schemas.openxmlformats.org/officeDocument/2006/relationships/image" Id="rId213" Target="media/rId213.jpg" /><Relationship Type="http://schemas.openxmlformats.org/officeDocument/2006/relationships/image" Id="rId137" Target="media/rId137.jpg" /><Relationship Type="http://schemas.openxmlformats.org/officeDocument/2006/relationships/image" Id="rId133" Target="media/rId133.jpg" /><Relationship Type="http://schemas.openxmlformats.org/officeDocument/2006/relationships/image" Id="rId216" Target="media/rId216.jpg" /><Relationship Type="http://schemas.openxmlformats.org/officeDocument/2006/relationships/image" Id="rId145" Target="media/rId145.jpg" /><Relationship Type="http://schemas.openxmlformats.org/officeDocument/2006/relationships/image" Id="rId149" Target="media/rId149.jpg" /><Relationship Type="http://schemas.openxmlformats.org/officeDocument/2006/relationships/image" Id="rId153" Target="media/rId153.jpg" /><Relationship Type="http://schemas.openxmlformats.org/officeDocument/2006/relationships/image" Id="rId222" Target="media/rId222.jpg" /><Relationship Type="http://schemas.openxmlformats.org/officeDocument/2006/relationships/image" Id="rId225" Target="media/rId225.jpg" /><Relationship Type="http://schemas.openxmlformats.org/officeDocument/2006/relationships/image" Id="rId228" Target="media/rId228.jpg" /><Relationship Type="http://schemas.openxmlformats.org/officeDocument/2006/relationships/image" Id="rId158" Target="media/rId158.jpg" /><Relationship Type="http://schemas.openxmlformats.org/officeDocument/2006/relationships/image" Id="rId162" Target="media/rId162.jpg" /><Relationship Type="http://schemas.openxmlformats.org/officeDocument/2006/relationships/image" Id="rId166" Target="media/rId166.jpg" /><Relationship Type="http://schemas.openxmlformats.org/officeDocument/2006/relationships/image" Id="rId170" Target="media/rId170.jpg" /><Relationship Type="http://schemas.openxmlformats.org/officeDocument/2006/relationships/image" Id="rId234" Target="media/rId234.jpg" /><Relationship Type="http://schemas.openxmlformats.org/officeDocument/2006/relationships/image" Id="rId231" Target="media/rId231.jpg" /><Relationship Type="http://schemas.openxmlformats.org/officeDocument/2006/relationships/image" Id="rId175" Target="media/rId175.jpg" /><Relationship Type="http://schemas.openxmlformats.org/officeDocument/2006/relationships/image" Id="rId179" Target="media/rId179.jpg" /><Relationship Type="http://schemas.openxmlformats.org/officeDocument/2006/relationships/image" Id="rId237" Target="media/rId237.jpg" /><Relationship Type="http://schemas.openxmlformats.org/officeDocument/2006/relationships/image" Id="rId183" Target="media/rId18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2026-06-08T03:59:16Z</dcterms:created>
  <dcterms:modified xsi:type="dcterms:W3CDTF">2026-06-08T03:59:16Z</dcterms:modified>
</cp:coreProperties>
</file>

<file path=docProps/custom.xml><?xml version="1.0" encoding="utf-8"?>
<Properties xmlns="http://schemas.openxmlformats.org/officeDocument/2006/custom-properties" xmlns:vt="http://schemas.openxmlformats.org/officeDocument/2006/docPropsVTypes"/>
</file>