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webp" ContentType="image/webp"/>
  <Override PartName="/word/media/rId21.webp" ContentType="image/webp"/>
  <Override PartName="/word/media/rId28.webp" ContentType="image/webp"/>
  <Override PartName="/word/media/rId20.webp" ContentType="image/webp"/>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Stewards</w:t>
      </w:r>
      <w:r>
        <w:t xml:space="preserve"> </w:t>
      </w:r>
      <w:r>
        <w:t xml:space="preserve">of</w:t>
      </w:r>
      <w:r>
        <w:t xml:space="preserve"> </w:t>
      </w:r>
      <w:r>
        <w:t xml:space="preserve">the</w:t>
      </w:r>
      <w:r>
        <w:t xml:space="preserve"> </w:t>
      </w:r>
      <w:r>
        <w:t xml:space="preserve">Republic</w:t>
      </w:r>
    </w:p>
    <w:p>
      <w:pPr>
        <w:pStyle w:val="Subtitle"/>
      </w:pPr>
      <w:r>
        <w:t xml:space="preserve">Volume</w:t>
      </w:r>
      <w:r>
        <w:t xml:space="preserve"> </w:t>
      </w:r>
      <w:r>
        <w:t xml:space="preserve">II</w:t>
      </w:r>
      <w:r>
        <w:t xml:space="preserve"> </w:t>
      </w:r>
      <w:r>
        <w:t xml:space="preserve">—</w:t>
      </w:r>
      <w:r>
        <w:t xml:space="preserve"> </w:t>
      </w:r>
      <w:r>
        <w:t xml:space="preserve">Looking</w:t>
      </w:r>
      <w:r>
        <w:t xml:space="preserve"> </w:t>
      </w:r>
      <w:r>
        <w:t xml:space="preserve">Forward</w:t>
      </w:r>
      <w:r>
        <w:t xml:space="preserve"> </w:t>
      </w:r>
      <w:r>
        <w:t xml:space="preserve">·</w:t>
      </w:r>
      <w:r>
        <w:t xml:space="preserve"> </w:t>
      </w:r>
      <w:r>
        <w:t xml:space="preserve">Defending</w:t>
      </w:r>
      <w:r>
        <w:t xml:space="preserve"> </w:t>
      </w:r>
      <w:r>
        <w:t xml:space="preserve">the</w:t>
      </w:r>
      <w:r>
        <w:t xml:space="preserve"> </w:t>
      </w:r>
      <w:r>
        <w:t xml:space="preserve">Forever</w:t>
      </w:r>
      <w:r>
        <w:t xml:space="preserve"> </w:t>
      </w:r>
      <w:r>
        <w:t xml:space="preserve">Gift</w:t>
      </w:r>
      <w:r>
        <w:t xml:space="preserve"> </w:t>
      </w:r>
      <w:r>
        <w:t xml:space="preserve">in</w:t>
      </w:r>
      <w:r>
        <w:t xml:space="preserve"> </w:t>
      </w:r>
      <w:r>
        <w:t xml:space="preserve">the</w:t>
      </w:r>
      <w:r>
        <w:t xml:space="preserve"> </w:t>
      </w:r>
      <w:r>
        <w:t xml:space="preserve">Age</w:t>
      </w:r>
      <w:r>
        <w:t xml:space="preserve"> </w:t>
      </w:r>
      <w:r>
        <w:t xml:space="preserve">of</w:t>
      </w:r>
      <w:r>
        <w:t xml:space="preserve"> </w:t>
      </w:r>
      <w:r>
        <w:t xml:space="preserve">Artificial</w:t>
      </w:r>
      <w:r>
        <w:t xml:space="preserve"> </w:t>
      </w:r>
      <w:r>
        <w:t xml:space="preserve">Intelligence</w:t>
      </w:r>
      <w:r>
        <w:t xml:space="preserve"> </w:t>
      </w:r>
      <w:r>
        <w:t xml:space="preserve">·</w:t>
      </w:r>
      <w:r>
        <w:t xml:space="preserve"> </w:t>
      </w:r>
      <w:r>
        <w:t xml:space="preserve">A</w:t>
      </w:r>
      <w:r>
        <w:t xml:space="preserve"> </w:t>
      </w:r>
      <w:r>
        <w:t xml:space="preserve">Forever</w:t>
      </w:r>
      <w:r>
        <w:t xml:space="preserve"> </w:t>
      </w:r>
      <w:r>
        <w:t xml:space="preserve">Gift,</w:t>
      </w:r>
      <w:r>
        <w:t xml:space="preserve"> </w:t>
      </w:r>
      <w:r>
        <w:t xml:space="preserve">Book</w:t>
      </w:r>
      <w:r>
        <w:t xml:space="preserve"> </w:t>
      </w:r>
      <w:r>
        <w:t xml:space="preserve">Two</w:t>
      </w:r>
    </w:p>
    <w:p>
      <w:pPr>
        <w:pStyle w:val="Author"/>
      </w:pPr>
      <w:r>
        <w:t xml:space="preserve">Dave</w:t>
      </w:r>
      <w:r>
        <w:t xml:space="preserve"> </w:t>
      </w:r>
      <w:r>
        <w:t xml:space="preserve">Sullivan</w:t>
      </w:r>
    </w:p>
    <w:p>
      <w:pPr>
        <w:pStyle w:val="Date"/>
      </w:pPr>
      <w:r>
        <w:t xml:space="preserve">Pre-publication</w:t>
      </w:r>
      <w:r>
        <w:t xml:space="preserve"> </w:t>
      </w:r>
      <w:r>
        <w:t xml:space="preserve">first</w:t>
      </w:r>
      <w:r>
        <w:t xml:space="preserve"> </w:t>
      </w:r>
      <w:r>
        <w:t xml:space="preserve">draft</w:t>
      </w:r>
      <w:r>
        <w:t xml:space="preserve"> </w:t>
      </w:r>
      <w:r>
        <w:t xml:space="preserve">—</w:t>
      </w:r>
      <w:r>
        <w:t xml:space="preserve"> </w:t>
      </w:r>
      <w:r>
        <w:t xml:space="preserve">May</w:t>
      </w:r>
      <w:r>
        <w:t xml:space="preserve"> </w:t>
      </w:r>
      <w:r>
        <w:t xml:space="preserve">2026</w:t>
      </w:r>
      <w:r>
        <w:t xml:space="preserve"> </w:t>
      </w:r>
      <w:r>
        <w:t xml:space="preserve">·</w:t>
      </w:r>
      <w:r>
        <w:t xml:space="preserve"> </w:t>
      </w:r>
      <w:r>
        <w:t xml:space="preserve">For</w:t>
      </w:r>
      <w:r>
        <w:t xml:space="preserve"> </w:t>
      </w:r>
      <w:r>
        <w:t xml:space="preserve">review</w:t>
      </w:r>
      <w:r>
        <w:t xml:space="preserve"> </w:t>
      </w:r>
      <w:r>
        <w:t xml:space="preserve">and</w:t>
      </w:r>
      <w:r>
        <w:t xml:space="preserve"> </w:t>
      </w:r>
      <w:r>
        <w:t xml:space="preserve">comment</w:t>
      </w:r>
      <w:r>
        <w:t xml:space="preserve"> </w:t>
      </w:r>
      <w:r>
        <w:t xml:space="preserve">only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
        </w:rPr>
        <w:t xml:space="preserve">This volume continues the work formerly titled</w:t>
      </w:r>
      <w:r>
        <w:t xml:space="preserve"> </w:t>
      </w:r>
      <w:r>
        <w:t xml:space="preserve">The Eighth Anchor</w:t>
      </w:r>
      <w:r>
        <w:rPr>
          <w:i/>
        </w:rPr>
        <w:t xml:space="preserve">, re-aimed and retitled. It is written by Dave Sullivan; Margaret Bird is not presented as an author or endorser of this volume.</w:t>
      </w:r>
    </w:p>
    <w:p>
      <w:pPr>
        <w:pStyle w:val="Heading1"/>
      </w:pPr>
      <w:bookmarkStart w:id="20" w:name="X570b7509173ab3f640cf315bce24b551ef84f61"/>
      <w:r>
        <w:t xml:space="preserve">Chapter 1 — The Inheritance, and What It Now Asks of Us</w:t>
      </w:r>
      <w:bookmarkEnd w:id="20"/>
    </w:p>
    <w:p>
      <w:pPr>
        <w:pStyle w:val="FirstParagraph"/>
      </w:pPr>
      <w:r>
        <w:t xml:space="preserve">There is a moment, when you finish reading a long family history, when the story stops being about the dead and becomes about you.</w:t>
      </w:r>
    </w:p>
    <w:p>
      <w:pPr>
        <w:pStyle w:val="BodyText"/>
      </w:pPr>
      <w:r>
        <w:t xml:space="preserve">You have read, by now — in the companion volume, or somewhere in the long argument of the school-trust movement — how this inheritance was made. How in May of 1785 the Confederation Congress put a single sentence into a surveying ordinance, reserving one square mile in every township</w:t>
      </w:r>
      <w:r>
        <w:t xml:space="preserve"> </w:t>
      </w:r>
      <w:r>
        <w:t xml:space="preserve">“</w:t>
      </w:r>
      <w:r>
        <w:t xml:space="preserve">for the maintenance of public schools.</w:t>
      </w:r>
      <w:r>
        <w:t xml:space="preserve">”</w:t>
      </w:r>
      <w:r>
        <w:t xml:space="preserve"> </w:t>
      </w:r>
      <w:r>
        <w:t xml:space="preserve">How the Northwest Ordinance of 1787 raised that reservation into a compact and declared that</w:t>
      </w:r>
      <w:r>
        <w:t xml:space="preserve"> </w:t>
      </w:r>
      <w:r>
        <w:t xml:space="preserve">“</w:t>
      </w:r>
      <w:r>
        <w:t xml:space="preserve">schools and the means of education shall forever be encouraged.</w:t>
      </w:r>
      <w:r>
        <w:t xml:space="preserve">”</w:t>
      </w:r>
      <w:r>
        <w:t xml:space="preserve"> </w:t>
      </w:r>
      <w:r>
        <w:t xml:space="preserve">How, state by state, as the country crossed the continent, the same promise was written into admission acts and constitutions: a piece of every new place set aside, in perpetuity, for the children who would live there and the republic those children would have to run.</w:t>
      </w:r>
    </w:p>
    <w:p>
      <w:pPr>
        <w:pStyle w:val="BodyText"/>
      </w:pPr>
      <w:r>
        <w:t xml:space="preserve">You have read what happened to it. The fire sales, where states sold the children’s land for a dollar an acre and spent the proceeds on roads. The sweetheart leases, where the trust’s timber and grazing went out the door at a fraction of its worth to the politically connected. The raids, where a legislature in a hard year simply took the income and called it a budget. The slow drift, hardest of all to see, where a State Land Board across forty years and a dozen turnovers forgot why the corpus was protected and started treating the trust’s land as the state’s land. You have read, too, the recoveries — Utah pulling its trust back from the edge, New Mexico’s enabling-act language with actual teeth in it, the pattern in the modern enforcement cases that every successful one shares.</w:t>
      </w:r>
    </w:p>
    <w:p>
      <w:pPr>
        <w:pStyle w:val="BodyText"/>
      </w:pPr>
      <w:r>
        <w:t xml:space="preserve">That is the looking-back book. This is the looking-forward one. And the looking-forward book begins where every honest family history ends: with the living.</w:t>
      </w:r>
    </w:p>
    <w:p>
      <w:pPr>
        <w:pStyle w:val="Heading3"/>
      </w:pPr>
      <w:bookmarkStart w:id="21" w:name="the-data-is-in"/>
      <w:r>
        <w:t xml:space="preserve">The data is in</w:t>
      </w:r>
      <w:bookmarkEnd w:id="21"/>
    </w:p>
    <w:p>
      <w:pPr>
        <w:pStyle w:val="FirstParagraph"/>
      </w:pPr>
      <w:r>
        <w:t xml:space="preserve">The school trust is the longest-running fiduciary experiment in American life. It is older than the Constitution. It has been operating, continuously, for two hundred and forty years, across what is now fifty states, through every kind of government a republic can produce. No one designed it as an experiment. But that is what it became, and the unusual thing about it — the thing that makes it matter beyond its own borders — is that it ran long enough to return results.</w:t>
      </w:r>
    </w:p>
    <w:p>
      <w:pPr>
        <w:pStyle w:val="BodyText"/>
      </w:pPr>
      <w:r>
        <w:t xml:space="preserve">The results come down to two findings, and they are not complicated.</w:t>
      </w:r>
    </w:p>
    <w:p>
      <w:pPr>
        <w:pStyle w:val="BodyText"/>
      </w:pPr>
      <w:r>
        <w:t xml:space="preserve">The first: the architecture works where it is installed and defended. Where a state wrote the duty into law in terms a court could enforce, named the trust as a trust, and — this is the part most often missed — where a community of people kept watch and insisted the law be honored, the trust held. Utah is the living proof. It is not a perfect place and its trust is not a perfect trust, but its schoolchildren receive, building by building, a visible disbursement that the people of Utah will defend the moment anyone reaches for it.</w:t>
      </w:r>
    </w:p>
    <w:p>
      <w:pPr>
        <w:pStyle w:val="BodyText"/>
      </w:pPr>
      <w:r>
        <w:t xml:space="preserve">The second: the trust drifts, predictably, where the architecture is thin or the watch is abandoned. And the drift is not bad luck. It is structural. It follows from three features the school trust shares with every long-horizon institution: people discount the future steeply, so a near-term need always outshouts a distant child’s claim; bureaucracies acquire a survival interest of their own, so the agency starts serving itself; and the beneficiaries — children, the not-yet-born — cannot vote, lobby, or sue, so no one is in the room to object. Put those three together and the trust loses ground in a direction the arithmetic guarantees: toward the present, away from the child.</w:t>
      </w:r>
    </w:p>
    <w:p>
      <w:pPr>
        <w:pStyle w:val="BodyText"/>
      </w:pPr>
      <w:r>
        <w:t xml:space="preserve">Those are the findings. A reader could absorb them and close the book with a sigh, the way one closes a book about a beautiful old building that burned down. That is the wrong response, and the rest of this volume exists to say why.</w:t>
      </w:r>
    </w:p>
    <w:p>
      <w:pPr>
        <w:pStyle w:val="Heading3"/>
      </w:pPr>
      <w:bookmarkStart w:id="22" w:name="what-is-different-about-now"/>
      <w:r>
        <w:t xml:space="preserve">What is different about now</w:t>
      </w:r>
      <w:bookmarkEnd w:id="22"/>
    </w:p>
    <w:p>
      <w:pPr>
        <w:pStyle w:val="FirstParagraph"/>
      </w:pPr>
      <w:r>
        <w:t xml:space="preserve">For most of those two hundred and forty years, knowing what you would have needed to know to defend the trust was simply out of reach for an ordinary person.</w:t>
      </w:r>
    </w:p>
    <w:p>
      <w:pPr>
        <w:pStyle w:val="BodyText"/>
      </w:pPr>
      <w:r>
        <w:t xml:space="preserve">Consider what it took. To stand up at a legislative hearing and say</w:t>
      </w:r>
      <w:r>
        <w:t xml:space="preserve"> </w:t>
      </w:r>
      <w:r>
        <w:rPr>
          <w:i/>
        </w:rPr>
        <w:t xml:space="preserve">you cannot do that, and here is why</w:t>
      </w:r>
      <w:r>
        <w:t xml:space="preserve"> </w:t>
      </w:r>
      <w:r>
        <w:t xml:space="preserve">— to make it stick — you needed the trust’s current acreage and its historical acreage. You needed the revenue per acre, and what comparable states were getting for the same land. You needed the breach-of-fiduciary-duty doctrine as the courts of equity actually apply it. You needed the legislative record of every diversion across forty years, the figures restated in today’s dollars, the enabling-act language, the case law. To assemble that, in 1985, you needed a state archivist’s training and a state archivist’s salary and a state archivist’s months. The beneficiary class — children — had no archivists. So the diversions happened, hearing after hearing, because the only people in the room with the facts were the people doing the diverting.</w:t>
      </w:r>
    </w:p>
    <w:p>
      <w:pPr>
        <w:pStyle w:val="BodyText"/>
      </w:pPr>
      <w:r>
        <w:t xml:space="preserve">That barrier has, in the space of a very few years, fallen by something like an order of magnitude.</w:t>
      </w:r>
    </w:p>
    <w:p>
      <w:pPr>
        <w:pStyle w:val="BodyText"/>
      </w:pPr>
      <w:r>
        <w:t xml:space="preserve">I want to be careful here, because this is the place where a book like this can go wrong in either of two directions. It can oversell the new tools —</w:t>
      </w:r>
      <w:r>
        <w:t xml:space="preserve"> </w:t>
      </w:r>
      <w:r>
        <w:rPr>
          <w:i/>
        </w:rPr>
        <w:t xml:space="preserve">the robots will save the schools</w:t>
      </w:r>
      <w:r>
        <w:t xml:space="preserve"> </w:t>
      </w:r>
      <w:r>
        <w:t xml:space="preserve">— which is foolish, and it can undersell them —</w:t>
      </w:r>
      <w:r>
        <w:t xml:space="preserve"> </w:t>
      </w:r>
      <w:r>
        <w:rPr>
          <w:i/>
        </w:rPr>
        <w:t xml:space="preserve">nothing has really changed</w:t>
      </w:r>
      <w:r>
        <w:t xml:space="preserve"> </w:t>
      </w:r>
      <w:r>
        <w:t xml:space="preserve">— which is also foolish, and a little dishonest given how this very book was made. The honest account is narrower and more useful than either. A retired tree farmer in Coos County, working with the research tools that came into ordinary hands around 2024, can now do in an afternoon the work that would have taken a state archivist a month. The tools do not supply the judgment. They do not decide what matters, or what is fair, or what is worth fighting for. They remove the credentialing barrier that, for two and a half centuries, kept the watchful crew small enough that a single bureaucracy or a single bad budget year could outlast it.</w:t>
      </w:r>
    </w:p>
    <w:p>
      <w:pPr>
        <w:pStyle w:val="BodyText"/>
      </w:pPr>
      <w:r>
        <w:t xml:space="preserve">That is the whole change, and it is enormous. The defense of the trust used to be a job for specialists, and there were never enough of them. It is becoming a job an ordinary citizen can do well. The fight has not gotten easier. The barrier to entering it has collapsed.</w:t>
      </w:r>
    </w:p>
    <w:p>
      <w:pPr>
        <w:pStyle w:val="Heading3"/>
      </w:pPr>
      <w:bookmarkStart w:id="23" w:name="the-duty-that-follows"/>
      <w:r>
        <w:t xml:space="preserve">The duty that follows</w:t>
      </w:r>
      <w:bookmarkEnd w:id="23"/>
    </w:p>
    <w:p>
      <w:pPr>
        <w:pStyle w:val="FirstParagraph"/>
      </w:pPr>
      <w:r>
        <w:t xml:space="preserve">Which brings the matter back to the living, and to the word in the title of this book.</w:t>
      </w:r>
    </w:p>
    <w:p>
      <w:pPr>
        <w:pStyle w:val="BodyText"/>
      </w:pPr>
      <w:r>
        <w:t xml:space="preserve">A</w:t>
      </w:r>
      <w:r>
        <w:t xml:space="preserve"> </w:t>
      </w:r>
      <w:r>
        <w:rPr>
          <w:i/>
        </w:rPr>
        <w:t xml:space="preserve">steward</w:t>
      </w:r>
      <w:r>
        <w:t xml:space="preserve"> </w:t>
      </w:r>
      <w:r>
        <w:t xml:space="preserve">is not an owner. The owner of the school trust, if the word means anything, is a child not yet born — and the next child after her, down a line that runs out past the edge of anything we can see. A steward is someone who holds a thing for an owner who is not present, and whose whole obligation is to hand it on undiminished. The framers understood this exactly. They built a trust precisely because a trust is the legal form English equity had spent two centuries hardening for one purpose: to bind a present-day holder to the interest of an absent beneficiary. What the framers could not build — what no one in 1785 could build — was the standing crew of human stewards who would keep watch across the centuries the trust was meant to last. They had no instrument for that. The cost of sustained civic attention to a complex, long-horizon asset was higher, in their century, than all but a handful of citizens could pay.</w:t>
      </w:r>
    </w:p>
    <w:p>
      <w:pPr>
        <w:pStyle w:val="BodyText"/>
      </w:pPr>
      <w:r>
        <w:t xml:space="preserve">We are the first generation that can pay it.</w:t>
      </w:r>
    </w:p>
    <w:p>
      <w:pPr>
        <w:pStyle w:val="BodyText"/>
      </w:pPr>
      <w:r>
        <w:t xml:space="preserve">That is the duty this volume is about, and it is worth being plain about what kind of duty it is. It is not guilt. The reader did not break the trust; mostly, the reader had no idea the trust existed, which is itself part of how the drift worked. It is not heroism, either. The standing constituency the trust needs does not require heroes. It requires presence — ordinary people, in enough states, across enough years, who know the story, keep the record, and show up to say</w:t>
      </w:r>
      <w:r>
        <w:t xml:space="preserve"> </w:t>
      </w:r>
      <w:r>
        <w:rPr>
          <w:i/>
        </w:rPr>
        <w:t xml:space="preserve">no</w:t>
      </w:r>
      <w:r>
        <w:t xml:space="preserve"> </w:t>
      </w:r>
      <w:r>
        <w:t xml:space="preserve">when someone reaches for the children’s share. What the moment asks is not that anyone be extraordinary. It asks that enough people be reliably, durably ordinary, in a job that until now was effectively closed to them.</w:t>
      </w:r>
    </w:p>
    <w:p>
      <w:pPr>
        <w:pStyle w:val="Heading3"/>
      </w:pPr>
      <w:bookmarkStart w:id="24" w:name="the-shape-of-the-book"/>
      <w:r>
        <w:t xml:space="preserve">The shape of the book</w:t>
      </w:r>
      <w:bookmarkEnd w:id="24"/>
    </w:p>
    <w:p>
      <w:pPr>
        <w:pStyle w:val="FirstParagraph"/>
      </w:pPr>
      <w:r>
        <w:t xml:space="preserve">So this is a how-to book, in the end, more than a what-happened book. Volume I established the facts; this volume is about what to build on top of them.</w:t>
      </w:r>
    </w:p>
    <w:p>
      <w:pPr>
        <w:pStyle w:val="BodyText"/>
      </w:pPr>
      <w:r>
        <w:t xml:space="preserve">It builds in five movements. First, what an enforceable trust actually needs — the seven structural defenses the record hands us, restated not as analysis but as a build list a state or a coalition can work from, with the one hard distinction kept straight throughout: the difference between a duty that</w:t>
      </w:r>
      <w:r>
        <w:t xml:space="preserve"> </w:t>
      </w:r>
      <w:r>
        <w:rPr>
          <w:i/>
        </w:rPr>
        <w:t xml:space="preserve">exists</w:t>
      </w:r>
      <w:r>
        <w:t xml:space="preserve"> </w:t>
      </w:r>
      <w:r>
        <w:t xml:space="preserve">and a duty a beneficiary can actually</w:t>
      </w:r>
      <w:r>
        <w:t xml:space="preserve"> </w:t>
      </w:r>
      <w:r>
        <w:rPr>
          <w:i/>
        </w:rPr>
        <w:t xml:space="preserve">enforce</w:t>
      </w:r>
      <w:r>
        <w:t xml:space="preserve">. Then the coalition — the watchful crew as people, and how it forms, recruits, and renews itself so it does not dissipate the way Oregon’s did. Then the Library and the electronic support structures — the watchful crew as infrastructure, the shared institutional memory that holds the record when individual memories fail. Then the defense of the trust in the age of AI — the fights of the next decade, the new threats the moment brings to the trust and the new tools it hands the defenders. And finally, at the end and not the beginning, the larger resonance: what all of this means for the other forever-promises now being written, the great new funds and endowments of the AI era, which face the same three pathologies and could learn from a community that has been fighting them for two centuries.</w:t>
      </w:r>
    </w:p>
    <w:p>
      <w:pPr>
        <w:pStyle w:val="BodyText"/>
      </w:pPr>
      <w:r>
        <w:t xml:space="preserve">But that last part comes last on purpose. The architects of the new institutions can wait. The schools cannot. The first forever-trust we have any business defending is the one already in our hands — the one a country gave its children in 1785 and then, for the most part, forgot to guard. This book is about remembering, and about the tools and the people that finally make remembering enough.</w:t>
      </w:r>
    </w:p>
    <w:p>
      <w:pPr>
        <w:pStyle w:val="BodyText"/>
      </w:pPr>
      <w:r>
        <w:t xml:space="preserve">The story stops being about the dead now. It is about us, and about what we hand on.</w:t>
      </w:r>
    </w:p>
    <w:p>
      <w:r>
        <w:pict>
          <v:rect style="width:0;height:1.5pt" o:hralign="center" o:hrstd="t" o:hr="t"/>
        </w:pict>
      </w:r>
    </w:p>
    <w:p>
      <w:pPr>
        <w:pStyle w:val="FirstParagraph"/>
      </w:pPr>
      <w:r>
        <w:rPr>
          <w:i/>
        </w:rPr>
        <w:t xml:space="preserve">[Footnotes / source notes to be attached in a later pass. The two findings, the three structural features, and the recovery pattern are carried from the companion volume and from the project’s canonical claims; the cost-drop framing and the steward/owner distinction are Dave-voiced and flagged for Margaret review. Specific figures (acreage, revenue-per-acre, dollar-an-acre sales) are referenced generically here and should be pinned to L1_Figures.md before any public use — [VERIFY].]</w:t>
      </w:r>
    </w:p>
    <w:p>
      <w:pPr>
        <w:pStyle w:val="Heading1"/>
      </w:pPr>
      <w:bookmarkStart w:id="25" w:name="Xdf61243041c9a65e006eb8288bd90eb2d9e7a8d"/>
      <w:r>
        <w:t xml:space="preserve">Chapter 2 — What an Enforceable Trust Needs: The Seven Anchors as a Build List</w:t>
      </w:r>
      <w:bookmarkEnd w:id="25"/>
    </w:p>
    <w:p>
      <w:pPr>
        <w:pStyle w:val="FirstParagraph"/>
      </w:pPr>
      <w:r>
        <w:t xml:space="preserve">If you want to know whether a school trust will hold, do not start by reading how the duty is described. Start by asking a harder question: if the state breaks the promise tomorrow, can anyone make it stop?</w:t>
      </w:r>
    </w:p>
    <w:p>
      <w:pPr>
        <w:pStyle w:val="BodyText"/>
      </w:pPr>
      <w:r>
        <w:t xml:space="preserve">That question —</w:t>
      </w:r>
      <w:r>
        <w:t xml:space="preserve"> </w:t>
      </w:r>
      <w:r>
        <w:rPr>
          <w:i/>
        </w:rPr>
        <w:t xml:space="preserve">can anyone make it stop</w:t>
      </w:r>
      <w:r>
        <w:t xml:space="preserve"> </w:t>
      </w:r>
      <w:r>
        <w:t xml:space="preserve">— is the one this chapter is built around, and getting it right requires getting one thing straight first, because the school-trust movement itself spent years blurring it.</w:t>
      </w:r>
    </w:p>
    <w:p>
      <w:pPr>
        <w:pStyle w:val="Heading3"/>
      </w:pPr>
      <w:bookmarkStart w:id="26" w:name="the-distinction-everything-turns-on"/>
      <w:r>
        <w:t xml:space="preserve">The distinction everything turns on</w:t>
      </w:r>
      <w:bookmarkEnd w:id="26"/>
    </w:p>
    <w:p>
      <w:pPr>
        <w:pStyle w:val="FirstParagraph"/>
      </w:pPr>
      <w:r>
        <w:t xml:space="preserve">Here is a thing that is true under the law of trusts and that surprises almost everyone who hears it: a trust does not need the word</w:t>
      </w:r>
      <w:r>
        <w:t xml:space="preserve"> </w:t>
      </w:r>
      <w:r>
        <w:t xml:space="preserve">“</w:t>
      </w:r>
      <w:r>
        <w:t xml:space="preserve">trust</w:t>
      </w:r>
      <w:r>
        <w:t xml:space="preserve">”</w:t>
      </w:r>
      <w:r>
        <w:t xml:space="preserve"> </w:t>
      </w:r>
      <w:r>
        <w:t xml:space="preserve">in it to exist.</w:t>
      </w:r>
    </w:p>
    <w:p>
      <w:pPr>
        <w:pStyle w:val="BodyText"/>
      </w:pPr>
      <w:r>
        <w:t xml:space="preserve">A trust comes into being when someone manifests an intent to hold property for a beneficiary, there is a beneficiary, and there is property. That is all. The duties of a trustee — loyalty, prudence, fairness between one generation and the next — then attach automatically, by operation of equity, whether or not the founding document recites a single one of them. When the Congress of 1785 set aside a square mile</w:t>
      </w:r>
      <w:r>
        <w:t xml:space="preserve"> </w:t>
      </w:r>
      <w:r>
        <w:t xml:space="preserve">“</w:t>
      </w:r>
      <w:r>
        <w:t xml:space="preserve">for the use of schools,</w:t>
      </w:r>
      <w:r>
        <w:t xml:space="preserve">”</w:t>
      </w:r>
      <w:r>
        <w:t xml:space="preserve"> </w:t>
      </w:r>
      <w:r>
        <w:t xml:space="preserve">it created a real trust, with real fiduciary duties, the moment a state accepted the grant. The Supreme Court said as much in 1855, calling the United States the</w:t>
      </w:r>
      <w:r>
        <w:t xml:space="preserve"> </w:t>
      </w:r>
      <w:r>
        <w:t xml:space="preserve">“</w:t>
      </w:r>
      <w:r>
        <w:t xml:space="preserve">founder of a charity</w:t>
      </w:r>
      <w:r>
        <w:t xml:space="preserve">”</w:t>
      </w:r>
      <w:r>
        <w:t xml:space="preserve"> </w:t>
      </w:r>
      <w:r>
        <w:t xml:space="preserve">and the state bound by a</w:t>
      </w:r>
      <w:r>
        <w:t xml:space="preserve"> </w:t>
      </w:r>
      <w:r>
        <w:t xml:space="preserve">“</w:t>
      </w:r>
      <w:r>
        <w:t xml:space="preserve">sacred obligation.</w:t>
      </w:r>
      <w:r>
        <w:t xml:space="preserve">”</w:t>
      </w:r>
      <w:r>
        <w:t xml:space="preserve"> </w:t>
      </w:r>
      <w:r>
        <w:t xml:space="preserve">No magic words were required, then or since. [VERIFY: Cooper v. Roberts, 59 U.S. 173 (1855) — pin quote.]</w:t>
      </w:r>
    </w:p>
    <w:p>
      <w:pPr>
        <w:pStyle w:val="BodyText"/>
      </w:pPr>
      <w:r>
        <w:t xml:space="preserve">So the duty exists. A lean, early grant in a few plain words created an obligation every bit as real, under trust law, as the most elaborate twentieth-century enabling act. It is simply wrong to rank states’ trusts as</w:t>
      </w:r>
      <w:r>
        <w:t xml:space="preserve"> </w:t>
      </w:r>
      <w:r>
        <w:t xml:space="preserve">“</w:t>
      </w:r>
      <w:r>
        <w:t xml:space="preserve">stronger</w:t>
      </w:r>
      <w:r>
        <w:t xml:space="preserve">”</w:t>
      </w:r>
      <w:r>
        <w:t xml:space="preserve"> </w:t>
      </w:r>
      <w:r>
        <w:t xml:space="preserve">by counting the words in their founding documents, and this book does not do it.</w:t>
      </w:r>
    </w:p>
    <w:p>
      <w:pPr>
        <w:pStyle w:val="BodyText"/>
      </w:pPr>
      <w:r>
        <w:t xml:space="preserve">But — and this is the half the movement kept collapsing into the first — the</w:t>
      </w:r>
      <w:r>
        <w:t xml:space="preserve"> </w:t>
      </w:r>
      <w:r>
        <w:rPr>
          <w:i/>
        </w:rPr>
        <w:t xml:space="preserve">existence</w:t>
      </w:r>
      <w:r>
        <w:t xml:space="preserve"> </w:t>
      </w:r>
      <w:r>
        <w:t xml:space="preserve">of a duty is not the same as the</w:t>
      </w:r>
      <w:r>
        <w:t xml:space="preserve"> </w:t>
      </w:r>
      <w:r>
        <w:rPr>
          <w:i/>
        </w:rPr>
        <w:t xml:space="preserve">enforceability</w:t>
      </w:r>
      <w:r>
        <w:t xml:space="preserve"> </w:t>
      </w:r>
      <w:r>
        <w:t xml:space="preserve">of a duty. A duty that exists but cannot be enforced is worth, to the child it was made for, exactly what the state chooses to give it.</w:t>
      </w:r>
    </w:p>
    <w:p>
      <w:pPr>
        <w:pStyle w:val="BodyText"/>
      </w:pPr>
      <w:r>
        <w:t xml:space="preserve">Whether a beneficiary can get into a courtroom and</w:t>
      </w:r>
      <w:r>
        <w:t xml:space="preserve"> </w:t>
      </w:r>
      <w:r>
        <w:rPr>
          <w:i/>
        </w:rPr>
        <w:t xml:space="preserve">compel</w:t>
      </w:r>
      <w:r>
        <w:t xml:space="preserve"> </w:t>
      </w:r>
      <w:r>
        <w:t xml:space="preserve">a state to honor its trust turns on a different set of questions entirely: standing, sovereign immunity, whether the constitutional language is self-executing or merely hortatory, whether anyone is named who can sue and be sued. And those questions, again and again, turn on how explicit the founding text is. Not on how</w:t>
      </w:r>
      <w:r>
        <w:t xml:space="preserve"> </w:t>
      </w:r>
      <w:r>
        <w:rPr>
          <w:i/>
        </w:rPr>
        <w:t xml:space="preserve">reverent</w:t>
      </w:r>
      <w:r>
        <w:t xml:space="preserve"> </w:t>
      </w:r>
      <w:r>
        <w:t xml:space="preserve">it sounds — on how</w:t>
      </w:r>
      <w:r>
        <w:t xml:space="preserve"> </w:t>
      </w:r>
      <w:r>
        <w:rPr>
          <w:i/>
        </w:rPr>
        <w:t xml:space="preserve">operational</w:t>
      </w:r>
      <w:r>
        <w:t xml:space="preserve"> </w:t>
      </w:r>
      <w:r>
        <w:t xml:space="preserve">it is. Does it name the obligation as a trust? Does it name a particular act as a breach? Does it name someone whose job is to sue when the breach happens? Is the compact made fundamental law, so the state cannot quietly repeal it by ordinary statute?</w:t>
      </w:r>
    </w:p>
    <w:p>
      <w:pPr>
        <w:pStyle w:val="BodyText"/>
      </w:pPr>
      <w:r>
        <w:t xml:space="preserve">The contrast in the record is stark. Oregon’s constitutional language is general. A coalition of advocates spent five years in Oregon’s courts not arguing about whether the state broke its trust, but arguing about whether anyone was even allowed to ask the question — fighting through standing, justiciability, sovereign immunity, every procedural door the vague text let the state hold shut. [VERIFY: Oregon procedural history; Court of Appeals standing ruling, Jan. 28, 2026.] New Mexico’s 1910 enabling act, by contrast, said the lands</w:t>
      </w:r>
      <w:r>
        <w:t xml:space="preserve"> </w:t>
      </w:r>
      <w:r>
        <w:t xml:space="preserve">“</w:t>
      </w:r>
      <w:r>
        <w:t xml:space="preserve">shall be held in trust,</w:t>
      </w:r>
      <w:r>
        <w:t xml:space="preserve">”</w:t>
      </w:r>
      <w:r>
        <w:t xml:space="preserve"> </w:t>
      </w:r>
      <w:r>
        <w:t xml:space="preserve">named non-conforming uses a</w:t>
      </w:r>
      <w:r>
        <w:t xml:space="preserve"> </w:t>
      </w:r>
      <w:r>
        <w:t xml:space="preserve">“</w:t>
      </w:r>
      <w:r>
        <w:t xml:space="preserve">breach of trust,</w:t>
      </w:r>
      <w:r>
        <w:t xml:space="preserve">”</w:t>
      </w:r>
      <w:r>
        <w:t xml:space="preserve"> </w:t>
      </w:r>
      <w:r>
        <w:t xml:space="preserve">and made it</w:t>
      </w:r>
      <w:r>
        <w:t xml:space="preserve"> </w:t>
      </w:r>
      <w:r>
        <w:t xml:space="preserve">“</w:t>
      </w:r>
      <w:r>
        <w:t xml:space="preserve">the duty of the Attorney General of the United States to prosecute</w:t>
      </w:r>
      <w:r>
        <w:t xml:space="preserve">”</w:t>
      </w:r>
      <w:r>
        <w:t xml:space="preserve"> </w:t>
      </w:r>
      <w:r>
        <w:t xml:space="preserve">violations. And so, in 1919, the U.S. Attorney General actually sued New Mexico and won, stopping the state from spending trust income on advertising. [VERIFY: New Mexico–Arizona Enabling Act § 10, 36 Stat. 557; Ervien v. United States, 251 U.S. 41 (1919).] Same duty in both states. In one, the beneficiaries could force performance. In the other, they spent five years just earning the right to be heard.</w:t>
      </w:r>
    </w:p>
    <w:p>
      <w:pPr>
        <w:pStyle w:val="BodyText"/>
      </w:pPr>
      <w:r>
        <w:t xml:space="preserve">So the rule for anyone building or defending a trust is not</w:t>
      </w:r>
      <w:r>
        <w:t xml:space="preserve"> </w:t>
      </w:r>
      <w:r>
        <w:t xml:space="preserve">“</w:t>
      </w:r>
      <w:r>
        <w:t xml:space="preserve">use more words.</w:t>
      </w:r>
      <w:r>
        <w:t xml:space="preserve">”</w:t>
      </w:r>
      <w:r>
        <w:t xml:space="preserve"> </w:t>
      </w:r>
      <w:r>
        <w:t xml:space="preserve">It is sharper than that:</w:t>
      </w:r>
      <w:r>
        <w:t xml:space="preserve"> </w:t>
      </w:r>
      <w:r>
        <w:rPr>
          <w:i/>
        </w:rPr>
        <w:t xml:space="preserve">the duty is constant; the enforceability is engineered.</w:t>
      </w:r>
      <w:r>
        <w:t xml:space="preserve"> </w:t>
      </w:r>
      <w:r>
        <w:t xml:space="preserve">A trust exists by intent, but it is defended by text — and by the people willing to use the text. Courts will not reliably supply the enforcement architecture after the fact. You have to write it in.</w:t>
      </w:r>
    </w:p>
    <w:p>
      <w:pPr>
        <w:pStyle w:val="BodyText"/>
      </w:pPr>
      <w:r>
        <w:t xml:space="preserve">There is a related point a careful reader should hold, because it raises the stakes. For the leanest early grants, the courts have not always agreed that there was even an enforceable federal trust at all — some opinions have called the obligation merely</w:t>
      </w:r>
      <w:r>
        <w:t xml:space="preserve"> </w:t>
      </w:r>
      <w:r>
        <w:t xml:space="preserve">“</w:t>
      </w:r>
      <w:r>
        <w:t xml:space="preserve">honorary.</w:t>
      </w:r>
      <w:r>
        <w:t xml:space="preserve">”</w:t>
      </w:r>
      <w:r>
        <w:t xml:space="preserve"> </w:t>
      </w:r>
      <w:r>
        <w:t xml:space="preserve">[VERIFY: Alabama v. Schmidt, 232 U.S. 168 (1914); Papasan v. Allain, 478 U.S. 265 (1986).] The way out of that trap is the idea that the grant was not a gift but a</w:t>
      </w:r>
      <w:r>
        <w:t xml:space="preserve"> </w:t>
      </w:r>
      <w:r>
        <w:rPr>
          <w:i/>
        </w:rPr>
        <w:t xml:space="preserve">bargained-for compact</w:t>
      </w:r>
      <w:r>
        <w:t xml:space="preserve"> </w:t>
      </w:r>
      <w:r>
        <w:t xml:space="preserve">— the United States ceding land in exchange for the state’s binding commitment to use it for schools, a deal the state cannot later rewrite by itself. The Supreme Court has described the school-land grant as a</w:t>
      </w:r>
      <w:r>
        <w:t xml:space="preserve"> </w:t>
      </w:r>
      <w:r>
        <w:t xml:space="preserve">“</w:t>
      </w:r>
      <w:r>
        <w:t xml:space="preserve">solemn agreement</w:t>
      </w:r>
      <w:r>
        <w:t xml:space="preserve">”</w:t>
      </w:r>
      <w:r>
        <w:t xml:space="preserve"> </w:t>
      </w:r>
      <w:r>
        <w:t xml:space="preserve">that</w:t>
      </w:r>
      <w:r>
        <w:t xml:space="preserve"> </w:t>
      </w:r>
      <w:r>
        <w:t xml:space="preserve">“</w:t>
      </w:r>
      <w:r>
        <w:t xml:space="preserve">may be analogized to a contract between private parties.</w:t>
      </w:r>
      <w:r>
        <w:t xml:space="preserve">”</w:t>
      </w:r>
      <w:r>
        <w:t xml:space="preserve"> </w:t>
      </w:r>
      <w:r>
        <w:t xml:space="preserve">[VERIFY: Andrus v. Utah, 446 U.S. 500, 507 (1980).] A gift, a legislature can argue it kept the power to repurpose. A compact, the legislature is bound to — irrevocable without the other party’s consent. That is the doctrinal bridge from</w:t>
      </w:r>
      <w:r>
        <w:t xml:space="preserve"> </w:t>
      </w:r>
      <w:r>
        <w:t xml:space="preserve">“</w:t>
      </w:r>
      <w:r>
        <w:t xml:space="preserve">the duty exists but you can’t reach it</w:t>
      </w:r>
      <w:r>
        <w:t xml:space="preserve">”</w:t>
      </w:r>
      <w:r>
        <w:t xml:space="preserve"> </w:t>
      </w:r>
      <w:r>
        <w:t xml:space="preserve">to</w:t>
      </w:r>
      <w:r>
        <w:t xml:space="preserve"> </w:t>
      </w:r>
      <w:r>
        <w:t xml:space="preserve">“</w:t>
      </w:r>
      <w:r>
        <w:t xml:space="preserve">the duty is a contract, and the courts will enforce it.</w:t>
      </w:r>
      <w:r>
        <w:t xml:space="preserve">”</w:t>
      </w:r>
      <w:r>
        <w:t xml:space="preserve"> </w:t>
      </w:r>
      <w:r>
        <w:t xml:space="preserve">Build the trust as a compact, not a gift.</w:t>
      </w:r>
    </w:p>
    <w:p>
      <w:pPr>
        <w:pStyle w:val="BodyText"/>
      </w:pPr>
      <w:r>
        <w:t xml:space="preserve">With that distinction in hand, the build list.</w:t>
      </w:r>
    </w:p>
    <w:p>
      <w:pPr>
        <w:pStyle w:val="Heading3"/>
      </w:pPr>
      <w:bookmarkStart w:id="27" w:name="the-seven-anchors"/>
      <w:r>
        <w:t xml:space="preserve">The seven anchors</w:t>
      </w:r>
      <w:bookmarkEnd w:id="27"/>
    </w:p>
    <w:p>
      <w:pPr>
        <w:pStyle w:val="FirstParagraph"/>
      </w:pPr>
      <w:r>
        <w:t xml:space="preserve">These come straight out of the record — out of what worked where, what failed where, and what was visibly missing in the failures. Each one is already in operation somewhere; none is theoretical. Think of them as anchors on a ship, and the trust as the vessel that has to ride out two centuries of weather.</w:t>
      </w:r>
    </w:p>
    <w:p>
      <w:pPr>
        <w:pStyle w:val="BodyText"/>
      </w:pPr>
      <w:r>
        <w:rPr>
          <w:b/>
        </w:rPr>
        <w:t xml:space="preserve">One — codified fiduciary duties.</w:t>
      </w:r>
      <w:r>
        <w:t xml:space="preserve"> </w:t>
      </w:r>
      <w:r>
        <w:t xml:space="preserve">Put the trust beyond rhetorical reach. State law should declare, in words a court cannot misread, that the trustees owe undivided loyalty to the beneficiaries, that the sole-interest rule applies, and that treating trust assets as ordinary state assets is a breach. Utah did exactly this in 1994, codifying</w:t>
      </w:r>
      <w:r>
        <w:t xml:space="preserve"> </w:t>
      </w:r>
      <w:r>
        <w:t xml:space="preserve">“</w:t>
      </w:r>
      <w:r>
        <w:t xml:space="preserve">undivided loyalty</w:t>
      </w:r>
      <w:r>
        <w:t xml:space="preserve">”</w:t>
      </w:r>
      <w:r>
        <w:t xml:space="preserve"> </w:t>
      </w:r>
      <w:r>
        <w:t xml:space="preserve">and the duty to administer the corpus</w:t>
      </w:r>
      <w:r>
        <w:t xml:space="preserve"> </w:t>
      </w:r>
      <w:r>
        <w:t xml:space="preserve">“</w:t>
      </w:r>
      <w:r>
        <w:t xml:space="preserve">for the exclusive benefit</w:t>
      </w:r>
      <w:r>
        <w:t xml:space="preserve">”</w:t>
      </w:r>
      <w:r>
        <w:t xml:space="preserve"> </w:t>
      </w:r>
      <w:r>
        <w:t xml:space="preserve">of the beneficiaries. [VERIFY: Utah Code § 53C-1-102.] Most states have not. The duty is theirs whether they say it or not — but spelling it out is what gives a future lawsuit a target the state’s attorneys cannot argue away.</w:t>
      </w:r>
    </w:p>
    <w:p>
      <w:pPr>
        <w:pStyle w:val="BodyText"/>
      </w:pPr>
      <w:r>
        <w:rPr>
          <w:b/>
        </w:rPr>
        <w:t xml:space="preserve">Two — asset restoration.</w:t>
      </w:r>
      <w:r>
        <w:t xml:space="preserve"> </w:t>
      </w:r>
      <w:r>
        <w:t xml:space="preserve">A trust loses ground in increments: a diversion here, a transfer there, a forest sold over the beneficiaries’ objection, a percentage point off the distribution rate. Over decades the increments compound. The second anchor requires that diverted assets be returned. The doctrinal hook is the</w:t>
      </w:r>
      <w:r>
        <w:t xml:space="preserve"> </w:t>
      </w:r>
      <w:r>
        <w:t xml:space="preserve">“</w:t>
      </w:r>
      <w:r>
        <w:t xml:space="preserve">null and void</w:t>
      </w:r>
      <w:r>
        <w:t xml:space="preserve">”</w:t>
      </w:r>
      <w:r>
        <w:t xml:space="preserve"> </w:t>
      </w:r>
      <w:r>
        <w:t xml:space="preserve">language that runs through the federal enabling acts — any disposition contrary to the trust is void, which means the asset can be recovered. [VERIFY: Omnibus Enabling Act of 1889; New Mexico–Arizona Act of 1910.] What most states lack is not the doctrine but the</w:t>
      </w:r>
      <w:r>
        <w:t xml:space="preserve"> </w:t>
      </w:r>
      <w:r>
        <w:rPr>
          <w:i/>
        </w:rPr>
        <w:t xml:space="preserve">mechanism</w:t>
      </w:r>
      <w:r>
        <w:t xml:space="preserve"> </w:t>
      </w:r>
      <w:r>
        <w:t xml:space="preserve">to turn a breach into a recovery. Where restoration has happened, it has done two things: returned the corpus, and reset the baseline against which the next generation measures the next drift.</w:t>
      </w:r>
    </w:p>
    <w:p>
      <w:pPr>
        <w:pStyle w:val="BodyText"/>
      </w:pPr>
      <w:r>
        <w:rPr>
          <w:b/>
        </w:rPr>
        <w:t xml:space="preserve">Three — individual accountability, and the state held to account too.</w:t>
      </w:r>
      <w:r>
        <w:t xml:space="preserve"> </w:t>
      </w:r>
      <w:r>
        <w:t xml:space="preserve">Boards dissolve responsibility. A vote is taken, the harm is diffuse, and afterward every trustee can say the board acted, not me. The old trust-law rule is blunt: a trustee who joins in a breach is personally liable for it. Restore that by statute — a board member who votes to divert the children’s assets answers for it personally. But individual liability is only half. The state is also the trustee; the institution itself owes the duties and can breach them. When a State Land Board drifts across forty years and a dozen turnovers, the breach lives in the institutional pattern, not only in whichever trustee’s name is on a given year’s minutes. So the architecture has to hold both available: the trustees personally liable, the state institutionally liable, and the beneficiaries owed restoration from whichever one the recovery can be had from. Closing both escape hatches is the point. [Frame attributed to Margaret Bird’s insistence on calling the state to account; flag for her review.]</w:t>
      </w:r>
    </w:p>
    <w:p>
      <w:pPr>
        <w:pStyle w:val="BodyText"/>
      </w:pPr>
      <w:r>
        <w:rPr>
          <w:b/>
        </w:rPr>
        <w:t xml:space="preserve">Four — direct distribution.</w:t>
      </w:r>
      <w:r>
        <w:t xml:space="preserve"> </w:t>
      </w:r>
      <w:r>
        <w:t xml:space="preserve">This is the quiet engine of the whole machine, and Utah built it. Under Utah’s School LAND Trust Program, a portion of the trust’s earnings flows on a per-pupil basis directly to individual schools — visible to the teachers, parents, and principals in each building, governed by a council at each school that by law must have a parent majority. [VERIFY: Utah School LAND Trust Program, est. 1999.] The effect is structural genius. It converts beneficiaries who cannot vote — the children — into surrogate beneficiaries who can: their parents, their teachers, the whole civic web of the school. When a governor reaches for the fund, the objection comes not from one advocacy office but from every school in the state with money on the table. Every classroom becomes an outpost of the trust’s defense. Contrast the states without it, where the</w:t>
      </w:r>
      <w:r>
        <w:t xml:space="preserve"> </w:t>
      </w:r>
      <w:r>
        <w:t xml:space="preserve">“</w:t>
      </w:r>
      <w:r>
        <w:t xml:space="preserve">distribution</w:t>
      </w:r>
      <w:r>
        <w:t xml:space="preserve">”</w:t>
      </w:r>
      <w:r>
        <w:t xml:space="preserve"> </w:t>
      </w:r>
      <w:r>
        <w:t xml:space="preserve">is the state handing the schools back their own money from the general fund and calling it generosity — handing you your wallet after taking out the cash. Direct distribution forces the trust to behave like a trust at the exact point where the money lands, and the visibility is the discipline.</w:t>
      </w:r>
    </w:p>
    <w:p>
      <w:pPr>
        <w:pStyle w:val="BodyText"/>
      </w:pPr>
      <w:r>
        <w:rPr>
          <w:b/>
        </w:rPr>
        <w:t xml:space="preserve">Five — independent beneficiary advocacy.</w:t>
      </w:r>
      <w:r>
        <w:t xml:space="preserve"> </w:t>
      </w:r>
      <w:r>
        <w:t xml:space="preserve">Give the beneficiary side its own office, separate from the agency that manages the land. Utah, again, has the working model: a Land Trusts Protection and Advocacy Office, established in 2018, statutorily separate, with its own director, its own budget, and a mandate that begins and ends with the welfare of the beneficiary — including the duty to argue</w:t>
      </w:r>
      <w:r>
        <w:t xml:space="preserve"> </w:t>
      </w:r>
      <w:r>
        <w:rPr>
          <w:i/>
        </w:rPr>
        <w:t xml:space="preserve">against</w:t>
      </w:r>
      <w:r>
        <w:t xml:space="preserve"> </w:t>
      </w:r>
      <w:r>
        <w:t xml:space="preserve">the state treasury and the legislature when their interests collide with the trust’s. [VERIFY: Utah Code Title 53D, ch. 2.] Most states have nothing like it. The model is on the books; replication is a matter of will, not invention.</w:t>
      </w:r>
    </w:p>
    <w:p>
      <w:pPr>
        <w:pStyle w:val="BodyText"/>
      </w:pPr>
      <w:r>
        <w:rPr>
          <w:b/>
        </w:rPr>
        <w:t xml:space="preserve">Six — specialized legal defense.</w:t>
      </w:r>
      <w:r>
        <w:t xml:space="preserve"> </w:t>
      </w:r>
      <w:r>
        <w:t xml:space="preserve">A state Attorney General serves many state clients, and when the trust’s interest collides with the general fund’s — as it eventually always does — the AG is structurally compromised. So give the trust its own counsel: independent lawyers, chosen by the beneficiary advocacy office, paid from the trust’s own funds, accountable to the trust alone. The federal model is old; the 1910 act authorized enforcement by the U.S. Attorney General precisely to build in a path that did not run through the state’s own conflicted officers. The cost is small. The effect is large: it separates the sword that defends the trust from the political hand that, over time, would otherwise blunt it.</w:t>
      </w:r>
    </w:p>
    <w:p>
      <w:pPr>
        <w:pStyle w:val="BodyText"/>
      </w:pPr>
      <w:r>
        <w:rPr>
          <w:b/>
        </w:rPr>
        <w:t xml:space="preserve">Seven — mandatory fiduciary education.</w:t>
      </w:r>
      <w:r>
        <w:t xml:space="preserve"> </w:t>
      </w:r>
      <w:r>
        <w:t xml:space="preserve">In most public-land states the trustees are elected officials — a governor, a treasurer, a secretary of state — whose training is political, not fiduciary. They are trustees because the constitution names them trustees, and most of them have had no instruction in trust law, the sole-interest rule, or what</w:t>
      </w:r>
      <w:r>
        <w:t xml:space="preserve"> </w:t>
      </w:r>
      <w:r>
        <w:t xml:space="preserve">“</w:t>
      </w:r>
      <w:r>
        <w:t xml:space="preserve">undivided loyalty</w:t>
      </w:r>
      <w:r>
        <w:t xml:space="preserve">”</w:t>
      </w:r>
      <w:r>
        <w:t xml:space="preserve"> </w:t>
      </w:r>
      <w:r>
        <w:t xml:space="preserve">actually requires of them day to day. So require it: a structured annual training, taught by independent practitioners and not by the agency the trustees oversee, with completion a condition of staying in office. The repetition is the point. Once a year, the political mind is told the thing it is built to forget: that the duty is not to the institution’s comfort, not to the legislature’s math, not to the moment — but to the beneficiary.</w:t>
      </w:r>
    </w:p>
    <w:p>
      <w:pPr>
        <w:pStyle w:val="Heading3"/>
      </w:pPr>
      <w:bookmarkStart w:id="28" w:name="why-the-list-is-not-enough-by-itself"/>
      <w:r>
        <w:t xml:space="preserve">Why the list is not enough by itself</w:t>
      </w:r>
      <w:bookmarkEnd w:id="28"/>
    </w:p>
    <w:p>
      <w:pPr>
        <w:pStyle w:val="FirstParagraph"/>
      </w:pPr>
      <w:r>
        <w:t xml:space="preserve">Build all seven and you have a trust that can be defended. You do not yet have a trust that</w:t>
      </w:r>
      <w:r>
        <w:t xml:space="preserve"> </w:t>
      </w:r>
      <w:r>
        <w:rPr>
          <w:i/>
        </w:rPr>
        <w:t xml:space="preserve">will</w:t>
      </w:r>
      <w:r>
        <w:t xml:space="preserve"> </w:t>
      </w:r>
      <w:r>
        <w:t xml:space="preserve">be.</w:t>
      </w:r>
    </w:p>
    <w:p>
      <w:pPr>
        <w:pStyle w:val="BodyText"/>
      </w:pPr>
      <w:r>
        <w:t xml:space="preserve">Two cautions close the chapter. The first is that these seven defend mainly against drift by deviation — the cognitive, institutional, and political-silence failures the record names. They are weaker against drift by</w:t>
      </w:r>
      <w:r>
        <w:t xml:space="preserve"> </w:t>
      </w:r>
      <w:r>
        <w:rPr>
          <w:i/>
        </w:rPr>
        <w:t xml:space="preserve">redefinition</w:t>
      </w:r>
      <w:r>
        <w:t xml:space="preserve">, where the corpus, the purpose, or the very definition of the beneficiary class is quietly rewritten until the trust still exists on paper but means something else. That requires defenses of a different kind: periodic adversarial review of the compact, bounded authority to translate assets, beneficiary-class definitions specific enough to defend their own boundaries when contested.</w:t>
      </w:r>
    </w:p>
    <w:p>
      <w:pPr>
        <w:pStyle w:val="BodyText"/>
      </w:pPr>
      <w:r>
        <w:t xml:space="preserve">The second caution is the one the whole rest of this book turns on. Utah had strong architecture and still nearly lost its trust — until a constituency arrived to pull the levers the architecture provided. Text without a constituency is inert; a constituency without enforceable text has nothing to pull. The seven anchors are statutes and opinions; they are the legible part of accountability. They do not set themselves, and they do not check themselves. An anchor no one inspects is, in the next storm, indistinguishable from no anchor at all.</w:t>
      </w:r>
    </w:p>
    <w:p>
      <w:pPr>
        <w:pStyle w:val="BodyText"/>
      </w:pPr>
      <w:r>
        <w:t xml:space="preserve">Which is why there is an eighth anchor, and why it is not a law. It is people. That is the next chapter.</w:t>
      </w:r>
    </w:p>
    <w:p>
      <w:r>
        <w:pict>
          <v:rect style="width:0;height:1.5pt" o:hralign="center" o:hrstd="t" o:hr="t"/>
        </w:pict>
      </w:r>
    </w:p>
    <w:p>
      <w:pPr>
        <w:pStyle w:val="FirstParagraph"/>
      </w:pPr>
      <w:r>
        <w:rPr>
          <w:i/>
        </w:rPr>
        <w:t xml:space="preserve">[Footnotes / source notes to be attached in a later pass. The seven-anchor formulation is carried from the companion record and the project’s canonical claims. All case and statute citations above carry [VERIFY] and must be checked against primary text before any public use — the existence/enforceability and compact-vs-gift authorities are drawn from the internal doctrinal memos of May 29, 2026, where the Ervien misquote and the Schmidt/Papasan</w:t>
      </w:r>
      <w:r>
        <w:rPr>
          <w:i/>
        </w:rPr>
        <w:t xml:space="preserve"> </w:t>
      </w:r>
      <w:r>
        <w:rPr>
          <w:i/>
        </w:rPr>
        <w:t xml:space="preserve">“</w:t>
      </w:r>
      <w:r>
        <w:rPr>
          <w:i/>
        </w:rPr>
        <w:t xml:space="preserve">honorary</w:t>
      </w:r>
      <w:r>
        <w:rPr>
          <w:i/>
        </w:rPr>
        <w:t xml:space="preserve">”</w:t>
      </w:r>
      <w:r>
        <w:rPr>
          <w:i/>
        </w:rPr>
        <w:t xml:space="preserve"> </w:t>
      </w:r>
      <w:r>
        <w:rPr>
          <w:i/>
        </w:rPr>
        <w:t xml:space="preserve">caution are documented. The third-anchor institutional-accountability framing is attributed to Margaret Bird and flagged for her review; she is not presented here as endorsing this volume.]</w:t>
      </w:r>
    </w:p>
    <w:p>
      <w:pPr>
        <w:pStyle w:val="Heading1"/>
      </w:pPr>
      <w:bookmarkStart w:id="29" w:name="X233e8833a6d1f4c622bf5fd66f3eab763385b78"/>
      <w:r>
        <w:t xml:space="preserve">Chapter 3 — The Coalition: The Eighth Anchor as People</w:t>
      </w:r>
      <w:bookmarkEnd w:id="29"/>
    </w:p>
    <w:p>
      <w:pPr>
        <w:pStyle w:val="FirstParagraph"/>
      </w:pPr>
      <w:r>
        <w:t xml:space="preserve">Anchors do not set themselves.</w:t>
      </w:r>
    </w:p>
    <w:p>
      <w:pPr>
        <w:pStyle w:val="BodyText"/>
      </w:pPr>
      <w:r>
        <w:t xml:space="preserve">That is the whole of the matter, and it is worth sitting with, because it is the part of the architecture the framers of 1785 could not build and the part most easily lost today. You can write the seven defenses of the last chapter into a state’s law — codified duties, restoration, accountability, direct distribution, advocacy, independent counsel, mandatory education — and you will have built a beautiful set of anchors. And an anchor that no one inspects, that no crew drops when the storm comes up, is at the next storm indistinguishable from no anchor at all.</w:t>
      </w:r>
    </w:p>
    <w:p>
      <w:pPr>
        <w:pStyle w:val="BodyText"/>
      </w:pPr>
      <w:r>
        <w:t xml:space="preserve">The eighth anchor is the crew. It is people. And in Margaret Bird’s framing — which is the right one — it is not a future tool to be invented but the thing the school-trust community is building right now: a standing body of citizens who watch, document, and inform, so that when someone reaches for the children’s share, somebody is there to say</w:t>
      </w:r>
      <w:r>
        <w:t xml:space="preserve"> </w:t>
      </w:r>
      <w:r>
        <w:rPr>
          <w:i/>
        </w:rPr>
        <w:t xml:space="preserve">wait — you can’t do that.</w:t>
      </w:r>
      <w:r>
        <w:t xml:space="preserve"> </w:t>
      </w:r>
      <w:r>
        <w:t xml:space="preserve">“</w:t>
      </w:r>
      <w:r>
        <w:t xml:space="preserve">If nobody says you can’t do that,</w:t>
      </w:r>
      <w:r>
        <w:t xml:space="preserve">”</w:t>
      </w:r>
      <w:r>
        <w:t xml:space="preserve"> </w:t>
      </w:r>
      <w:r>
        <w:t xml:space="preserve">as she put it,</w:t>
      </w:r>
      <w:r>
        <w:t xml:space="preserve"> </w:t>
      </w:r>
      <w:r>
        <w:t xml:space="preserve">“</w:t>
      </w:r>
      <w:r>
        <w:t xml:space="preserve">then they just get to do it.</w:t>
      </w:r>
      <w:r>
        <w:t xml:space="preserve">”</w:t>
      </w:r>
      <w:r>
        <w:t xml:space="preserve"> </w:t>
      </w:r>
      <w:r>
        <w:t xml:space="preserve">[Quote in spirit from Margaret Bird, May 5, 2026; attributed to her, flagged for her review.]</w:t>
      </w:r>
    </w:p>
    <w:p>
      <w:pPr>
        <w:pStyle w:val="BodyText"/>
      </w:pPr>
      <w:r>
        <w:t xml:space="preserve">That sentence is the whole diagnosis of two centuries of drift, and it is the whole job description of the coalition.</w:t>
      </w:r>
    </w:p>
    <w:p>
      <w:pPr>
        <w:pStyle w:val="Heading3"/>
      </w:pPr>
      <w:bookmarkStart w:id="30" w:name="the-records-clearest-lesson"/>
      <w:r>
        <w:t xml:space="preserve">The record’s clearest lesson</w:t>
      </w:r>
      <w:bookmarkEnd w:id="30"/>
    </w:p>
    <w:p>
      <w:pPr>
        <w:pStyle w:val="FirstParagraph"/>
      </w:pPr>
      <w:r>
        <w:t xml:space="preserve">The record makes the case better than any argument could, because it ran the experiment both ways.</w:t>
      </w:r>
    </w:p>
    <w:p>
      <w:pPr>
        <w:pStyle w:val="BodyText"/>
      </w:pPr>
      <w:r>
        <w:t xml:space="preserve">Oregon, before 1990, had one of the stronger trust architectures in the country. The protections were on paper; the structure was sound for its century. And the trust drifted anyway. It drifted because the people who had kept the architecture honest in practice — the mission-minded state foresters, the timber technicians who treated sustained yield as a fiduciary obligation, the school administrators who spoke for the beneficiary at every hearing, a legislative culture in which the trust’s status as a trust simply went unquestioned — that cohort thinned out faster than the paper architecture could compensate for. The defenses held in the statute book and dissolved in the room where decisions were made. Nobody, in enough numbers and for enough years, was there to say</w:t>
      </w:r>
      <w:r>
        <w:t xml:space="preserve"> </w:t>
      </w:r>
      <w:r>
        <w:rPr>
          <w:i/>
        </w:rPr>
        <w:t xml:space="preserve">you can’t do that.</w:t>
      </w:r>
      <w:r>
        <w:t xml:space="preserve"> </w:t>
      </w:r>
      <w:r>
        <w:t xml:space="preserve">So, in the end, they did.</w:t>
      </w:r>
    </w:p>
    <w:p>
      <w:pPr>
        <w:pStyle w:val="BodyText"/>
      </w:pPr>
      <w:r>
        <w:t xml:space="preserve">Utah ran it the other way. Utah’s modern recovery is not the story of a clever statute. It is the story of strong architecture</w:t>
      </w:r>
      <w:r>
        <w:t xml:space="preserve"> </w:t>
      </w:r>
      <w:r>
        <w:rPr>
          <w:i/>
        </w:rPr>
        <w:t xml:space="preserve">plus</w:t>
      </w:r>
      <w:r>
        <w:t xml:space="preserve"> </w:t>
      </w:r>
      <w:r>
        <w:t xml:space="preserve">a community that treated the architecture as binding and showed up, decade after decade, to enforce it. The PTA. The teachers. The parents on the school-community councils. The advocacy office. The journalists who covered the fund as if it mattered, because it did. The legislators who learned, the hard way, that reaching for the trust meant answering to every school in the state. When a chief investment officer in the governor’s office said, in 2017,</w:t>
      </w:r>
      <w:r>
        <w:t xml:space="preserve"> </w:t>
      </w:r>
      <w:r>
        <w:t xml:space="preserve">“</w:t>
      </w:r>
      <w:r>
        <w:t xml:space="preserve">My job is to defend the trust,</w:t>
      </w:r>
      <w:r>
        <w:t xml:space="preserve">”</w:t>
      </w:r>
      <w:r>
        <w:t xml:space="preserve"> </w:t>
      </w:r>
      <w:r>
        <w:t xml:space="preserve">he was not being brave in a vacuum. He was saying a line that an institutional culture and a watching public expected him to say — and would have noticed if he hadn’t. [VERIFY: Tim Dawson, Utah, 2017; per Margaret Bird’s first-hand account.]</w:t>
      </w:r>
    </w:p>
    <w:p>
      <w:pPr>
        <w:pStyle w:val="BodyText"/>
      </w:pPr>
      <w:r>
        <w:t xml:space="preserve">That is the difference between the two states, and it is not a difference in their laws. It is a difference in their crews.</w:t>
      </w:r>
    </w:p>
    <w:p>
      <w:pPr>
        <w:pStyle w:val="BodyText"/>
      </w:pPr>
      <w:r>
        <w:t xml:space="preserve">There is one more thread in the record worth pulling, because it tells the coalition something specific about its own shape. In the modern enforcement cases — the lawsuits that actually recovered ground for school trusts — there is a feature every successful one shares: a non-profit organization at the center of the plaintiff team. Not a lone aggrieved citizen, not the state acting against itself, but an organized body with standing, staying power, and a mandate. [VERIFY: non-profit-plaintiff finding across modern enforcement cases.] The reason is not mysterious. A child cannot sue. A school, in most states, cannot sue the hand that feeds it. Somebody has to be organized enough, and durable enough, to be the plaintiff — and to still be there for the appeal three years later. The coalition is not optional decoration on the litigation. In case after case, it is the thing that made the litigation possible at all.</w:t>
      </w:r>
    </w:p>
    <w:p>
      <w:pPr>
        <w:pStyle w:val="Heading3"/>
      </w:pPr>
      <w:bookmarkStart w:id="31" w:name="what-the-crew-actually-is"/>
      <w:r>
        <w:t xml:space="preserve">What the crew actually is</w:t>
      </w:r>
      <w:bookmarkEnd w:id="31"/>
    </w:p>
    <w:p>
      <w:pPr>
        <w:pStyle w:val="FirstParagraph"/>
      </w:pPr>
      <w:r>
        <w:t xml:space="preserve">So who is the watchful crew, in plain terms?</w:t>
      </w:r>
    </w:p>
    <w:p>
      <w:pPr>
        <w:pStyle w:val="BodyText"/>
      </w:pPr>
      <w:r>
        <w:t xml:space="preserve">At the national level there is the Advocates for School Trust Lands — ASTL — the organization that holds the whole picture across all the trust-land states, convenes the people doing the work, and keeps the shared record. [VERIFY: ASTL establishment and current scope.] At the state level there are the affiliates: the Oregon Advocates for School Trust Lands and its counterparts forming in other states, each carrying its own state’s fight, its own legislature, its own live cases. Around both are the parts of the crew that don’t carry an organizational title at all — the teachers and parents on a school council in Utah, the citizen who notices a suspicious land exchange in New Mexico, the retired professional who reads the State Land Board minutes that no one else reads, the journalist who runs the story, the lawyer who takes the case pro bono because the cause is right.</w:t>
      </w:r>
    </w:p>
    <w:p>
      <w:pPr>
        <w:pStyle w:val="BodyText"/>
      </w:pPr>
      <w:r>
        <w:t xml:space="preserve">None of these people, by themselves, is the eighth anchor. The eighth anchor is what they become together, and what they sustain over time: a community of practice in the literal sense — a craft, held by enough people, transmitted to the next set of hands before the current set tires.</w:t>
      </w:r>
    </w:p>
    <w:p>
      <w:pPr>
        <w:pStyle w:val="BodyText"/>
      </w:pPr>
      <w:r>
        <w:t xml:space="preserve">It is worth saying that this is not a new kind of thing in American life, even if it is new in this domain. In the 1970s, the old craft of timber framing had very nearly disappeared from working memory in this country. A handful of people refused to let it die. Jack Sobon walked the surviving New England barns and took their joinery apart in measured drawings, recovering the technique piece by piece. Tedd Benson built a company that trained the next generation of framers. In 1985 they and a few others founded the Timber Framers Guild — conferences, a journal, a training program — and the craft came back, carried now by far more hands than the few who had rescued it. [VERIFY: Sobon, Benson, Timber Framers Guild founding 1985.] The pattern was four steps: recover the technique; write it down in plain language so others can replicate it; build the institution that holds it; run the workshops and the community that let the technique compound faster than any one practitioner could manage alone.</w:t>
      </w:r>
    </w:p>
    <w:p>
      <w:pPr>
        <w:pStyle w:val="BodyText"/>
      </w:pPr>
      <w:r>
        <w:t xml:space="preserve">That is exactly the pattern the school-trust coalition is following, and the Library — which the next chapter is about — is the institution at step three. The point of the timber-framing story is not that the school trust is like a barn. The point is that a civic craft, once nearly lost, can be deliberately revived and carried forward when one generation does the archaeology and the next builds the institution to hold it. It has been done. It is being done again.</w:t>
      </w:r>
    </w:p>
    <w:p>
      <w:pPr>
        <w:pStyle w:val="Heading3"/>
      </w:pPr>
      <w:bookmarkStart w:id="32" w:name="X69a015d5df4d963bd080eacdf99d4c63cae0e46"/>
      <w:r>
        <w:t xml:space="preserve">How a state chapter forms, and how it endures</w:t>
      </w:r>
      <w:bookmarkEnd w:id="32"/>
    </w:p>
    <w:p>
      <w:pPr>
        <w:pStyle w:val="FirstParagraph"/>
      </w:pPr>
      <w:r>
        <w:t xml:space="preserve">The practical question a reader in, say, Idaho or New Mexico or Washington will have is: what does joining actually look like, and how does a state affiliate get started?</w:t>
      </w:r>
    </w:p>
    <w:p>
      <w:pPr>
        <w:pStyle w:val="BodyText"/>
      </w:pPr>
      <w:r>
        <w:t xml:space="preserve">It is more ordinary than it sounds. A state chapter does not begin with a mass movement. It begins with a few people who know the story and decide the record in their state deserves a keeper. They find each other — increasingly, through the Library and the national organization, which exist precisely to make that finding easier than it used to be. They start assembling their state’s dossier: the enabling-act language, the constitutional provisions, the history of the trust’s acreage and revenue, the diversions, the current administration of the fund. They learn their state’s particular weak point — is the text general, like Oregon’s, or does it have teeth, like New Mexico’s? Is there direct distribution, or are the schools mere payees? Is there an advocacy office, or is the beneficiary unrepresented? The build list of the last chapter doubles as a diagnostic. A new chapter can hold its state up against the seven anchors and see, immediately, where the gaps are.</w:t>
      </w:r>
    </w:p>
    <w:p>
      <w:pPr>
        <w:pStyle w:val="BodyText"/>
      </w:pPr>
      <w:r>
        <w:t xml:space="preserve">And then the work is the unglamorous, durable work of presence: showing up at the hearings, reading the minutes, filing the records requests, writing the legislator, running the story, being the organized non-profit that can be the plaintiff if it comes to that. None of it requires heroism. It requires that enough people keep doing it after the founders tire — which is the hard part, and the part the architecture cannot supply.</w:t>
      </w:r>
    </w:p>
    <w:p>
      <w:pPr>
        <w:pStyle w:val="BodyText"/>
      </w:pPr>
      <w:r>
        <w:t xml:space="preserve">Because here is the failure mode the coalition has to design against, the one Oregon teaches: a community of practice can dissipate in a single decade if the institutions that carry it lose their leadership, their funding, or their memory. The seven anchors, once installed, are hard to remove without leaving evidence; they are statutes and opinions. The eighth anchor is softer and more perishable. It depends on transmission — on the founding generation deliberately handing the craft to the next before it ages out, the way the timber framers did, rather than assuming the next generation will absorb by osmosis what the current one knows in its bones. The framers of 1785 made exactly that assumption about the whole country, and the country forgot. A coalition that wants to last has to refuse the assumption and build the handoff in.</w:t>
      </w:r>
    </w:p>
    <w:p>
      <w:pPr>
        <w:pStyle w:val="BodyText"/>
      </w:pPr>
      <w:r>
        <w:t xml:space="preserve">This is the place, too, where the new tools matter most, and I’ll only point at it here because it is the whole subject of the next chapter. The reason the crew has always been too small is that the knowledge it needed was too expensive to acquire and too hard to hold across generations. Both of those costs have just fallen, hard. The barrier that kept the watchful crew small enough for a single bureaucracy to outlast it has come down. For the first time, the eighth anchor can be built at the scale the trust actually needs.</w:t>
      </w:r>
    </w:p>
    <w:p>
      <w:pPr>
        <w:pStyle w:val="Heading3"/>
      </w:pPr>
      <w:bookmarkStart w:id="33" w:name="the-crew-and-the-gift"/>
      <w:r>
        <w:t xml:space="preserve">The crew and the gift</w:t>
      </w:r>
      <w:bookmarkEnd w:id="33"/>
    </w:p>
    <w:p>
      <w:pPr>
        <w:pStyle w:val="FirstParagraph"/>
      </w:pPr>
      <w:r>
        <w:t xml:space="preserve">A forever gift, Margaret Bird says, to forever schools, for a forever democracy.</w:t>
      </w:r>
    </w:p>
    <w:p>
      <w:pPr>
        <w:pStyle w:val="BodyText"/>
      </w:pPr>
      <w:r>
        <w:t xml:space="preserve">Read it as a structural claim and not just a beautiful line, and it tells you exactly why the coalition is the point. A forever gift presupposes a forever community to receive it and guard it. A forever school presupposes a forever insistence that it stay funded. A forever democracy presupposes citizens who, generation after generation, refuse to let any one quiet diversion stand. The architecture cannot do that work. Architecture is what makes accountability legible. The crew is what makes accountability operate.</w:t>
      </w:r>
    </w:p>
    <w:p>
      <w:pPr>
        <w:pStyle w:val="BodyText"/>
      </w:pPr>
      <w:r>
        <w:t xml:space="preserve">The seven anchors are necessary. The eighth anchor — the watchful crew, the standing constituency, the people — is what makes the seven mean anything across the kind of time a forever gift is supposed to last.</w:t>
      </w:r>
    </w:p>
    <w:p>
      <w:pPr>
        <w:pStyle w:val="BodyText"/>
      </w:pPr>
      <w:r>
        <w:t xml:space="preserve">And the crew needs a place to do its work, a shared memory it can all draw on and add to, an institution that holds the record when any individual’s memory fails. That place is the Library. It is the subject of the next chapter, and it is the eighth anchor’s other half.</w:t>
      </w:r>
    </w:p>
    <w:p>
      <w:r>
        <w:pict>
          <v:rect style="width:0;height:1.5pt" o:hralign="center" o:hrstd="t" o:hr="t"/>
        </w:pict>
      </w:r>
    </w:p>
    <w:p>
      <w:pPr>
        <w:pStyle w:val="FirstParagraph"/>
      </w:pPr>
      <w:r>
        <w:rPr>
          <w:i/>
        </w:rPr>
        <w:t xml:space="preserve">[Footnotes / source notes to be attached in a later pass. The Oregon-dissipation and Utah-recovery contrasts, the non-profit-plaintiff finding, the Tim Dawson account, and the Timber Framers Guild precedent are carried from the companion record and project canonical claims; all carry [VERIFY] pending primary-source pins. Margaret Bird’s</w:t>
      </w:r>
      <w:r>
        <w:rPr>
          <w:i/>
        </w:rPr>
        <w:t xml:space="preserve"> </w:t>
      </w:r>
      <w:r>
        <w:rPr>
          <w:i/>
        </w:rPr>
        <w:t xml:space="preserve">“</w:t>
      </w:r>
      <w:r>
        <w:rPr>
          <w:i/>
        </w:rPr>
        <w:t xml:space="preserve">eighth anchor</w:t>
      </w:r>
      <w:r>
        <w:rPr>
          <w:i/>
        </w:rPr>
        <w:t xml:space="preserve">”</w:t>
      </w:r>
      <w:r>
        <w:rPr>
          <w:i/>
        </w:rPr>
        <w:t xml:space="preserve"> </w:t>
      </w:r>
      <w:r>
        <w:rPr>
          <w:i/>
        </w:rPr>
        <w:t xml:space="preserve">framing and her</w:t>
      </w:r>
      <w:r>
        <w:rPr>
          <w:i/>
        </w:rPr>
        <w:t xml:space="preserve"> </w:t>
      </w:r>
      <w:r>
        <w:rPr>
          <w:i/>
        </w:rPr>
        <w:t xml:space="preserve">“</w:t>
      </w:r>
      <w:r>
        <w:rPr>
          <w:i/>
        </w:rPr>
        <w:t xml:space="preserve">forever gift</w:t>
      </w:r>
      <w:r>
        <w:rPr>
          <w:i/>
        </w:rPr>
        <w:t xml:space="preserve">”</w:t>
      </w:r>
      <w:r>
        <w:rPr>
          <w:i/>
        </w:rPr>
        <w:t xml:space="preserve"> </w:t>
      </w:r>
      <w:r>
        <w:rPr>
          <w:i/>
        </w:rPr>
        <w:t xml:space="preserve">line are attributed to her and flagged for her review; she is not presented here as endorsing this volume. Organizational facts (ASTL/OASTL establishment dates, the pro bono legal community’s scope) are [CITE PENDING].]</w:t>
      </w:r>
    </w:p>
    <w:p>
      <w:pPr>
        <w:pStyle w:val="Heading1"/>
      </w:pPr>
      <w:bookmarkStart w:id="34" w:name="X77cf3886dbf8ce4c82344e819f6795189112562"/>
      <w:r>
        <w:t xml:space="preserve">Chapter 4 — The Library and the Electronic Support Structures</w:t>
      </w:r>
      <w:bookmarkEnd w:id="34"/>
    </w:p>
    <w:p>
      <w:pPr>
        <w:pStyle w:val="FirstParagraph"/>
      </w:pPr>
      <w:r>
        <w:t xml:space="preserve">A community needs a place to keep its memory.</w:t>
      </w:r>
    </w:p>
    <w:p>
      <w:pPr>
        <w:pStyle w:val="BodyText"/>
      </w:pPr>
      <w:r>
        <w:t xml:space="preserve">The watchful crew of the last chapter — the parents, the advocates, the citizen-auditors, the organized non-profits — can do everything right and still lose if each generation has to start over. The Oregon drift was, at bottom, a forgetting: a State Land Board that across forty years and a dozen turnovers lost track of why the corpus was protected, and a public that never had the record in front of it to object. Memory held in heads dies with the heads. The whole problem of a two-hundred-and-forty-year trust is that no one lives that long, and institutions, left to themselves, forget faster than they admit.</w:t>
      </w:r>
    </w:p>
    <w:p>
      <w:pPr>
        <w:pStyle w:val="BodyText"/>
      </w:pPr>
      <w:r>
        <w:t xml:space="preserve">So the eighth anchor has two halves. One is the people — the coalition. The other is the institution that holds the memory the people draw on and add to, so that the record does not die when a particular keeper does. That institution is America’s School Trust Library.</w:t>
      </w:r>
    </w:p>
    <w:p>
      <w:pPr>
        <w:pStyle w:val="BodyText"/>
      </w:pPr>
      <w:r>
        <w:t xml:space="preserve">Margaret Bird put it most clearly: the Library itself is the eighth anchor. Not a parcel ledger it might someday build, not a single feature — the Library</w:t>
      </w:r>
      <w:r>
        <w:t xml:space="preserve"> </w:t>
      </w:r>
      <w:r>
        <w:rPr>
          <w:i/>
        </w:rPr>
        <w:t xml:space="preserve">as an institution</w:t>
      </w:r>
      <w:r>
        <w:t xml:space="preserve">, in operation, performing watchfulness as its reason for being. [Framing attributed to Margaret Bird, May 5, 2026; flagged for her review.] Everything else — the dossiers, the Newsroom, the maps, the tools — are things the Library does in service of that one job: holding the context that the structural protections lose when no one is watching.</w:t>
      </w:r>
    </w:p>
    <w:p>
      <w:pPr>
        <w:pStyle w:val="Heading3"/>
      </w:pPr>
      <w:bookmarkStart w:id="35" w:name="what-the-library-is"/>
      <w:r>
        <w:t xml:space="preserve">What the Library is</w:t>
      </w:r>
      <w:bookmarkEnd w:id="35"/>
    </w:p>
    <w:p>
      <w:pPr>
        <w:pStyle w:val="FirstParagraph"/>
      </w:pPr>
      <w:r>
        <w:t xml:space="preserve">In the most ordinary terms, the Library is a public building made of records, open to anyone, that gathers in one place what used to be scattered, expensive, and effectively unreachable.</w:t>
      </w:r>
    </w:p>
    <w:p>
      <w:pPr>
        <w:pStyle w:val="BodyText"/>
      </w:pPr>
      <w:r>
        <w:t xml:space="preserve">It holds the evidence — the primary sources, the enabling acts and constitutions and court filings and historical maps, the things every claim about a school trust ought to trace back to, so that a reader who doubts a number can check it against the same source the author used. It holds a dossier for each trust-land state — where the trust is, how much land it has, how it is administered, how it has drifted, what the current fight is. It runs a Newsroom that surveys the states week by week, so the slow developments that never make national news get noticed by someone. It has a Map Room that makes the state-by-state picture legible at a glance — who is transparent, who is not, where the trusts are. It has a reference desk for the citizen who has a question and no idea where to start. And — this is the part that turns a library into an anchor rather than an archive — it is built so that readers can become contributors: spot an error, fix it; know something the record doesn’t, add it; the verified edition lives in print, the living edition online, and the door to improve it is open.</w:t>
      </w:r>
    </w:p>
    <w:p>
      <w:pPr>
        <w:pStyle w:val="BodyText"/>
      </w:pPr>
      <w:r>
        <w:t xml:space="preserve">That last feature is the difference between a monument and a working institution. A monument is finished and frozen. The Library is meant to grow with its crew, the way the Timber Framers Guild’s body of technique grew with its members — each contribution compounding, so that the record gets better and deeper than any one keeper could have made it alone.</w:t>
      </w:r>
    </w:p>
    <w:p>
      <w:pPr>
        <w:pStyle w:val="Heading3"/>
      </w:pPr>
      <w:bookmarkStart w:id="36" w:name="the-cost-that-fell"/>
      <w:r>
        <w:t xml:space="preserve">The cost that fell</w:t>
      </w:r>
      <w:bookmarkEnd w:id="36"/>
    </w:p>
    <w:p>
      <w:pPr>
        <w:pStyle w:val="FirstParagraph"/>
      </w:pPr>
      <w:r>
        <w:t xml:space="preserve">None of this would have been possible, at workable cost, even a few years ago — and the reason it is possible now is the single most important practical fact in this book.</w:t>
      </w:r>
    </w:p>
    <w:p>
      <w:pPr>
        <w:pStyle w:val="BodyText"/>
      </w:pPr>
      <w:r>
        <w:t xml:space="preserve">Go back to the problem from Chapter 1. To defend a school trust at a hearing, you needed a particular and expensive body of knowledge: current and historical acreage, revenue per acre, comparable-state figures, the breach-of-fiduciary-duty doctrine, the legislative record of every diversion across decades, the numbers restated in today’s dollars, the enabling-act language, the case law. Assembling that, in 1986, took a state archivist’s training and a state archivist’s months. The children, who were the beneficiaries, had no archivists. So the knowledge sat with the agencies — including the ones doing the diverting — and the watchful crew stayed too small to matter.</w:t>
      </w:r>
    </w:p>
    <w:p>
      <w:pPr>
        <w:pStyle w:val="BodyText"/>
      </w:pPr>
      <w:r>
        <w:t xml:space="preserve">Beginning around 2024, that cost fell by something close to an order of magnitude. A retired tree farmer in Coos County can now sit down for an afternoon and ask, and get usefully answered, the questions that used to require a month in an archive: what is the trust’s acreage now and what was it; what is the land earning and what should it earn; what does the doctrine say; what is the legislative history of the diversions; what do those old dollars come to in today’s money. The credentialing barrier that kept the crew small for two and a half centuries has, in the space of a couple of years, largely come down.</w:t>
      </w:r>
    </w:p>
    <w:p>
      <w:pPr>
        <w:pStyle w:val="BodyText"/>
      </w:pPr>
      <w:r>
        <w:t xml:space="preserve">I want to describe the tools honestly, because this is exactly the kind of claim a book can ruin by overstating. The new research tools do not supply judgment. They do not know what is fair, what is worth fighting for, or which of a hundred true facts is the one that matters in a given hearing. A citizen still has to decide all of that, and the deciding is the hard part and the human part and it is not going anywhere. What the tools do is narrower and enormous: they remove the barrier of access. The thing that used to require a specialist’s training to even find can now be found by an ordinary, motivated person. That is the whole change, and it is enough to change everything, because the watchful crew was never short of motivated people. It was short of people who could afford the cost of entry. The cost of entry just collapsed.</w:t>
      </w:r>
    </w:p>
    <w:p>
      <w:pPr>
        <w:pStyle w:val="Heading3"/>
      </w:pPr>
      <w:bookmarkStart w:id="37" w:name="X54982c5b9a4e72e21ea67d2ff06a36eba26d7b6"/>
      <w:r>
        <w:t xml:space="preserve">How the book you are holding was made — and why it is the proof</w:t>
      </w:r>
      <w:bookmarkEnd w:id="37"/>
    </w:p>
    <w:p>
      <w:pPr>
        <w:pStyle w:val="FirstParagraph"/>
      </w:pPr>
      <w:r>
        <w:t xml:space="preserve">There is a fact about this book that bears directly on its argument, and the honest thing is to put it on the table.</w:t>
      </w:r>
    </w:p>
    <w:p>
      <w:pPr>
        <w:pStyle w:val="BodyText"/>
      </w:pPr>
      <w:r>
        <w:t xml:space="preserve">The reading behind these two volumes places nineteenth-century land sales next to early-twentieth-century governors’ messages next to enabling-act language from a dozen states next to fiduciary-law opinions from across two centuries next to the carbon-and-compute frames of the present. It draws on law, history, public finance, forestry, fire ecology, and education policy at once. Until very recently, no small author team could have held that much in working memory at the same time and kept it all consistent — the cross-references aligned, the figures matching the underlying sources, the names propagating when something got renamed. The body of material is simply too large for the cognitive tools of the last century.</w:t>
      </w:r>
    </w:p>
    <w:p>
      <w:pPr>
        <w:pStyle w:val="BodyText"/>
      </w:pPr>
      <w:r>
        <w:t xml:space="preserve">This book was written in a working partnership between human authors and artificial intelligence — and that partnership is the reason the synthesis exists at this scale and speed. I have tried hard, across two years inside that partnership, to describe it without the two dishonesties that tempt anyone in this position. The first is to oversell it:</w:t>
      </w:r>
      <w:r>
        <w:t xml:space="preserve"> </w:t>
      </w:r>
      <w:r>
        <w:rPr>
          <w:i/>
        </w:rPr>
        <w:t xml:space="preserve">the AI wrote the book.</w:t>
      </w:r>
      <w:r>
        <w:t xml:space="preserve"> </w:t>
      </w:r>
      <w:r>
        <w:t xml:space="preserve">It did not; it has no idea what any of this is for. The second is to undersell it:</w:t>
      </w:r>
      <w:r>
        <w:t xml:space="preserve"> </w:t>
      </w:r>
      <w:r>
        <w:rPr>
          <w:i/>
        </w:rPr>
        <w:t xml:space="preserve">I did it, with a little help.</w:t>
      </w:r>
      <w:r>
        <w:t xml:space="preserve"> </w:t>
      </w:r>
      <w:r>
        <w:t xml:space="preserve">That is not true either, and pretending otherwise would waste the most useful thing this book can demonstrate. The truthful account is the one a tree farmer reaches for: the partner is a tool, the way the chainsaw is a tool where there used to be a two-man crosscut saw. The chainsaw did not replace the forester’s judgment about the woodlot. It changed the size of the woodlot one forester could work in a day. That is what happened here. The judgment about what to do, what matters, what is fair, and what is true stayed with the people. The reach of the people’s day changed.</w:t>
      </w:r>
    </w:p>
    <w:p>
      <w:pPr>
        <w:pStyle w:val="BodyText"/>
      </w:pPr>
      <w:r>
        <w:t xml:space="preserve">And here is why that fact is part of the argument rather than a footnote to it. The framers of 1785 used legal rigidity as a substitute for an institutional memory their century could not provide. They wrote the trust rigid because rigidity was the only memory technology they had at the scale a two-hundred-fifty-year promise required. They could not build the watchful crew, because the cost of sustained civic attention to a complex long-horizon asset was beyond what their century could pay. The Library, and the partnership that maintains it, is the thing the framers needed and could not have. The institution can now remember what the people forget — and, more to the point, the people can now remember</w:t>
      </w:r>
      <w:r>
        <w:t xml:space="preserve"> </w:t>
      </w:r>
      <w:r>
        <w:rPr>
          <w:i/>
        </w:rPr>
        <w:t xml:space="preserve">through</w:t>
      </w:r>
      <w:r>
        <w:t xml:space="preserve"> </w:t>
      </w:r>
      <w:r>
        <w:t xml:space="preserve">the institution, because the cost of doing so has fallen within reach of ordinary hands.</w:t>
      </w:r>
    </w:p>
    <w:p>
      <w:pPr>
        <w:pStyle w:val="BodyText"/>
      </w:pPr>
      <w:r>
        <w:t xml:space="preserve">So the book is, in a small way, a working demonstration of its own thesis. The argument is that long-horizon trusts need a cognitive infrastructure their founders could not engineer. The Library is that infrastructure, made operational. The two volumes are its most readable product. And the demonstration is honest in both directions: if the machinery works, the work compounds and the record gets better; if it fails, you will see it fail in plain sight on the public site, in broken cross-references and stale figures and out-of-date pages. The exposure is the discipline. That is not a boast. It is an invitation to check.</w:t>
      </w:r>
    </w:p>
    <w:p>
      <w:pPr>
        <w:pStyle w:val="Heading3"/>
      </w:pPr>
      <w:bookmarkStart w:id="38" w:name="Xd2683d62db950db67e3faf5379b5ecf68480340"/>
      <w:r>
        <w:t xml:space="preserve">The electronic support structures, and what they let the crew finally do</w:t>
      </w:r>
      <w:bookmarkEnd w:id="38"/>
    </w:p>
    <w:p>
      <w:pPr>
        <w:pStyle w:val="FirstParagraph"/>
      </w:pPr>
      <w:r>
        <w:t xml:space="preserve">Step back from this one project and the general shape is what matters for any state’s coalition.</w:t>
      </w:r>
    </w:p>
    <w:p>
      <w:pPr>
        <w:pStyle w:val="BodyText"/>
      </w:pPr>
      <w:r>
        <w:t xml:space="preserve">The Library is built so that the work accumulates rather than evaporates. Each contribution survives into the next, held in a shared and inspectable record rather than in a particular person’s memory or a particular agency’s files. The state dossiers can be kept current as a continuous task rather than reconstructed from scratch every generation. The Newsroom can watch fifty states at a cadence no volunteer could sustain alone. The transparency tools can make a slow diversion legible while it is still slow — which, as the next chapter argues, is the only point at which a drift-mode failure can be caught at all.</w:t>
      </w:r>
    </w:p>
    <w:p>
      <w:pPr>
        <w:pStyle w:val="BodyText"/>
      </w:pPr>
      <w:r>
        <w:t xml:space="preserve">The deeper promise is the one that closes this part of the book. For two and a half centuries the school trust had a fatal asymmetry: the beneficiary class could not vote, lobby, or sue, and the cost of someone watching on its behalf was too high for the watching to be sustained. The electronic support structures do not change who the beneficiaries are. The children still cannot vote. But they change, for the first time, what it costs to keep watch for them — and a watch that can finally be afforded is a watch that can finally be kept. The coalition supplies the people. The Library supplies the memory. The new tools make both sustainable at the scale the trust actually needs.</w:t>
      </w:r>
    </w:p>
    <w:p>
      <w:pPr>
        <w:pStyle w:val="BodyText"/>
      </w:pPr>
      <w:r>
        <w:t xml:space="preserve">That is the eighth anchor, both halves of it, as it looks when the technology to forge it has at last arrived. What the crew and the Library now have to do with it — the fights of the coming decade — is the next chapter.</w:t>
      </w:r>
    </w:p>
    <w:p>
      <w:r>
        <w:pict>
          <v:rect style="width:0;height:1.5pt" o:hralign="center" o:hrstd="t" o:hr="t"/>
        </w:pict>
      </w:r>
    </w:p>
    <w:p>
      <w:pPr>
        <w:pStyle w:val="FirstParagraph"/>
      </w:pPr>
      <w:r>
        <w:rPr>
          <w:i/>
        </w:rPr>
        <w:t xml:space="preserve">[Footnotes / source notes to be attached in a later pass. The cost-drop framing, the chainsaw/crosscut-saw metaphor, the three-scale forgetting analysis, and the Knowledge-Stack-as-demonstration argument are carried from the project’s cognitive-partnership notes and the companion volume’s prologue; internal layer names are deliberately kept out of the prose per house style. Margaret Bird’s</w:t>
      </w:r>
      <w:r>
        <w:rPr>
          <w:i/>
        </w:rPr>
        <w:t xml:space="preserve"> </w:t>
      </w:r>
      <w:r>
        <w:rPr>
          <w:i/>
        </w:rPr>
        <w:t xml:space="preserve">“</w:t>
      </w:r>
      <w:r>
        <w:rPr>
          <w:i/>
        </w:rPr>
        <w:t xml:space="preserve">the Library is the eighth anchor</w:t>
      </w:r>
      <w:r>
        <w:rPr>
          <w:i/>
        </w:rPr>
        <w:t xml:space="preserve">”</w:t>
      </w:r>
      <w:r>
        <w:rPr>
          <w:i/>
        </w:rPr>
        <w:t xml:space="preserve"> </w:t>
      </w:r>
      <w:r>
        <w:rPr>
          <w:i/>
        </w:rPr>
        <w:t xml:space="preserve">framing is attributed to her and flagged for her review; she is not presented as endorsing this volume. Library features described reflect the live site as of May 2026 and should be re-verified against current state before publication — [AS OF May 2026].]</w:t>
      </w:r>
    </w:p>
    <w:p>
      <w:pPr>
        <w:pStyle w:val="Heading1"/>
      </w:pPr>
      <w:bookmarkStart w:id="39" w:name="Xe7bb5ecd1975c7dee2fe9356b91a5ea40a8ba65"/>
      <w:r>
        <w:t xml:space="preserve">Chapter 5 — Defending the Trust in the AI Age</w:t>
      </w:r>
      <w:bookmarkEnd w:id="39"/>
    </w:p>
    <w:p>
      <w:pPr>
        <w:pStyle w:val="FirstParagraph"/>
      </w:pPr>
      <w:r>
        <w:t xml:space="preserve">The hardest thing about defending a forever-trust is that the attack almost never looks like an attack.</w:t>
      </w:r>
    </w:p>
    <w:p>
      <w:pPr>
        <w:pStyle w:val="BodyText"/>
      </w:pPr>
      <w:r>
        <w:t xml:space="preserve">Americans are conditioned, by their own history, to expect that a great civic emergency will arrive announced. Pearl Harbor reset the will of an inattentive country in a single afternoon. We half-expect that the school-trust failure, if it is real, will someday produce its own galvanizing moment — a scandal so plain that the public finally rouses and fixes it. It is a natural expectation. On the evidence, it is exactly the wrong one.</w:t>
      </w:r>
    </w:p>
    <w:p>
      <w:pPr>
        <w:pStyle w:val="BodyText"/>
      </w:pPr>
      <w:r>
        <w:t xml:space="preserve">The school-trust record is unambiguous on this point: the failures that did the most damage produced no crisis at all. Mississippi sold its school sections for about a dollar an acre in the 1820s and there were no marches. California disposed of its school lands in 1853 and the outrage, if any, lasted a news cycle. Oregon let its irreducible school fund fall to a fraction of its design across sixty years of quiet legislative friction, and the governor’s message that documented the loss in 1907 produced no special session, no reform, no successor willing to put it back on the agenda. [VERIFY: Mississippi 1820s sales; California 1853 disposals; Oregon 1907 governor’s message and fund figures.] Drift does not generate a Pearl Harbor. Drift</w:t>
      </w:r>
      <w:r>
        <w:t xml:space="preserve"> </w:t>
      </w:r>
      <w:r>
        <w:rPr>
          <w:i/>
        </w:rPr>
        <w:t xml:space="preserve">is</w:t>
      </w:r>
      <w:r>
        <w:t xml:space="preserve"> </w:t>
      </w:r>
      <w:r>
        <w:t xml:space="preserve">the failure mode that never generates one. That is precisely what makes it dangerous and what makes the watchful crew necessary: the only one watching for a slow leak is someone who has decided, in advance, to watch.</w:t>
      </w:r>
    </w:p>
    <w:p>
      <w:pPr>
        <w:pStyle w:val="BodyText"/>
      </w:pPr>
      <w:r>
        <w:t xml:space="preserve">So the right model for this work is not Franklin Roosevelt. It is Rachel Carson.</w:t>
      </w:r>
      <w:r>
        <w:t xml:space="preserve"> </w:t>
      </w:r>
      <w:r>
        <w:rPr>
          <w:i/>
        </w:rPr>
        <w:t xml:space="preserve">Silent Spring</w:t>
      </w:r>
      <w:r>
        <w:t xml:space="preserve">, in 1962, took a diffuse, invisible, structural harm — a pesticide working silently through ecosystems for two decades — and made it legible in a calm, careful, page-by-page argument that an ordinary reader could not put down. Carson did not wait for a crisis. She wrote the book that made a slow disaster fast enough to read, and eight years later there was an Environmental Protection Agency. [VERIFY: Silent Spring 1962; EPA 1970.] That is the posture this whole effort takes: calm voice, alarming content, an institution durable enough to keep speaking until the message lands. The Library is the crisis-legibility instrument. Its job is not to ring an alarm bell at a sleeping country. Its job is to make the slow disaster readable.</w:t>
      </w:r>
    </w:p>
    <w:p>
      <w:pPr>
        <w:pStyle w:val="Heading3"/>
      </w:pPr>
      <w:bookmarkStart w:id="40" w:name="the-fights-already-on-the-board"/>
      <w:r>
        <w:t xml:space="preserve">The fights already on the board</w:t>
      </w:r>
      <w:bookmarkEnd w:id="40"/>
    </w:p>
    <w:p>
      <w:pPr>
        <w:pStyle w:val="FirstParagraph"/>
      </w:pPr>
      <w:r>
        <w:t xml:space="preserve">Some of the next decade’s fights are not hypothetical. They are in court now.</w:t>
      </w:r>
    </w:p>
    <w:p>
      <w:pPr>
        <w:pStyle w:val="BodyText"/>
      </w:pPr>
      <w:r>
        <w:t xml:space="preserve">In Oregon, the Advocates for School Trust Lands are litigating the breach of the state’s duty — a case that spent five years on procedural ground (standing, sovereign immunity, justiciability) before a January 2026 appellate ruling restored the advocates’ right to be heard on the merits. [VERIFY: Coos County 24CV38372; Oregon Supreme Court S072734; Court of Appeals standing ruling Jan. 28, 2026.] That ruling is a hard-won catch-up, not a final victory, and the merits fight is still ahead. At the center of it is the Elliott State Forest — the trust land that was decoupled from the school trust in a transaction the advocates regard not as a compensated buyout but as a directed seizure dressed up as a sale, the trust’s own asset taken and the children’s interest valued at a depressed number to make the books balance. [VERIFY: Elliott transaction characterization; figures.] The compact doctrine of Chapter 2 is exactly the argument against it: a legislature cannot give away trust property, and cannot divert school land without compensating the trust for its full value. A bargained-for compact forbids precisely the move that was made.</w:t>
      </w:r>
    </w:p>
    <w:p>
      <w:pPr>
        <w:pStyle w:val="BodyText"/>
      </w:pPr>
      <w:r>
        <w:t xml:space="preserve">These live cases matter beyond their own borders because they are where the architecture of Chapter 2 meets the ground. Oregon is the cautionary tale of a duty that exists but was made hard to reach. Whether the merits fight succeeds will tell the whole movement a great deal about how much enforcement a general text can be made to yield when a determined, organized non-profit plaintiff pushes it — which is to say, about exactly the question the coalition exists to answer.</w:t>
      </w:r>
    </w:p>
    <w:p>
      <w:pPr>
        <w:pStyle w:val="Heading3"/>
      </w:pPr>
      <w:bookmarkStart w:id="41" w:name="the-new-pressures-the-moment-brings"/>
      <w:r>
        <w:t xml:space="preserve">The new pressures the moment brings</w:t>
      </w:r>
      <w:bookmarkEnd w:id="41"/>
    </w:p>
    <w:p>
      <w:pPr>
        <w:pStyle w:val="FirstParagraph"/>
      </w:pPr>
      <w:r>
        <w:t xml:space="preserve">Then there are the threats that are genuinely new, because the technology is new, and the coalition has to learn to see them before they become the next quiet drift.</w:t>
      </w:r>
    </w:p>
    <w:p>
      <w:pPr>
        <w:pStyle w:val="BodyText"/>
      </w:pPr>
      <w:r>
        <w:t xml:space="preserve">The first is opacity dressed as modernization. Automated land valuation, algorithmic timber and lease pricing, complex pooled investment vehicles — each can be sold to a State Land Board as efficiency, and each can also be a place to hide a diversion. A valuation model that quietly undercounts the trust’s land, an investment structure whose fee arrangements no beneficiary can read, a</w:t>
      </w:r>
      <w:r>
        <w:t xml:space="preserve"> </w:t>
      </w:r>
      <w:r>
        <w:t xml:space="preserve">“</w:t>
      </w:r>
      <w:r>
        <w:t xml:space="preserve">modernized</w:t>
      </w:r>
      <w:r>
        <w:t xml:space="preserve">”</w:t>
      </w:r>
      <w:r>
        <w:t xml:space="preserve"> </w:t>
      </w:r>
      <w:r>
        <w:t xml:space="preserve">mandate written into software rather than statute — these are the twenty-first-century forms of the sweetheart lease and the depressed-value sale. The danger is not that a machine decides to cheat the children. The danger is that opacity makes it harder for the watchful crew to see the cheating, and that</w:t>
      </w:r>
      <w:r>
        <w:t xml:space="preserve"> </w:t>
      </w:r>
      <w:r>
        <w:t xml:space="preserve">“</w:t>
      </w:r>
      <w:r>
        <w:t xml:space="preserve">the model says so</w:t>
      </w:r>
      <w:r>
        <w:t xml:space="preserve">”</w:t>
      </w:r>
      <w:r>
        <w:t xml:space="preserve"> </w:t>
      </w:r>
      <w:r>
        <w:t xml:space="preserve">becomes the new version of</w:t>
      </w:r>
      <w:r>
        <w:t xml:space="preserve"> </w:t>
      </w:r>
      <w:r>
        <w:t xml:space="preserve">“</w:t>
      </w:r>
      <w:r>
        <w:t xml:space="preserve">trust us.</w:t>
      </w:r>
      <w:r>
        <w:t xml:space="preserve">”</w:t>
      </w:r>
      <w:r>
        <w:t xml:space="preserve"> </w:t>
      </w:r>
      <w:r>
        <w:t xml:space="preserve">The defense is the oldest principle in the trust: the beneficiary side has the right to see. A valuation the public cannot inspect is not a valuation the trust should accept. The transparency anchor (Chapter 2, anchor four) has to be extended to cover the algorithm, not just the ledger.</w:t>
      </w:r>
    </w:p>
    <w:p>
      <w:pPr>
        <w:pStyle w:val="BodyText"/>
      </w:pPr>
      <w:r>
        <w:t xml:space="preserve">The second is the temptation to redefine the trust in terms too technical to contest. Chapter 2 warned about drift by redefinition — corpus, purpose, or beneficiary class quietly rewritten until the trust still exists on paper but means something else. AI-era administration makes that easier, because a redefinition buried in a data model or a management algorithm is far harder for an ordinary citizen to notice than a redefinition voted on the floor. The defense is, again, an old principle made new: the founding terms are fundamental law, and they cannot be amended by the implementing software any more than by ordinary statute. The beneficiary-class boundary, the purpose, the corpus — these belong in the charter, in words, where a human can read them and a court can enforce them.</w:t>
      </w:r>
    </w:p>
    <w:p>
      <w:pPr>
        <w:pStyle w:val="BodyText"/>
      </w:pPr>
      <w:r>
        <w:t xml:space="preserve">I want to be careful not to make AI the villain of this chapter, because that would be both unfair and, given how this book was made, a little ridiculous. The same technology that can hide a diversion can expose one. That is the other half of the story, and it is the hopeful half.</w:t>
      </w:r>
    </w:p>
    <w:p>
      <w:pPr>
        <w:pStyle w:val="Heading3"/>
      </w:pPr>
      <w:bookmarkStart w:id="42" w:name="Xe00369566f9a440f98fe32add23ea75258c92f3"/>
      <w:r>
        <w:t xml:space="preserve">The new defenses the moment hands the beneficiary</w:t>
      </w:r>
      <w:bookmarkEnd w:id="42"/>
    </w:p>
    <w:p>
      <w:pPr>
        <w:pStyle w:val="FirstParagraph"/>
      </w:pPr>
      <w:r>
        <w:t xml:space="preserve">For the first time in the trust’s two-hundred-and-forty-year history, the beneficiary side can watch continuously, cheaply, and at scale.</w:t>
      </w:r>
    </w:p>
    <w:p>
      <w:pPr>
        <w:pStyle w:val="BodyText"/>
      </w:pPr>
      <w:r>
        <w:t xml:space="preserve">Continuous monitoring is now possible where before there was only the occasional alarmed citizen who happened to read the right minutes. The Library can survey fifty states week after week. A diversion that used to surface — if it surfaced at all — years after the corpus was gone can now be flagged while it is still a proposal. The slow leak can be caught while it is slow, which, as the Carson model insists, is the only time it can be caught at all.</w:t>
      </w:r>
    </w:p>
    <w:p>
      <w:pPr>
        <w:pStyle w:val="BodyText"/>
      </w:pPr>
      <w:r>
        <w:t xml:space="preserve">Public transparency can be made structural rather than occasional. When the record is open and inspectable, when a state’s transparency posture is mapped next to its neighbors’, when the figures and their sources are published together, drift loses its best friend, which is darkness. A State Land Board that knows its decisions will be read, compared, and remembered behaves differently from one that assumes no one is keeping the record. The watchfulness itself changes the behavior, often before any lawsuit is needed — which is the point Margaret Bird makes about what the eighth anchor really does: it is not only the plaintiff of last resort, it is the reason the breach gets reconsidered before it happens. [Attributed to Margaret Bird; flag for her review.]</w:t>
      </w:r>
    </w:p>
    <w:p>
      <w:pPr>
        <w:pStyle w:val="BodyText"/>
      </w:pPr>
      <w:r>
        <w:t xml:space="preserve">And the analytic barrier that kept the crew small is gone. The retired tree farmer can do the archivist’s month in an afternoon. The new state chapter can hold its trust up against the seven anchors and see the gaps immediately. The lawyer taking the case can have the doctrine, the comparable cases, and the legislative history marshaled in a form that used to take a research team. None of this replaces the human judgment about what is fair and what is worth fighting for. All of it removes the cost that, for two and a half centuries, kept that judgment from being applied by enough people to matter.</w:t>
      </w:r>
    </w:p>
    <w:p>
      <w:pPr>
        <w:pStyle w:val="Heading3"/>
      </w:pPr>
      <w:bookmarkStart w:id="43" w:name="the-machine-assembled"/>
      <w:r>
        <w:t xml:space="preserve">The machine, assembled</w:t>
      </w:r>
      <w:bookmarkEnd w:id="43"/>
    </w:p>
    <w:p>
      <w:pPr>
        <w:pStyle w:val="FirstParagraph"/>
      </w:pPr>
      <w:r>
        <w:t xml:space="preserve">Put the three pieces together and you have, for the first time, a defense matched to the actual nature of the threat.</w:t>
      </w:r>
    </w:p>
    <w:p>
      <w:pPr>
        <w:pStyle w:val="BodyText"/>
      </w:pPr>
      <w:r>
        <w:t xml:space="preserve">The threat is slow, quiet, structural, and aimed at a beneficiary who cannot speak for herself. The matched defense is a coalition of people who have decided to watch on her behalf (Chapter 3); a Library that holds the memory so the watching does not have to restart every generation (Chapter 4); and a set of electronic tools that make the watching cheap enough to sustain and fast enough to catch a slow leak before it empties the tank (this chapter). The coalition supplies the will. The Library supplies the memory. The tools supply the reach. Take away any one and the other two fail: people without memory restart from zero; memory without people is an unread archive; tools without either are a solution looking for a fight no one has shown up for.</w:t>
      </w:r>
    </w:p>
    <w:p>
      <w:pPr>
        <w:pStyle w:val="BodyText"/>
      </w:pPr>
      <w:r>
        <w:t xml:space="preserve">This is the inward argument of the whole book, finally assembled. The school trust spent two centuries with a fatal asymmetry between a silent beneficiary and the institutions that were supposed to serve her. The asymmetry was never going to be fixed by a better statute alone, because the statutes were already strong in the places that drifted. It is being fixed, now, because the cost of keeping watch has fallen far enough that the watch can finally be kept — not by a heroic few, but by an ordinary many, organized around a shared memory and equipped with tools their grandparents could not have dreamed of.</w:t>
      </w:r>
    </w:p>
    <w:p>
      <w:pPr>
        <w:pStyle w:val="BodyText"/>
      </w:pPr>
      <w:r>
        <w:t xml:space="preserve">That is the future of this forever-trust. It is not a story about technology saving the schools. It is a story about a community that can, at last, afford to do the watching the framers needed and could not arrange. The schools were always going to depend on someone showing up. The change is that showing up is now within reach of everyone who cares to.</w:t>
      </w:r>
    </w:p>
    <w:p>
      <w:pPr>
        <w:pStyle w:val="BodyText"/>
      </w:pPr>
      <w:r>
        <w:t xml:space="preserve">The book could end here, and the argument would be complete. But the same machine that defends a school trust turns out to be the machine the next century of forever-promises will need — the great new funds and endowments now being chartered, which face the very pathologies this community has spent two hundred years fighting. That resonance is worth one closing chapter. It is offered as a gift, not as the point. The point was always the schools.</w:t>
      </w:r>
    </w:p>
    <w:p>
      <w:r>
        <w:pict>
          <v:rect style="width:0;height:1.5pt" o:hralign="center" o:hrstd="t" o:hr="t"/>
        </w:pict>
      </w:r>
    </w:p>
    <w:p>
      <w:pPr>
        <w:pStyle w:val="FirstParagraph"/>
      </w:pPr>
      <w:r>
        <w:rPr>
          <w:i/>
        </w:rPr>
        <w:t xml:space="preserve">[Footnotes / source notes to be attached in a later pass. Live-case specifics (Oregon docket numbers, the Elliott characterization and figures, the January 2026 standing ruling) and historical specifics (Mississippi, California, Oregon 1907) carry [VERIFY] and must be pinned before any public use. The Elliott</w:t>
      </w:r>
      <w:r>
        <w:rPr>
          <w:i/>
        </w:rPr>
        <w:t xml:space="preserve"> </w:t>
      </w:r>
      <w:r>
        <w:rPr>
          <w:i/>
        </w:rPr>
        <w:t xml:space="preserve">“</w:t>
      </w:r>
      <w:r>
        <w:rPr>
          <w:i/>
        </w:rPr>
        <w:t xml:space="preserve">directed seizure, not buyout</w:t>
      </w:r>
      <w:r>
        <w:rPr>
          <w:i/>
        </w:rPr>
        <w:t xml:space="preserve">”</w:t>
      </w:r>
      <w:r>
        <w:rPr>
          <w:i/>
        </w:rPr>
        <w:t xml:space="preserve"> </w:t>
      </w:r>
      <w:r>
        <w:rPr>
          <w:i/>
        </w:rPr>
        <w:t xml:space="preserve">framing follows the project’s canonical position. The Silent Spring / EPA dates carry [VERIFY]. Margaret Bird’s framing of what the eighth anchor does is attributed to her and flagged for her review; she is not presented as endorsing this volume.]</w:t>
      </w:r>
    </w:p>
    <w:p>
      <w:pPr>
        <w:pStyle w:val="Heading1"/>
      </w:pPr>
      <w:bookmarkStart w:id="44" w:name="X3243a1e5220bba3008803610120b54d6a37c25a"/>
      <w:r>
        <w:t xml:space="preserve">Chapter 6 — The Larger Resonance: Lessons for the Forever-Trusts Now Arriving</w:t>
      </w:r>
      <w:bookmarkEnd w:id="44"/>
    </w:p>
    <w:p>
      <w:pPr>
        <w:pStyle w:val="FirstParagraph"/>
      </w:pPr>
      <w:r>
        <w:t xml:space="preserve">A book about a family’s inheritance should end at home. But there is a thing worth saying, at the end, about why this particular family’s story matters past the front door — and it is worth saying carefully, so it does not swallow the book that earned it.</w:t>
      </w:r>
    </w:p>
    <w:p>
      <w:pPr>
        <w:pStyle w:val="BodyText"/>
      </w:pPr>
      <w:r>
        <w:t xml:space="preserve">Everything in the preceding chapters has been about one trust: the oldest one, the school trust, the forever gift a country made its children in 1785 and then mostly forgot to guard. The work of this book is the work of defending that trust — building the coalition, the Library, the electronic tools that let the watchful crew finally do its job at the scale the trust needs. That is the point, and it remains the point through this last chapter.</w:t>
      </w:r>
    </w:p>
    <w:p>
      <w:pPr>
        <w:pStyle w:val="BodyText"/>
      </w:pPr>
      <w:r>
        <w:t xml:space="preserve">But while we were learning how a forever-promise fails and how it can be defended, the country — the world — started writing a whole new generation of forever-promises. And they are being written by people who do not yet know what we know.</w:t>
      </w:r>
    </w:p>
    <w:p>
      <w:pPr>
        <w:pStyle w:val="Heading3"/>
      </w:pPr>
      <w:bookmarkStart w:id="45" w:name="the-same-shape-in-new-clothes"/>
      <w:r>
        <w:t xml:space="preserve">The same shape, in new clothes</w:t>
      </w:r>
      <w:bookmarkEnd w:id="45"/>
    </w:p>
    <w:p>
      <w:pPr>
        <w:pStyle w:val="FirstParagraph"/>
      </w:pPr>
      <w:r>
        <w:t xml:space="preserve">In the last few years a thicket of new long-horizon institutions has begun entering its charter windows. Sovereign wealth funds chartered for citizens not yet born. Perpetual climate trusts meant to bind tomorrow’s legislatures to today’s commitments. Proposals for autonomous bodies to direct compute and capital toward humanity’s hardest problems across generational time. Longevity escrows scoped to outlive their founders by a century. Data trusts holding the public’s information across changes in corporate ownership. [VERIFY: characterizations of specific proposals; Diamandis &amp; Wissner-Gross AI Targeting Authority concept.] The vocabularies differ. The architectural impulse is identical: how do you bind the future to a commitment the present can see but the future cannot yet defend?</w:t>
      </w:r>
    </w:p>
    <w:p>
      <w:pPr>
        <w:pStyle w:val="BodyText"/>
      </w:pPr>
      <w:r>
        <w:t xml:space="preserve">That is the school trust’s question, exactly. And the unsettling thing — the thing that makes this community’s record valuable to people who have never thought about a square mile in a township — is that the new institutions are built for beneficiaries with the same fatal disability the schoolchildren had. The future citizens of the sovereign fund cannot vote today. The beneficiaries of a climate trust are not yet born. The recipient of a hundred-year longevity escrow cannot sue, testify, or complain. Every one of them is what the school trust’s beneficiaries were: politically silent, easy to discount, the perfect host for an institution that would like to spend their share on something nearer to hand.</w:t>
      </w:r>
    </w:p>
    <w:p>
      <w:pPr>
        <w:pStyle w:val="BodyText"/>
      </w:pPr>
      <w:r>
        <w:t xml:space="preserve">And so the new institutions will face the same three pathologies, because the pathologies are not about land or about 1785; they are about how any long-horizon institution behaves under pressure. People will discount the distant beneficiary in favor of the present need. The bureaucracy guarding the fund will, over time, acquire a survival interest of its own. And the silent beneficiary will generate no feedback to correct the drift. The new funds will drift exactly as the school trusts drifted, on the same timeline and for the same reasons — unless their architects build against it on purpose, at the founding, while the founding generation is still in the room and still believes the founding matters.</w:t>
      </w:r>
    </w:p>
    <w:p>
      <w:pPr>
        <w:pStyle w:val="Heading3"/>
      </w:pPr>
      <w:bookmarkStart w:id="46" w:name="what-we-can-hand-them"/>
      <w:r>
        <w:t xml:space="preserve">What we can hand them</w:t>
      </w:r>
      <w:bookmarkEnd w:id="46"/>
    </w:p>
    <w:p>
      <w:pPr>
        <w:pStyle w:val="FirstParagraph"/>
      </w:pPr>
      <w:r>
        <w:t xml:space="preserve">This is where two centuries of school-trust failure turns into something useful for someone else: it has already run the experiment the new architects are only beginning.</w:t>
      </w:r>
    </w:p>
    <w:p>
      <w:pPr>
        <w:pStyle w:val="BodyText"/>
      </w:pPr>
      <w:r>
        <w:t xml:space="preserve">The seven anchors apply, almost without translation. Codify the duty in enforceable terms. Build a restoration mechanism so a diversion can be undone. Attach personal accountability to the trustees and institutional accountability to the sponsor. Make the distribution visible to a constituency that can defend it. Give the beneficiary side its own advocate. Give the trust its own counsel. Train the trustees, every year, in the duty they are built to forget. Every one of these is a lesson the school trust paid for in full, and every one transfers.</w:t>
      </w:r>
    </w:p>
    <w:p>
      <w:pPr>
        <w:pStyle w:val="BodyText"/>
      </w:pPr>
      <w:r>
        <w:t xml:space="preserve">But the single most transferable lesson is the one the doctrine of Chapter 2 hands over whole, and it is worth stating in the architects’ own terms:</w:t>
      </w:r>
      <w:r>
        <w:t xml:space="preserve"> </w:t>
      </w:r>
      <w:r>
        <w:rPr>
          <w:i/>
        </w:rPr>
        <w:t xml:space="preserve">write the enforcement teeth into the charter, because you cannot count on a court to read them in later.</w:t>
      </w:r>
      <w:r>
        <w:t xml:space="preserve"> </w:t>
      </w:r>
      <w:r>
        <w:t xml:space="preserve">The school trust’s whole tragedy is the gap between a duty that existed and a duty that could be enforced. Oregon’s advocates spent five years just earning the right to argue the merits, because the founding text was general. New Mexico’s beneficiaries could force performance, because the 1910 text named the trust, named the breach, and named who sues. [VERIFY: Oregon procedural history; New Mexico–Arizona Act § 10; Ervien.] The architects of a sovereign-AI fund or a perpetual climate trust have a choice the school-trust framers did not get to make consciously: they can write the remedial architecture in at the start. A duty without an enforcer is a wish. Charter the fund as a bargained-for compact with a real counterparty, irrevocable without consent — not a gift the sponsor can quietly repurpose later. [VERIFY: Andrus v. Utah compact framing.]</w:t>
      </w:r>
    </w:p>
    <w:p>
      <w:pPr>
        <w:pStyle w:val="BodyText"/>
      </w:pPr>
      <w:r>
        <w:t xml:space="preserve">And then the lesson this whole book has been about: the architecture is not enough. The new institutions will need their watchful crew and their Library just as the school trust does — a standing community to enforce the charter when the institution’s own immune system fails, and an institutional memory to hold the context across the generations the fund is meant to bind. The school trust drifted for two centuries before its constituency arrived. The new funds do not have two centuries; they have, at most, a charter window of a few years before they harden into the form they will keep. So the order matters: build the institution that will hold the memory, and the rails for the constituency to assemble on,</w:t>
      </w:r>
      <w:r>
        <w:t xml:space="preserve"> </w:t>
      </w:r>
      <w:r>
        <w:rPr>
          <w:i/>
        </w:rPr>
        <w:t xml:space="preserve">before</w:t>
      </w:r>
      <w:r>
        <w:t xml:space="preserve"> </w:t>
      </w:r>
      <w:r>
        <w:t xml:space="preserve">you need them — because the school-trust evidence is brutally clear that assembling them in arrears, after the drift has begun and the diversions have grown their own defenders, is harder by an order of magnitude than building them at the founding.</w:t>
      </w:r>
    </w:p>
    <w:p>
      <w:pPr>
        <w:pStyle w:val="Heading3"/>
      </w:pPr>
      <w:bookmarkStart w:id="47" w:name="offered-as-a-gift"/>
      <w:r>
        <w:t xml:space="preserve">Offered as a gift</w:t>
      </w:r>
      <w:bookmarkEnd w:id="47"/>
    </w:p>
    <w:p>
      <w:pPr>
        <w:pStyle w:val="FirstParagraph"/>
      </w:pPr>
      <w:r>
        <w:t xml:space="preserve">I want to be clear about the spirit in which all this is offered, because the spirit is the whole difference between this chapter and the book it could have become.</w:t>
      </w:r>
    </w:p>
    <w:p>
      <w:pPr>
        <w:pStyle w:val="BodyText"/>
      </w:pPr>
      <w:r>
        <w:t xml:space="preserve">This is not the school-trust community presenting itself as the consultant to the AI age. The community has its hands full defending its own trust, which is unfinished business — the Elliott case is in court, the corpus is not restored, most states still lack most of the anchors, and the coalition is still being built. We are not done with our own house. We have no standing to lecture anyone.</w:t>
      </w:r>
    </w:p>
    <w:p>
      <w:pPr>
        <w:pStyle w:val="BodyText"/>
      </w:pPr>
      <w:r>
        <w:t xml:space="preserve">What we have is a record. Two hundred and forty years of a forever-promise, run as an accidental experiment, with the results finally in — the failures and the recoveries, the pathologies and the defenses, named and documented and laid out where anyone can read them. The Library holds it. It is open. And if the architects of the next century’s forever-promises want to spend an afternoon learning what two centuries of the oldest such promise can teach them, the door is open and the cost of entry has collapsed, the same way it collapsed for the citizen-auditor in Coos County. That is the gift. Not advice — evidence, freely given, by a community that learned it the hard way and would rather the next builders not have to.</w:t>
      </w:r>
    </w:p>
    <w:p>
      <w:pPr>
        <w:pStyle w:val="BodyText"/>
      </w:pPr>
      <w:r>
        <w:t xml:space="preserve">There is a symmetry in that which the framers of 1785 would have recognized. They made a forever gift to a generation of children they would never meet, in the hope that an educated republic would carry the country forward. This community, defending that gift, can make a smaller one to the architects it will never meet: the hard-won knowledge of how a forever-promise holds and how it fails. A gift to forever schools, for a forever democracy — and, at the edges, a gift to whoever else is now trying to bind themselves to do right by people who cannot yet speak for themselves.</w:t>
      </w:r>
    </w:p>
    <w:p>
      <w:pPr>
        <w:pStyle w:val="Heading3"/>
      </w:pPr>
      <w:bookmarkStart w:id="48" w:name="home-again"/>
      <w:r>
        <w:t xml:space="preserve">Home again</w:t>
      </w:r>
      <w:bookmarkEnd w:id="48"/>
    </w:p>
    <w:p>
      <w:pPr>
        <w:pStyle w:val="FirstParagraph"/>
      </w:pPr>
      <w:r>
        <w:t xml:space="preserve">But that is the resonance, not the reason. Set the new funds aside and the book comes back to where it started, which is where it belongs.</w:t>
      </w:r>
    </w:p>
    <w:p>
      <w:pPr>
        <w:pStyle w:val="BodyText"/>
      </w:pPr>
      <w:r>
        <w:t xml:space="preserve">There is a child, somewhere, not yet born, who will inherit a school funded in part by a trust a country set up before it had a constitution. Whether that trust is whole when she inherits it depends on choices being made now, by people alive now, in fifty state capitals and one open Library. The framers could not arrange for her defense across the centuries. We can. That is the new thing under the sun, and it is the only thing this book has really been about.</w:t>
      </w:r>
    </w:p>
    <w:p>
      <w:pPr>
        <w:pStyle w:val="BodyText"/>
      </w:pPr>
      <w:r>
        <w:t xml:space="preserve">A forever gift, to forever schools, for a forever democracy. The gift was made long ago. The keeping is ours.</w:t>
      </w:r>
    </w:p>
    <w:p>
      <w:r>
        <w:pict>
          <v:rect style="width:0;height:1.5pt" o:hralign="center" o:hrstd="t" o:hr="t"/>
        </w:pict>
      </w:r>
    </w:p>
    <w:p>
      <w:pPr>
        <w:pStyle w:val="FirstParagraph"/>
      </w:pPr>
      <w:r>
        <w:rPr>
          <w:i/>
        </w:rPr>
        <w:t xml:space="preserve">[Footnotes / source notes to be attached in a later pass. Characterizations of the new long-horizon institutions (sovereign-AI funds, climate trusts, longevity escrows, data trusts, the AI Targeting Authority concept) are carried from the earlier Eighth Anchor draft and carry [VERIFY] pending source pins. The compact-vs-gift and existence-vs-enforceability authorities (Andrus, New Mexico–Arizona Act § 10, Ervien, Oregon procedural history) are from the internal doctrinal memos of May 29, 2026, and carry [VERIFY] for primary-text pinning. Margaret Bird’s manifesto line is attributed to her; she is not presented as endorsing this volume. The closing first-person voice is Dave’s and is flagged for Margaret review.]</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Stewards of the Republic · Volume II · Pre-publication draft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Stewards of the Republic</dc:title>
  <dc:creator>Dave Sullivan</dc:creator>
  <cp:keywords/>
  <dcterms:created xsi:type="dcterms:W3CDTF">2026-05-31T04:41:00Z</dcterms:created>
  <dcterms:modified xsi:type="dcterms:W3CDTF">2026-05-31T04:41:00Z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Pre-publication first draft — May 2026 · For review and comment only</vt:lpwstr>
  </property>
  <property fmtid="{D5CDD505-2E9C-101B-9397-08002B2CF9AE}" pid="3" name="subtitle">
    <vt:lpwstr>Volume II — Looking Forward · Defending the Forever Gift in the Age of Artificial Intelligence · A Forever Gift, Book Two</vt:lpwstr>
  </property>
</Properties>
</file>