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0.jpg" ContentType="image/jpeg"/>
  <Override PartName="/word/media/rId20.jpg" ContentType="image/jpeg"/>
  <Override PartName="/word/media/rId22.webp" ContentType="image/webp"/>
  <Override PartName="/word/media/rId21.webp" ContentType="image/webp"/>
  <Override PartName="/word/media/rId28.webp" ContentType="image/webp"/>
  <Override PartName="/word/media/rId20.webp" ContentType="image/webp"/>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Steals</w:t>
      </w:r>
      <w:r>
        <w:t xml:space="preserve"> </w:t>
      </w:r>
      <w:r>
        <w:t xml:space="preserve">from</w:t>
      </w:r>
      <w:r>
        <w:t xml:space="preserve"> </w:t>
      </w:r>
      <w:r>
        <w:t xml:space="preserve">Children:</w:t>
      </w:r>
      <w:r>
        <w:t xml:space="preserve"> </w:t>
      </w:r>
      <w:r>
        <w:t xml:space="preserve">Volume</w:t>
      </w:r>
      <w:r>
        <w:t xml:space="preserve"> </w:t>
      </w:r>
      <w:r>
        <w:t xml:space="preserve">1</w:t>
      </w:r>
      <w:r>
        <w:t xml:space="preserve"> </w:t>
      </w:r>
      <w:r>
        <w:t xml:space="preserve">—</w:t>
      </w:r>
      <w:r>
        <w:t xml:space="preserve"> </w:t>
      </w:r>
      <w:r>
        <w:t xml:space="preserve">Oregon</w:t>
      </w:r>
      <w:r>
        <w:t xml:space="preserve"> </w:t>
      </w:r>
      <w:r>
        <w:t xml:space="preserve">and</w:t>
      </w:r>
      <w:r>
        <w:t xml:space="preserve"> </w:t>
      </w:r>
      <w:r>
        <w:t xml:space="preserve">the</w:t>
      </w:r>
      <w:r>
        <w:t xml:space="preserve"> </w:t>
      </w:r>
      <w:r>
        <w:t xml:space="preserve">Elliott</w:t>
      </w:r>
    </w:p>
    <w:p>
      <w:pPr>
        <w:pStyle w:val="Subtitle"/>
      </w:pPr>
      <w:r>
        <w:t xml:space="preserve">A</w:t>
      </w:r>
      <w:r>
        <w:t xml:space="preserve"> </w:t>
      </w:r>
      <w:r>
        <w:t xml:space="preserve">Reader’s</w:t>
      </w:r>
      <w:r>
        <w:t xml:space="preserve"> </w:t>
      </w:r>
      <w:r>
        <w:t xml:space="preserve">Edition</w:t>
      </w:r>
    </w:p>
    <w:p>
      <w:pPr>
        <w:pStyle w:val="Author"/>
      </w:pPr>
      <w:r>
        <w:t xml:space="preserve">Dave</w:t>
      </w:r>
      <w:r>
        <w:t xml:space="preserve"> </w:t>
      </w:r>
      <w:r>
        <w:t xml:space="preserve">Sullivan</w:t>
      </w:r>
    </w:p>
    <w:p>
      <w:pPr>
        <w:pStyle w:val="Date"/>
      </w:pPr>
      <w:r>
        <w:t xml:space="preserve">Pre-publication</w:t>
      </w:r>
      <w:r>
        <w:t xml:space="preserve"> </w:t>
      </w:r>
      <w:r>
        <w:t xml:space="preserve">draft,</w:t>
      </w:r>
      <w:r>
        <w:t xml:space="preserve"> </w:t>
      </w:r>
      <w:r>
        <w:t xml:space="preserve">May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CaptionedFigure"/>
      </w:pPr>
      <w:r>
        <w:drawing>
          <wp:inline>
            <wp:extent cx="4114800" cy="6172200"/>
            <wp:effectExtent b="0" l="0" r="0" t="0"/>
            <wp:docPr descr="Cover of Who Steals from Children: Volume 1 — Oregon and the Elliott. Designed by Dave Sullivan, May 2026." title="" id="1" name="Picture"/>
            <a:graphic>
              <a:graphicData uri="http://schemas.openxmlformats.org/drawingml/2006/picture">
                <pic:pic>
                  <pic:nvPicPr>
                    <pic:cNvPr descr="/sessions/amazing-affectionate-galileo/mnt/Claude%20Cowork/_tools/_web_cache/who-steals-from-children-vol1-cover_2026-05-10_6e5d738b22b7_1200x_q90.jpg" id="0" name="Picture"/>
                    <pic:cNvPicPr>
                      <a:picLocks noChangeArrowheads="1" noChangeAspect="1"/>
                    </pic:cNvPicPr>
                  </pic:nvPicPr>
                  <pic:blipFill>
                    <a:blip r:embed="rId20"/>
                    <a:stretch>
                      <a:fillRect/>
                    </a:stretch>
                  </pic:blipFill>
                  <pic:spPr bwMode="auto">
                    <a:xfrm>
                      <a:off x="0" y="0"/>
                      <a:ext cx="4114800" cy="6172200"/>
                    </a:xfrm>
                    <a:prstGeom prst="rect">
                      <a:avLst/>
                    </a:prstGeom>
                    <a:noFill/>
                    <a:ln w="9525">
                      <a:noFill/>
                      <a:headEnd/>
                      <a:tailEnd/>
                    </a:ln>
                  </pic:spPr>
                </pic:pic>
              </a:graphicData>
            </a:graphic>
          </wp:inline>
        </w:drawing>
      </w:r>
    </w:p>
    <w:p>
      <w:pPr>
        <w:pStyle w:val="ImageCaption"/>
      </w:pPr>
      <w:r>
        <w:t xml:space="preserve">Cover of Who Steals from Children: Volume 1 — Oregon and the Elliott. Designed by Dave Sullivan, May 2026.</w:t>
      </w:r>
    </w:p>
    <w:p>
      <w:pPr>
        <w:pStyle w:val="Heading1"/>
      </w:pPr>
      <w:bookmarkStart w:id="21" w:name="who-steals-from-children"/>
      <w:r>
        <w:t xml:space="preserve">Who Steals from Children</w:t>
      </w:r>
      <w:bookmarkEnd w:id="21"/>
    </w:p>
    <w:p>
      <w:pPr>
        <w:pStyle w:val="Heading2"/>
      </w:pPr>
      <w:bookmarkStart w:id="22" w:name="volume-1-oregon-and-the-elliott"/>
      <w:r>
        <w:t xml:space="preserve">Volume 1 — Oregon and the Elliott</w:t>
      </w:r>
      <w:bookmarkEnd w:id="22"/>
    </w:p>
    <w:p>
      <w:pPr>
        <w:pStyle w:val="Heading3"/>
      </w:pPr>
      <w:bookmarkStart w:id="23" w:name="a-readers-edition"/>
      <w:r>
        <w:t xml:space="preserve">A Reader’s Edition</w:t>
      </w:r>
      <w:bookmarkEnd w:id="23"/>
    </w:p>
    <w:p>
      <w:pPr>
        <w:pStyle w:val="FirstParagraph"/>
      </w:pPr>
      <w:r>
        <w:rPr>
          <w:b/>
        </w:rPr>
        <w:t xml:space="preserve">Dave Sullivan</w:t>
      </w:r>
    </w:p>
    <w:p>
      <w:pPr>
        <w:pStyle w:val="BodyText"/>
      </w:pPr>
      <w:r>
        <w:t xml:space="preserve">Published by America’s School Trust Library at schooltrusts.net.</w:t>
      </w:r>
    </w:p>
    <w:p>
      <w:pPr>
        <w:pStyle w:val="BodyText"/>
      </w:pPr>
      <w:r>
        <w:rPr>
          <w:i/>
        </w:rPr>
        <w:t xml:space="preserve">Pre-publication draft — for review and comment only. Please do not cite or quote.</w:t>
      </w:r>
    </w:p>
    <w:p>
      <w:r>
        <w:pict>
          <v:rect style="width:0;height:1.5pt" o:hralign="center" o:hrstd="t" o:hr="t"/>
        </w:pict>
      </w:r>
    </w:p>
    <w:p>
      <w:pPr>
        <w:pStyle w:val="Heading1"/>
      </w:pPr>
      <w:bookmarkStart w:id="24" w:name="foreword"/>
      <w:r>
        <w:t xml:space="preserve">Foreword</w:t>
      </w:r>
      <w:bookmarkEnd w:id="24"/>
    </w:p>
    <w:p>
      <w:pPr>
        <w:pStyle w:val="BlockText"/>
      </w:pPr>
      <w:r>
        <w:rPr>
          <w:b/>
        </w:rPr>
        <w:t xml:space="preserve">DRAFT foreword — written by Dave Sullivan in Margaret Bird’s voice; not reviewed or endorsed by Margaret Bird; placeholder pending her review.</w:t>
      </w:r>
      <w:r>
        <w:t xml:space="preserve"> </w:t>
      </w:r>
      <w:r>
        <w:t xml:space="preserve">The text below is a draft composed by Dave Sullivan imagining how Margaret Bird might introduce this book. It is NOT Margaret Bird’s words and carries NO endorsement from her. It must not be quoted, cited, or presented as her statement until she has affirmatively written and approved a foreword in her own name.</w:t>
      </w:r>
    </w:p>
    <w:p>
      <w:pPr>
        <w:pStyle w:val="FirstParagraph"/>
      </w:pPr>
      <w:r>
        <w:rPr>
          <w:i/>
        </w:rPr>
        <w:t xml:space="preserve">DRAFT — in the voice of Margaret Bird; not her words; not endorsed by her.</w:t>
      </w:r>
    </w:p>
    <w:p>
      <w:pPr>
        <w:pStyle w:val="BodyText"/>
      </w:pPr>
      <w:r>
        <w:t xml:space="preserve">I have spent the last twenty-three years inside the architecture of America’s school trust lands. I came to this work as an economist, by way of state-government fiscal analysis, and I stayed in it because the architecture itself is one of the most extraordinary fiduciary experiments any country has ever attempted — a forever gift, from the founding generation to the unborn, of a piece of land in every township dedicated to the maintenance of the public schools. I have read the admission acts. I have read the trust accountings. I have sat in trustee meetings in nearly every public-land state in the country. I am, by training and by long habit, slow to call something a theft. I want the reader to register that before I say what I am about to say.</w:t>
      </w:r>
    </w:p>
    <w:p>
      <w:pPr>
        <w:pStyle w:val="BodyText"/>
      </w:pPr>
      <w:r>
        <w:t xml:space="preserve">In 2016 the Oregon School Boards Association asked me, for a press release, to compare Oregon’s school-trust record to the broader national record. I gave them the sentence I want this foreword to rest on. I said:</w:t>
      </w:r>
      <w:r>
        <w:t xml:space="preserve"> </w:t>
      </w:r>
      <w:r>
        <w:rPr>
          <w:i/>
        </w:rPr>
        <w:t xml:space="preserve">In the 235-year history of school trust lands that I have been studying for the last 23 years, no state has spent more than they earned like Oregon has. It never has happened.</w:t>
      </w:r>
    </w:p>
    <w:p>
      <w:pPr>
        <w:pStyle w:val="BodyText"/>
      </w:pPr>
      <w:r>
        <w:t xml:space="preserve">I meant the sentence literally. I had not been making rhetorical points; I had been doing arithmetic. A school trust is supposed to grow. The corpus is supposed to be preserved. The income is supposed to flow to the schools. Across the public-land states there is enormous variation in how well trustees have done this — some states have built their permanent funds into the billions; others have watched their corpus erode through inattention or inflation. But before Oregon, in two and a third centuries of the experiment running, no state had managed to</w:t>
      </w:r>
      <w:r>
        <w:t xml:space="preserve"> </w:t>
      </w:r>
      <w:r>
        <w:rPr>
          <w:i/>
        </w:rPr>
        <w:t xml:space="preserve">spend more than it had earned</w:t>
      </w:r>
      <w:r>
        <w:t xml:space="preserve"> </w:t>
      </w:r>
      <w:r>
        <w:t xml:space="preserve">on its trust lands. That is what Oregon did. It was, in the literal accounting sense, unprecedented. Ten years later, I am more certain than I was then.</w:t>
      </w:r>
    </w:p>
    <w:p>
      <w:pPr>
        <w:pStyle w:val="BodyText"/>
      </w:pPr>
      <w:r>
        <w:t xml:space="preserve">Dave Sullivan asked me to write this foreword because he and I have been collaborators for years and because my name on the front of the book signals to the school-trust community that what he documents in the body is consistent with what the rest of us, working inside this architecture across the country, have been watching Oregon do. I am giving that signal deliberately. I have read his manuscript, his cases, and the State’s filings. I have watched the people he names make the decisions he describes them making. The indictment Dave lays out in this book is, in my judgment, correct. It is conservatively stated. It is supported by the documentary record. And it describes, in the particulars, a pattern I have seen in outline in other states and have never seen anyone else describe as openly or as completely.</w:t>
      </w:r>
    </w:p>
    <w:p>
      <w:pPr>
        <w:pStyle w:val="BodyText"/>
      </w:pPr>
      <w:r>
        <w:t xml:space="preserve">I want to tell the reader, briefly, what makes Oregon’s case clarifying for the school-trust field.</w:t>
      </w:r>
    </w:p>
    <w:p>
      <w:pPr>
        <w:pStyle w:val="BodyText"/>
      </w:pPr>
      <w:r>
        <w:t xml:space="preserve">First, what</w:t>
      </w:r>
      <w:r>
        <w:t xml:space="preserve"> </w:t>
      </w:r>
      <w:r>
        <w:rPr>
          <w:i/>
        </w:rPr>
        <w:t xml:space="preserve">decoupling</w:t>
      </w:r>
      <w:r>
        <w:t xml:space="preserve"> </w:t>
      </w:r>
      <w:r>
        <w:t xml:space="preserve">means. For the last decade, the State of Oregon has used the word</w:t>
      </w:r>
      <w:r>
        <w:t xml:space="preserve"> </w:t>
      </w:r>
      <w:r>
        <w:rPr>
          <w:i/>
        </w:rPr>
        <w:t xml:space="preserve">decoupling</w:t>
      </w:r>
      <w:r>
        <w:t xml:space="preserve"> </w:t>
      </w:r>
      <w:r>
        <w:t xml:space="preserve">to describe what it has been doing to the Elliott — separating the forest from the Common School Fund’s beneficial interest, transferring it to a research-forest arrangement, compensating the fund with bonds. The word is bureaucratic, polite, abstract.</w:t>
      </w:r>
    </w:p>
    <w:p>
      <w:pPr>
        <w:pStyle w:val="BodyText"/>
      </w:pPr>
      <w:r>
        <w:t xml:space="preserve">In a letter I wrote to the State Land Board on December 11, 2022, the day before the Board’s vote on the so-called</w:t>
      </w:r>
      <w:r>
        <w:t xml:space="preserve"> </w:t>
      </w:r>
      <w:r>
        <w:rPr>
          <w:i/>
        </w:rPr>
        <w:t xml:space="preserve">investment value</w:t>
      </w:r>
      <w:r>
        <w:t xml:space="preserve"> </w:t>
      </w:r>
      <w:r>
        <w:t xml:space="preserve">sale, I told the Board what the word meant. I wrote:</w:t>
      </w:r>
      <w:r>
        <w:t xml:space="preserve"> </w:t>
      </w:r>
      <w:r>
        <w:rPr>
          <w:i/>
        </w:rPr>
        <w:t xml:space="preserve">decoupling is a euphemism for selling</w:t>
      </w:r>
      <w:r>
        <w:t xml:space="preserve">. A trustee that takes the trust’s primary working asset, transfers it to an outside arrangement at a price the trustee itself has chosen, and substitutes a stream of general-fund bonds for the asset’s earnings has</w:t>
      </w:r>
      <w:r>
        <w:t xml:space="preserve"> </w:t>
      </w:r>
      <w:r>
        <w:rPr>
          <w:i/>
        </w:rPr>
        <w:t xml:space="preserve">sold the asset</w:t>
      </w:r>
      <w:r>
        <w:t xml:space="preserve">. The bookkeeping is more elaborate than a normal sale; the doctrine is the same. The receivables that were substituted for the asset are an obligation of the state’s general fund, not of the trust corpus. That is the difference between owning a piece of property and owning a promise from a politician.</w:t>
      </w:r>
    </w:p>
    <w:p>
      <w:pPr>
        <w:pStyle w:val="BodyText"/>
      </w:pPr>
      <w:r>
        <w:t xml:space="preserve">The Board voted anyway. Twelve months later the architect of the receiving arrangement, OSU, withdrew. The structural plan kept moving through different channels. The pattern Dave documents in the chapters that follow is what happens when a fiduciary process keeps advancing after the architecture justifying it has collapsed — when the</w:t>
      </w:r>
      <w:r>
        <w:t xml:space="preserve"> </w:t>
      </w:r>
      <w:r>
        <w:rPr>
          <w:i/>
        </w:rPr>
        <w:t xml:space="preserve">transfer</w:t>
      </w:r>
      <w:r>
        <w:t xml:space="preserve"> </w:t>
      </w:r>
      <w:r>
        <w:t xml:space="preserve">is the object, and the rationale is a story the trustee tells itself.</w:t>
      </w:r>
    </w:p>
    <w:p>
      <w:pPr>
        <w:pStyle w:val="BodyText"/>
      </w:pPr>
      <w:r>
        <w:t xml:space="preserve">The second thing to register is how unusual the</w:t>
      </w:r>
      <w:r>
        <w:t xml:space="preserve"> </w:t>
      </w:r>
      <w:r>
        <w:rPr>
          <w:i/>
        </w:rPr>
        <w:t xml:space="preserve">combination</w:t>
      </w:r>
      <w:r>
        <w:t xml:space="preserve"> </w:t>
      </w:r>
      <w:r>
        <w:t xml:space="preserve">of failures in Oregon is. I have seen trustees make poor investment decisions, miscalibrate harvest rotations, over-rely on a single asset class, fail to account properly to their beneficiaries. Each of those things is, separately, recoverable. The trust survives the mistake; the next generation of trustees does better; the corpus is rebuilt. What Oregon has done is different. Oregon has stacked the failures. The asset was managed down. The losses were treated as a justification for</w:t>
      </w:r>
      <w:r>
        <w:t xml:space="preserve"> </w:t>
      </w:r>
      <w:r>
        <w:rPr>
          <w:i/>
        </w:rPr>
        <w:t xml:space="preserve">removing the asset from the trust altogether</w:t>
      </w:r>
      <w:r>
        <w:t xml:space="preserve">. The removal was priced by an appraisal the trustee selected. The compensation was substituted from a source — general-fund bonds — that the trustee itself controls and can stop paying at any future legislative session. The trustee’s own counsel, when sued by schoolchildren, filed a formal pleading saying the trustee</w:t>
      </w:r>
      <w:r>
        <w:t xml:space="preserve"> </w:t>
      </w:r>
      <w:r>
        <w:rPr>
          <w:i/>
        </w:rPr>
        <w:t xml:space="preserve">“</w:t>
      </w:r>
      <w:r>
        <w:rPr>
          <w:i/>
        </w:rPr>
        <w:t xml:space="preserve">does not owe Plaintiffs the duties alleged.</w:t>
      </w:r>
      <w:r>
        <w:rPr>
          <w:i/>
        </w:rPr>
        <w:t xml:space="preserve">”</w:t>
      </w:r>
      <w:r>
        <w:t xml:space="preserve"> </w:t>
      </w:r>
      <w:r>
        <w:t xml:space="preserve">I have not, in twenty-three years, seen a state make that denial in a court of law. It is the sentence that, more than any other, told me Dave was right that this had to be written down now, while the record was still open.</w:t>
      </w:r>
    </w:p>
    <w:p>
      <w:pPr>
        <w:pStyle w:val="BodyText"/>
      </w:pPr>
      <w:r>
        <w:t xml:space="preserve">The third thing to register is what is at stake doctrinally — not just for Oregon’s schoolchildren, who lose what is being taken — but for the school-trust architecture itself across the country. The trust mechanism the Confederation Congress wrote into the Northwest Ordinance in 1787 and that every public-land state inherited at admission has, in most places, held across two centuries. It has held because the doctrine has held: the trustee owes duties; the duties are enforceable; the beneficiary class — children — has, in principle, standing to assert them. Oregon’s defense in the lawsuit Dave’s organization filed is, in plain language, that none of those propositions is true. If Oregon’s defense succeeds, the doctrine that has held the school-trust architecture together since 1787 is broken not just in Oregon but everywhere it is treated as persuasive authority. If Oregon’s defense fails — as I expect it will, and as the Court of Appeals’ January 28, 2026 standing ruling already suggests it will — the doctrine is strengthened by the very fact of its having been tested.</w:t>
      </w:r>
    </w:p>
    <w:p>
      <w:pPr>
        <w:pStyle w:val="BodyText"/>
      </w:pPr>
      <w:r>
        <w:t xml:space="preserve">That is why this book matters beyond Oregon. Other states are watching. What Oregon’s State Land Board has tried to do is something that, if it were allowed to stand, would be tried elsewhere within a decade.</w:t>
      </w:r>
    </w:p>
    <w:p>
      <w:pPr>
        <w:pStyle w:val="BodyText"/>
      </w:pPr>
      <w:r>
        <w:t xml:space="preserve">I do not put my name on books lightly, and the reader has a right to know what I am vouching for. I am not vouching for every adjective. Dave writes the way he talks — plainly, sometimes sharply, with the confidence of a man who has been in this fight long enough to know what he is looking at. I have edited his text where I thought it overstated. He has accepted those edits. Where he has not, it is because the documentary record was stronger than I had remembered. I am vouching for the body of the case — the dates, the dollar figures, the named actors, and the fact that the decisions described in this book were made by those actors at the times the book says they made them. I have read the underlying documents. They support the text.</w:t>
      </w:r>
    </w:p>
    <w:p>
      <w:pPr>
        <w:pStyle w:val="BodyText"/>
      </w:pPr>
      <w:r>
        <w:t xml:space="preserve">I am also vouching, more importantly, for the conclusion. In the 235-year history of school trust lands, no state has done what Oregon is doing. The Elliott is, by the State’s own appraisal, worth $99.6 million; by every independent assessment I have seen, worth ten times that. The schoolchildren of Oregon are the beneficiaries of a trust that, on paper, still exists. In practice, the trustee has been removing the asset from the trust for a decade and arguing in court that it has no duty to do otherwise. That is the indictment. Dave has documented it. I have checked it. The reader can judge.</w:t>
      </w:r>
    </w:p>
    <w:p>
      <w:pPr>
        <w:pStyle w:val="BodyText"/>
      </w:pPr>
      <w:r>
        <w:t xml:space="preserve">Before turning the page to Dave’s preface, the framing I think most clarifies what you are about to read.</w:t>
      </w:r>
    </w:p>
    <w:p>
      <w:pPr>
        <w:pStyle w:val="BodyText"/>
      </w:pPr>
      <w:r>
        <w:t xml:space="preserve">A school trust is a forever gift to forever schools for a forever democracy. The trustees of that gift are the officials in whose hands the corpus rests at any moment. They did not write the trust; they inherited it. They will hand it forward. Their fiduciary duty runs to children they will never meet, in classrooms not yet built. The only question that matters across the generations is whether each generation of trustees handed the corpus forward at least as intact as they received it.</w:t>
      </w:r>
    </w:p>
    <w:p>
      <w:pPr>
        <w:pStyle w:val="BodyText"/>
      </w:pPr>
      <w:r>
        <w:t xml:space="preserve">Oregon’s current trustees have not. That is the finding of this book. I concur in it.</w:t>
      </w:r>
    </w:p>
    <w:p>
      <w:pPr>
        <w:pStyle w:val="BodyText"/>
      </w:pPr>
      <w:r>
        <w:t xml:space="preserve">The work of the next generation — of which Dave Sullivan is one, his lead counsel Daniel Zene Crowe another, and the schoolchildren named as plaintiffs in</w:t>
      </w:r>
      <w:r>
        <w:t xml:space="preserve"> </w:t>
      </w:r>
      <w:r>
        <w:rPr>
          <w:i/>
        </w:rPr>
        <w:t xml:space="preserve">Advocates for School Trust Lands v. State of Oregon</w:t>
      </w:r>
      <w:r>
        <w:t xml:space="preserve"> </w:t>
      </w:r>
      <w:r>
        <w:t xml:space="preserve">the rest — is to stop the loss and restore what can be restored. The work after that is to make sure what has happened in Oregon does not happen in the next state, and the next.</w:t>
      </w:r>
    </w:p>
    <w:p>
      <w:pPr>
        <w:pStyle w:val="BodyText"/>
      </w:pPr>
      <w:r>
        <w:t xml:space="preserve">This book is the field’s working document for both tasks.</w:t>
      </w:r>
    </w:p>
    <w:p>
      <w:pPr>
        <w:pStyle w:val="BodyText"/>
      </w:pPr>
      <w:r>
        <w:t xml:space="preserve">— [DRAFT in Margaret Bird’s voice — written by Dave Sullivan; not reviewed or endorsed by Margaret Bird. Placeholder pending her review.]</w:t>
      </w:r>
      <w:r>
        <w:t xml:space="preserve"> </w:t>
      </w:r>
      <w:r>
        <w:t xml:space="preserve"/>
      </w:r>
    </w:p>
    <w:p>
      <w:pPr>
        <w:pStyle w:val="Heading1"/>
      </w:pPr>
      <w:bookmarkStart w:id="25" w:name="preface"/>
      <w:r>
        <w:t xml:space="preserve">Preface</w:t>
      </w:r>
      <w:bookmarkEnd w:id="25"/>
    </w:p>
    <w:p>
      <w:pPr>
        <w:pStyle w:val="FirstParagraph"/>
      </w:pPr>
      <w:r>
        <w:rPr>
          <w:i/>
        </w:rPr>
        <w:t xml:space="preserve">by Dave Sullivan</w:t>
      </w:r>
    </w:p>
    <w:p>
      <w:pPr>
        <w:pStyle w:val="Heading2"/>
      </w:pPr>
      <w:bookmarkStart w:id="26" w:name="why-i-wrote-this-book"/>
      <w:r>
        <w:t xml:space="preserve">Why I Wrote This Book</w:t>
      </w:r>
      <w:bookmarkEnd w:id="26"/>
    </w:p>
    <w:p>
      <w:pPr>
        <w:pStyle w:val="FirstParagraph"/>
      </w:pPr>
      <w:r>
        <w:t xml:space="preserve">Before you read any of the chapters that follow, I want to tell you what I am asking you to read this book</w:t>
      </w:r>
      <w:r>
        <w:t xml:space="preserve"> </w:t>
      </w:r>
      <w:r>
        <w:rPr>
          <w:i/>
        </w:rPr>
        <w:t xml:space="preserve">as</w:t>
      </w:r>
      <w:r>
        <w:t xml:space="preserve">. It is not a memoir or a polemic. It is an indictment — assembled from the documentary record, dated, named, footnoted, offered as a citizen’s brief on what the State of Oregon is doing to its schoolchildren and to the forest that was supposed to fund them. I have written it the way the case will be tried: in dates, in dollars, in named actors, in the actors’ own words. Where I have an opinion, I will tell you it is an opinion. Where I have a fact, I will give you the document.</w:t>
      </w:r>
    </w:p>
    <w:p>
      <w:pPr>
        <w:pStyle w:val="BodyText"/>
      </w:pPr>
      <w:r>
        <w:t xml:space="preserve">I started this work in 1996, although I did not know it at the time. I had recently joined the OSU College of Business as an assistant professor, after fifteen years at Tektronix in Portland watching a great American company lose its grip on what it had invented. I bought a tree farm in the Kings Valley west of Corvallis, joined the Oregon Small Woodlands Association, and began to pay attention to the Elliott State Forest, about a hundred and twenty miles south of my land, which the Oregon Department of Forestry was, in those years, managing well.</w:t>
      </w:r>
    </w:p>
    <w:p>
      <w:pPr>
        <w:pStyle w:val="BodyText"/>
      </w:pPr>
      <w:r>
        <w:t xml:space="preserve">The Elliott was producing about fifty million board feet of timber annually for the schools. Jerry Phillips, the District Manager who ran the Elliott from 1968 to 2001, said that his thirty-three years there had produced</w:t>
      </w:r>
      <w:r>
        <w:t xml:space="preserve"> </w:t>
      </w:r>
      <w:r>
        <w:t xml:space="preserve">“</w:t>
      </w:r>
      <w:r>
        <w:t xml:space="preserve">$790 million dollars of revenue in Oregon’s Irreducible Common School Fund and supported about 400 jobs for the local economy.</w:t>
      </w:r>
      <w:r>
        <w:t xml:space="preserve">”</w:t>
      </w:r>
      <w:r>
        <w:t xml:space="preserve"> </w:t>
      </w:r>
      <w:r>
        <w:t xml:space="preserve">That was the baseline. That is the world this book is, in part, trying to explain the loss of.</w:t>
      </w:r>
    </w:p>
    <w:p>
      <w:pPr>
        <w:pStyle w:val="BodyText"/>
      </w:pPr>
      <w:r>
        <w:t xml:space="preserve">By 2017 the baseline was gone. The harvest had dropped to zero. The State Land Board, sitting as trustee, had decided that the Elliott was</w:t>
      </w:r>
      <w:r>
        <w:t xml:space="preserve"> </w:t>
      </w:r>
      <w:r>
        <w:t xml:space="preserve">“</w:t>
      </w:r>
      <w:r>
        <w:t xml:space="preserve">a net drain on the fund</w:t>
      </w:r>
      <w:r>
        <w:t xml:space="preserve">”</w:t>
      </w:r>
      <w:r>
        <w:t xml:space="preserve"> </w:t>
      </w:r>
      <w:r>
        <w:t xml:space="preserve">and had set in motion a series of decisions — the Lone Rock sale, the Lone Rock reversal, the OSU</w:t>
      </w:r>
      <w:r>
        <w:t xml:space="preserve"> </w:t>
      </w:r>
      <w:r>
        <w:t xml:space="preserve">“</w:t>
      </w:r>
      <w:r>
        <w:t xml:space="preserve">research forest</w:t>
      </w:r>
      <w:r>
        <w:t xml:space="preserve">”</w:t>
      </w:r>
      <w:r>
        <w:t xml:space="preserve"> </w:t>
      </w:r>
      <w:r>
        <w:t xml:space="preserve">plan, the $100 million bond issue, the $99.6 million appraisal, the December 2022 vote, the formal denial of fiduciary duty in 2025 — that, taken together, amount to the conversion of a billion-dollar trust asset to a research forest paid for by general-fund bonds.</w:t>
      </w:r>
    </w:p>
    <w:p>
      <w:pPr>
        <w:pStyle w:val="BodyText"/>
      </w:pPr>
      <w:r>
        <w:t xml:space="preserve">I want to tell you the moment the case crystallized for me.</w:t>
      </w:r>
    </w:p>
    <w:p>
      <w:pPr>
        <w:pStyle w:val="BodyText"/>
      </w:pPr>
      <w:r>
        <w:t xml:space="preserve">It was October 24, 2025. I was sitting at my desk in Kings Valley reading the State’s formal Answer in</w:t>
      </w:r>
      <w:r>
        <w:t xml:space="preserve"> </w:t>
      </w:r>
      <w:r>
        <w:rPr>
          <w:i/>
        </w:rPr>
        <w:t xml:space="preserve">Advocates for School Trust Lands v. State of Oregon</w:t>
      </w:r>
      <w:r>
        <w:t xml:space="preserve">. In paragraph after paragraph the State, through its Department of Justice, denied the substantive allegations in our complaint. That part I expected. What I did not expect was the language the State used to deny the duty itself. The State of Oregon, sitting as trustee of an Article VIII trust the Oregon Constitution had established in 1859 and the Oregon Supreme Court had recognized in</w:t>
      </w:r>
      <w:r>
        <w:t xml:space="preserve"> </w:t>
      </w:r>
      <w:r>
        <w:rPr>
          <w:i/>
        </w:rPr>
        <w:t xml:space="preserve">Eagle Point Irrigation District v. Cowden</w:t>
      </w:r>
      <w:r>
        <w:t xml:space="preserve"> </w:t>
      </w:r>
      <w:r>
        <w:t xml:space="preserve">in 1931 as a</w:t>
      </w:r>
      <w:r>
        <w:t xml:space="preserve"> </w:t>
      </w:r>
      <w:r>
        <w:t xml:space="preserve">“</w:t>
      </w:r>
      <w:r>
        <w:t xml:space="preserve">trust of the highest nature,</w:t>
      </w:r>
      <w:r>
        <w:t xml:space="preserve">”</w:t>
      </w:r>
      <w:r>
        <w:t xml:space="preserve"> </w:t>
      </w:r>
      <w:r>
        <w:t xml:space="preserve">filed a pleading saying it</w:t>
      </w:r>
      <w:r>
        <w:t xml:space="preserve"> </w:t>
      </w:r>
      <w:r>
        <w:t xml:space="preserve">“</w:t>
      </w:r>
      <w:r>
        <w:t xml:space="preserve">does not owe Plaintiffs the duties alleged.</w:t>
      </w:r>
      <w:r>
        <w:t xml:space="preserve">”</w:t>
      </w:r>
    </w:p>
    <w:p>
      <w:pPr>
        <w:pStyle w:val="BodyText"/>
      </w:pPr>
      <w:r>
        <w:t xml:space="preserve">I read the sentence twice. Then I read it again. I sat at the desk for a while and did not move.</w:t>
      </w:r>
    </w:p>
    <w:p>
      <w:pPr>
        <w:pStyle w:val="BodyText"/>
      </w:pPr>
      <w:r>
        <w:t xml:space="preserve">What I had been arguing for two decades — that the State was breaching its fiduciary duty, that the trust was being drained, that the Elliott was being taken from the schoolchildren — had been, until that moment, an allegation I had to prove. The State’s preferred posture had been to argue jurisdiction, standing, ripeness, the technicalities. With its October 24, 2025 Answer the State did something different. It told the court, in writing, that it owed no duties to my clients at all. It denied the trust.</w:t>
      </w:r>
    </w:p>
    <w:p>
      <w:pPr>
        <w:pStyle w:val="BodyText"/>
      </w:pPr>
      <w:r>
        <w:t xml:space="preserve">That was the moment.</w:t>
      </w:r>
      <w:r>
        <w:t xml:space="preserve"> </w:t>
      </w:r>
      <w:r>
        <w:rPr>
          <w:i/>
        </w:rPr>
        <w:t xml:space="preserve">They have given me, in their own pleading, the indictment.</w:t>
      </w:r>
    </w:p>
    <w:p>
      <w:pPr>
        <w:pStyle w:val="BodyText"/>
      </w:pPr>
      <w:r>
        <w:t xml:space="preserve">The book you are about to read is the indictment that filing made writable. Every chapter is some version of:</w:t>
      </w:r>
      <w:r>
        <w:t xml:space="preserve"> </w:t>
      </w:r>
      <w:r>
        <w:rPr>
          <w:i/>
        </w:rPr>
        <w:t xml:space="preserve">here is what the State has done, here is the document showing it, here is the date.</w:t>
      </w:r>
      <w:r>
        <w:t xml:space="preserve"> </w:t>
      </w:r>
      <w:r>
        <w:t xml:space="preserve">I am not asking you to take my word. I am asking you to read what the State itself put in writing and draw the conclusion the documents draw.</w:t>
      </w:r>
    </w:p>
    <w:p>
      <w:pPr>
        <w:pStyle w:val="BodyText"/>
      </w:pPr>
      <w:r>
        <w:t xml:space="preserve">I owe you, before we begin, the source of the title.</w:t>
      </w:r>
    </w:p>
    <w:p>
      <w:pPr>
        <w:pStyle w:val="BodyText"/>
      </w:pPr>
      <w:r>
        <w:t xml:space="preserve">In May 2024, the journalist Jim Petersen, who has covered Pacific Northwest forestry for sixty years and who publishes</w:t>
      </w:r>
      <w:r>
        <w:t xml:space="preserve"> </w:t>
      </w:r>
      <w:r>
        <w:rPr>
          <w:i/>
        </w:rPr>
        <w:t xml:space="preserve">Evergreen Magazine</w:t>
      </w:r>
      <w:r>
        <w:t xml:space="preserve"> </w:t>
      </w:r>
      <w:r>
        <w:t xml:space="preserve">out of Dalton Gardens, Idaho, published an article on the Elliott decoupling. He titled it</w:t>
      </w:r>
      <w:r>
        <w:t xml:space="preserve"> </w:t>
      </w:r>
      <w:r>
        <w:rPr>
          <w:i/>
        </w:rPr>
        <w:t xml:space="preserve">Who Steals from Children?</w:t>
      </w:r>
      <w:r>
        <w:t xml:space="preserve"> </w:t>
      </w:r>
      <w:r>
        <w:t xml:space="preserve">He sent me a transmittal note on May 5, 2024 with the final approved versions, and on May 7</w:t>
      </w:r>
      <w:r>
        <w:t xml:space="preserve"> </w:t>
      </w:r>
      <w:r>
        <w:rPr>
          <w:i/>
        </w:rPr>
        <w:t xml:space="preserve">Evergreen</w:t>
      </w:r>
      <w:r>
        <w:t xml:space="preserve"> </w:t>
      </w:r>
      <w:r>
        <w:t xml:space="preserve">posted it. Petersen’s editor’s note opened with a sentence that has stayed with me longer than any other writing on this case:</w:t>
      </w:r>
      <w:r>
        <w:t xml:space="preserve"> </w:t>
      </w:r>
      <w:r>
        <w:rPr>
          <w:i/>
        </w:rPr>
        <w:t xml:space="preserve">“</w:t>
      </w:r>
      <w:r>
        <w:rPr>
          <w:i/>
        </w:rPr>
        <w:t xml:space="preserve">In my 60 years as a working journalist, Who Steals from Children is easily one of the most frustrating and purposefully deceptive stories I’ve ever followed.</w:t>
      </w:r>
      <w:r>
        <w:rPr>
          <w:i/>
        </w:rPr>
        <w:t xml:space="preserve">”</w:t>
      </w:r>
      <w:r>
        <w:t xml:space="preserve"> </w:t>
      </w:r>
      <w:r>
        <w:t xml:space="preserve">When the Library decided, in early 2026, to launch an anthology series documenting state-by-state attempts to diminish Common School Funds, Jim Petersen’s title was the only one that fit. He has graciously allowed us to carry the phrase forward. This book is Volume 1 of the series; the title is his, with attribution.</w:t>
      </w:r>
    </w:p>
    <w:p>
      <w:pPr>
        <w:pStyle w:val="BodyText"/>
      </w:pPr>
      <w:r>
        <w:t xml:space="preserve">The title is sharp enough that I owe you a clear statement of what I have not written.</w:t>
      </w:r>
    </w:p>
    <w:p>
      <w:pPr>
        <w:pStyle w:val="BodyText"/>
      </w:pPr>
      <w:r>
        <w:t xml:space="preserve">I have not written a polemic. The State of Oregon is not run by villains. It is run, mostly, by people I have voted for, in some cases campaigned for, in a few cases known socially for decades. None of them, to my knowledge, set out to break the trust. What this book documents is the slower and more troubling pattern of how a trust can be broken by people of generally good intentions who, decision by decision, conclude that the next move is defensible. Each move can be defended. The cumulative pattern cannot. The indictment is not a moral one against any particular person. It is a fiduciary one against the institution as it has been functioning for a decade.</w:t>
      </w:r>
    </w:p>
    <w:p>
      <w:pPr>
        <w:pStyle w:val="BodyText"/>
      </w:pPr>
      <w:r>
        <w:t xml:space="preserve">I have not written a partisan book. Oregon’s drift has happened under Democratic governors and been criticized by Republicans — Secretary of State Dennis Richardson before his death, State Representative Court Boice in open letters to the current Governor and Treasurer. Richardson’s verdict on the Lone Rock reversal was that the State had committed</w:t>
      </w:r>
      <w:r>
        <w:t xml:space="preserve"> </w:t>
      </w:r>
      <w:r>
        <w:t xml:space="preserve">“</w:t>
      </w:r>
      <w:r>
        <w:t xml:space="preserve">a breach of our ethics.</w:t>
      </w:r>
      <w:r>
        <w:t xml:space="preserve">”</w:t>
      </w:r>
      <w:r>
        <w:t xml:space="preserve"> </w:t>
      </w:r>
      <w:r>
        <w:t xml:space="preserve">I give credit where it is owed, regardless of party.</w:t>
      </w:r>
    </w:p>
    <w:p>
      <w:pPr>
        <w:pStyle w:val="BodyText"/>
      </w:pPr>
      <w:r>
        <w:t xml:space="preserve">I have not written an attack on environmentalism. I am a tree farmer. I love the Elliott. What I object to is not the</w:t>
      </w:r>
      <w:r>
        <w:t xml:space="preserve"> </w:t>
      </w:r>
      <w:r>
        <w:rPr>
          <w:i/>
        </w:rPr>
        <w:t xml:space="preserve">protection</w:t>
      </w:r>
      <w:r>
        <w:t xml:space="preserve"> </w:t>
      </w:r>
      <w:r>
        <w:t xml:space="preserve">of the forest but the</w:t>
      </w:r>
      <w:r>
        <w:t xml:space="preserve"> </w:t>
      </w:r>
      <w:r>
        <w:rPr>
          <w:i/>
        </w:rPr>
        <w:t xml:space="preserve">theft</w:t>
      </w:r>
      <w:r>
        <w:t xml:space="preserve"> </w:t>
      </w:r>
      <w:r>
        <w:t xml:space="preserve">of the forest from the trust — the use of</w:t>
      </w:r>
      <w:r>
        <w:t xml:space="preserve"> </w:t>
      </w:r>
      <w:r>
        <w:t xml:space="preserve">“</w:t>
      </w:r>
      <w:r>
        <w:t xml:space="preserve">research</w:t>
      </w:r>
      <w:r>
        <w:t xml:space="preserve">”</w:t>
      </w:r>
      <w:r>
        <w:t xml:space="preserve"> </w:t>
      </w:r>
      <w:r>
        <w:t xml:space="preserve">and</w:t>
      </w:r>
      <w:r>
        <w:t xml:space="preserve"> </w:t>
      </w:r>
      <w:r>
        <w:t xml:space="preserve">“</w:t>
      </w:r>
      <w:r>
        <w:t xml:space="preserve">carbon</w:t>
      </w:r>
      <w:r>
        <w:t xml:space="preserve">”</w:t>
      </w:r>
      <w:r>
        <w:t xml:space="preserve"> </w:t>
      </w:r>
      <w:r>
        <w:t xml:space="preserve">and</w:t>
      </w:r>
      <w:r>
        <w:t xml:space="preserve"> </w:t>
      </w:r>
      <w:r>
        <w:t xml:space="preserve">“</w:t>
      </w:r>
      <w:r>
        <w:t xml:space="preserve">wildlife</w:t>
      </w:r>
      <w:r>
        <w:t xml:space="preserve">”</w:t>
      </w:r>
      <w:r>
        <w:t xml:space="preserve"> </w:t>
      </w:r>
      <w:r>
        <w:t xml:space="preserve">as cover stories for the conversion of a billion-dollar asset out of the children’s trust into a state agency the legislature can fund or defund as it pleases. The forest can be protected. The children can be served. The State has chosen to do neither while telling everyone it has done both.</w:t>
      </w:r>
    </w:p>
    <w:p>
      <w:pPr>
        <w:pStyle w:val="BodyText"/>
      </w:pPr>
      <w:r>
        <w:t xml:space="preserve">I have not written a final word. The case is in active litigation. The Court of Appeals’ January 28, 2026 standing ruling has opened the door; the trial phase is ahead of us. I will update what I can in future printings.</w:t>
      </w:r>
    </w:p>
    <w:p>
      <w:pPr>
        <w:pStyle w:val="BodyText"/>
      </w:pPr>
      <w:r>
        <w:t xml:space="preserve">What I have written is the case as it stood on the day the State formally denied the duty: a fiduciary indictment in plain language, with the documents available for inspection, addressed to the parents and school administrators and journalists and legislators and trust-law specialists who can, between them, decide whether what is being taken will continue to be taken.</w:t>
      </w:r>
    </w:p>
    <w:p>
      <w:pPr>
        <w:pStyle w:val="BodyText"/>
      </w:pPr>
      <w:r>
        <w:t xml:space="preserve">The forest belongs to the children. The trust says so. The Constitution says so. The State of Oregon says, in writing, that it does not.</w:t>
      </w:r>
    </w:p>
    <w:p>
      <w:pPr>
        <w:pStyle w:val="BodyText"/>
      </w:pPr>
      <w:r>
        <w:t xml:space="preserve">This book is the record of the disagreement, and an argument that the children should win it.</w:t>
      </w:r>
    </w:p>
    <w:p>
      <w:pPr>
        <w:pStyle w:val="BodyText"/>
      </w:pPr>
      <w:r>
        <w:t xml:space="preserve">— Dave Sullivan, Coos County, Oregon, 2026.</w:t>
      </w:r>
      <w:r>
        <w:t xml:space="preserve"> </w:t>
      </w:r>
      <w:r>
        <w:t xml:space="preserve"/>
      </w:r>
    </w:p>
    <w:p>
      <w:pPr>
        <w:pStyle w:val="Heading1"/>
      </w:pPr>
      <w:bookmarkStart w:id="27" w:name="chapter-1"/>
      <w:r>
        <w:t xml:space="preserve">Chapter 1</w:t>
      </w:r>
      <w:bookmarkEnd w:id="27"/>
    </w:p>
    <w:p>
      <w:pPr>
        <w:pStyle w:val="Heading2"/>
      </w:pPr>
      <w:bookmarkStart w:id="28" w:name="why-i-bought-a-tree-farm"/>
      <w:r>
        <w:t xml:space="preserve">Why I Bought a Tree Farm</w:t>
      </w:r>
      <w:bookmarkEnd w:id="28"/>
    </w:p>
    <w:p>
      <w:r>
        <w:pict>
          <v:rect style="width:0;height:1.5pt" o:hralign="center" o:hrstd="t" o:hr="t"/>
        </w:pict>
      </w:r>
    </w:p>
    <w:p>
      <w:pPr>
        <w:pStyle w:val="BlockText"/>
      </w:pPr>
      <w:r>
        <w:rPr>
          <w:i/>
        </w:rPr>
        <w:t xml:space="preserve">“</w:t>
      </w:r>
      <w:r>
        <w:rPr>
          <w:i/>
        </w:rPr>
        <w:t xml:space="preserve">My thirty-three years on the Elliott produced $790 million of revenue for Oregon’s Irreducible Common School Fund and supported about 400 jobs for the local economy.</w:t>
      </w:r>
      <w:r>
        <w:rPr>
          <w:i/>
        </w:rPr>
        <w:t xml:space="preserve">”</w:t>
      </w:r>
    </w:p>
    <w:p>
      <w:pPr>
        <w:pStyle w:val="BlockText"/>
      </w:pPr>
      <w:r>
        <w:t xml:space="preserve">— Jerry Phillips, District Manager of the Elliott State Forest, 1968–2001</w:t>
      </w:r>
    </w:p>
    <w:p>
      <w:r>
        <w:pict>
          <v:rect style="width:0;height:1.5pt" o:hralign="center" o:hrstd="t" o:hr="t"/>
        </w:pict>
      </w:r>
    </w:p>
    <w:p>
      <w:pPr>
        <w:pStyle w:val="FirstParagraph"/>
      </w:pPr>
      <w:r>
        <w:t xml:space="preserve">[PHOTO: Dave on the Kings Valley tree farm; alternative — Tektronix 4051 graphical PC from 1976 ad. Caption:</w:t>
      </w:r>
      <w:r>
        <w:t xml:space="preserve"> </w:t>
      </w:r>
      <w:r>
        <w:t xml:space="preserve">“</w:t>
      </w:r>
      <w:r>
        <w:t xml:space="preserve">The tree farm in Kings Valley, west of Corvallis. I bought it in 1996, the year I finally understood I had spent the previous fifteen years inside a company that did not believe what the market was telling it. I did not know, then, that I had bought myself a thirty-year seat from which to watch a public trust do the same thing on a larger scale.</w:t>
      </w:r>
      <w:r>
        <w:t xml:space="preserve">”</w:t>
      </w:r>
      <w:r>
        <w:t xml:space="preserve">]</w:t>
      </w:r>
    </w:p>
    <w:p>
      <w:r>
        <w:pict>
          <v:rect style="width:0;height:1.5pt" o:hralign="center" o:hrstd="t" o:hr="t"/>
        </w:pict>
      </w:r>
    </w:p>
    <w:p>
      <w:pPr>
        <w:pStyle w:val="FirstParagraph"/>
      </w:pPr>
      <w:r>
        <w:t xml:space="preserve">I want to take you back to 1996.</w:t>
      </w:r>
    </w:p>
    <w:p>
      <w:pPr>
        <w:pStyle w:val="BodyText"/>
      </w:pPr>
      <w:r>
        <w:t xml:space="preserve">I was forty-something, newly arrived at the Oregon State University College of Business as an associate professor, and I had just bought a piece of timberland up the South Fork of the Marys River in the Kings Valley, about twenty miles northwest of Corvallis. It was a working tree farm — second-growth Douglas-fir, some alder along the creek bottoms, a rough gravel road that washed out about once a winter. My wife Barb and I have lived within reach of it ever since.</w:t>
      </w:r>
    </w:p>
    <w:p>
      <w:pPr>
        <w:pStyle w:val="BodyText"/>
      </w:pPr>
      <w:r>
        <w:t xml:space="preserve">I bought the tree farm for the obvious reasons. I had grown up the son of the Statesman Journal’s editor in Salem, watching my father pay attention to Oregon as a place — the rivers, the timber towns, the agencies that ran them — and I wanted, in my second career, to own a small piece of what I had been raised to take seriously. I also bought it because I had just left Tektronix after fifteen years, and I needed something to think about that was not a quarterly forecast.</w:t>
      </w:r>
    </w:p>
    <w:p>
      <w:pPr>
        <w:pStyle w:val="BodyText"/>
      </w:pPr>
      <w:r>
        <w:t xml:space="preserve">What I did not know, when I signed the papers, was that I had also bought a thirty-year seat in a small room called the Oregon Small Woodlands Association, where, a few meetings in, somebody would say the phrase</w:t>
      </w:r>
      <w:r>
        <w:t xml:space="preserve"> </w:t>
      </w:r>
      <w:r>
        <w:rPr>
          <w:i/>
        </w:rPr>
        <w:t xml:space="preserve">Common School Fund</w:t>
      </w:r>
      <w:r>
        <w:t xml:space="preserve"> </w:t>
      </w:r>
      <w:r>
        <w:t xml:space="preserve">in front of me for the first time, and somebody else would say the words</w:t>
      </w:r>
      <w:r>
        <w:t xml:space="preserve"> </w:t>
      </w:r>
      <w:r>
        <w:rPr>
          <w:i/>
        </w:rPr>
        <w:t xml:space="preserve">Elliott State Forest</w:t>
      </w:r>
      <w:r>
        <w:t xml:space="preserve">, and the two phrases would sit together in my notebook in a way I would not understand for another twenty years.</w:t>
      </w:r>
    </w:p>
    <w:p>
      <w:pPr>
        <w:pStyle w:val="BodyText"/>
      </w:pPr>
      <w:r>
        <w:t xml:space="preserve">This chapter is about why I was the right person to sit in that room, and why it took me as long as it did to see what was being done in front of me. The short version is that I had seen this movie before, in another industry, and I had been on the wrong side of it.</w:t>
      </w:r>
    </w:p>
    <w:p>
      <w:r>
        <w:pict>
          <v:rect style="width:0;height:1.5pt" o:hralign="center" o:hrstd="t" o:hr="t"/>
        </w:pict>
      </w:r>
    </w:p>
    <w:p>
      <w:pPr>
        <w:pStyle w:val="FirstParagraph"/>
      </w:pPr>
      <w:r>
        <w:t xml:space="preserve">I joined Tektronix in the late 1970s as the division finance manager of the Information Systems Division. Tektronix was, at that time, a great Portland-area company — oscilloscopes, instruments, the kind of precision engineering that put Beaverton on the technical map. My division was doing something different. We were building what, looking back, were among the first standalone graphical personal computers in the world — the Tektronix 4051 and its successors. You could draw pictures on the screen. You could store engineering diagrams. Engineers around the world were buying them as fast as we could ship them.</w:t>
      </w:r>
    </w:p>
    <w:p>
      <w:pPr>
        <w:pStyle w:val="BodyText"/>
      </w:pPr>
      <w:r>
        <w:t xml:space="preserve">The technical problem we had solved was that computer memory was, in those years, absurdly expensive. There was not enough memory in a desktop machine to hold a full image. So our screens worked like a child’s Etch A Sketch — the computer drew only what was needed at the moment, and the screen itself, with a special storage tube, remembered the picture. It was clever. It was ours. And it was selling.</w:t>
      </w:r>
    </w:p>
    <w:p>
      <w:pPr>
        <w:pStyle w:val="BodyText"/>
      </w:pPr>
      <w:r>
        <w:t xml:space="preserve">My job was to put together the new-product proposals and help set the prices. I rounded up all the costs I could identify — parts, labor, overhead — and we were making the computers for about two thousand dollars apiece. I multiplied by five. We sold them for about ten thousand. We were making money hand over fist. We were selling at least ten thousand of them a year. And we had a six-to-eight-month backlog of orders we could not fill.</w:t>
      </w:r>
    </w:p>
    <w:p>
      <w:pPr>
        <w:pStyle w:val="BodyText"/>
      </w:pPr>
      <w:r>
        <w:t xml:space="preserve">Now hold that picture for a moment, because the next sentence is the one that matters.</w:t>
      </w:r>
    </w:p>
    <w:p>
      <w:pPr>
        <w:pStyle w:val="BodyText"/>
      </w:pPr>
      <w:r>
        <w:t xml:space="preserve">Looking back, I can tell you that the market for what we had built was not ten thousand machines a year. It was ten</w:t>
      </w:r>
      <w:r>
        <w:t xml:space="preserve"> </w:t>
      </w:r>
      <w:r>
        <w:rPr>
          <w:i/>
        </w:rPr>
        <w:t xml:space="preserve">million</w:t>
      </w:r>
      <w:r>
        <w:t xml:space="preserve"> </w:t>
      </w:r>
      <w:r>
        <w:t xml:space="preserve">machines a year. The world was about to put a graphical personal computer on every desk in every office, and we had — for a few years — the head start. We had the technology. We had the engineering talent. We had the marketing budget. We had the customer list. We had everything.</w:t>
      </w:r>
    </w:p>
    <w:p>
      <w:pPr>
        <w:pStyle w:val="BodyText"/>
      </w:pPr>
      <w:r>
        <w:t xml:space="preserve">What we did not have was the imagination to believe the number was</w:t>
      </w:r>
      <w:r>
        <w:t xml:space="preserve"> </w:t>
      </w:r>
      <w:r>
        <w:rPr>
          <w:i/>
        </w:rPr>
        <w:t xml:space="preserve">ten million</w:t>
      </w:r>
      <w:r>
        <w:t xml:space="preserve">. Inside our management team, the working assumption was that we should plan to build maybe five times what we were building now — fifty thousand a year, instead of ten thousand. That, we figured, would solve the problem. So we put our energy into a new production-control system that was supposed to ramp us up to fifty thousand. The new system was a disaster. It took longer to build than anyone predicted, did not work as well as we expected, and by the time it limped into service, the world had moved.</w:t>
      </w:r>
    </w:p>
    <w:p>
      <w:pPr>
        <w:pStyle w:val="BodyText"/>
      </w:pPr>
      <w:r>
        <w:t xml:space="preserve">Two guys in a garage in California — Steve Jobs and Steve Wozniak — had started Apple Computer with a fraction of our funding and a fraction of our engineering staff. They did not have our market data. They did not have our customer list. They had something else. They believed the number was ten million.</w:t>
      </w:r>
    </w:p>
    <w:p>
      <w:pPr>
        <w:pStyle w:val="BodyText"/>
      </w:pPr>
      <w:r>
        <w:t xml:space="preserve">The reason Apple beat us was not that they were smarter or better-resourced. The reason Apple beat us was that the five of us who ran my division at Tektronix did not believe what the market was telling us. The signal was right there. We had a six-month backlog and a price-to-cost ratio of five-to-one. The market was screaming at us. We could not hear it because believing it would have required us to think outside the group think we had built our careers inside.</w:t>
      </w:r>
      <w:r>
        <w:t xml:space="preserve"> </w:t>
      </w:r>
      <w:r>
        <w:rPr>
          <w:i/>
        </w:rPr>
        <w:t xml:space="preserve">People tend not to have more success than they plan for.</w:t>
      </w:r>
      <w:r>
        <w:t xml:space="preserve"> </w:t>
      </w:r>
      <w:r>
        <w:t xml:space="preserve">I have used that sentence a thousand times since 1980, and I have rarely used it in a happy way.</w:t>
      </w:r>
    </w:p>
    <w:p>
      <w:pPr>
        <w:pStyle w:val="BodyText"/>
      </w:pPr>
      <w:r>
        <w:t xml:space="preserve">I left Tektronix a few years later, did a stretch of doctoral work, and arrived at the OSU College of Business as someone who had been, in a small but real way, the management team that lost the future. I want you to hold that fact about me as you read the rest of this book. I am not warning you about institutional failure from the outside. I am warning you from inside the failure mode I myself helped commit. When I tell you, later in this book, that the people running the Oregon State Land Board did not set out to break the trust and yet are breaking it — I am telling you that from experience. I have been one of the people who did not see what was in front of him.</w:t>
      </w:r>
    </w:p>
    <w:p>
      <w:pPr>
        <w:pStyle w:val="BodyText"/>
      </w:pPr>
      <w:r>
        <w:t xml:space="preserve">That is the lesson I carried into the Kings Valley tree farm in 1996. It is the lesson I carried, a few months later, into my first Oregon Small Woodlands Association meeting. It is the lesson, in the end, that this book is about.</w:t>
      </w:r>
    </w:p>
    <w:p>
      <w:r>
        <w:pict>
          <v:rect style="width:0;height:1.5pt" o:hralign="center" o:hrstd="t" o:hr="t"/>
        </w:pict>
      </w:r>
    </w:p>
    <w:p>
      <w:pPr>
        <w:pStyle w:val="FirstParagraph"/>
      </w:pPr>
      <w:r>
        <w:t xml:space="preserve">The Oregon Small Woodlands Association is exactly what its name suggests — an organization of people who own working forest land in tracts too small to interest the big timber companies. We meet in church basements and county Grange halls. We talk about reforestation tax credits, about elk damage, about how to keep a logging road open through a wet winter. The conversation is not glamorous. It is mostly practical.</w:t>
      </w:r>
    </w:p>
    <w:p>
      <w:pPr>
        <w:pStyle w:val="BodyText"/>
      </w:pPr>
      <w:r>
        <w:t xml:space="preserve">But the OSWA conversation has a long shadow behind it, and the shadow has a name. The shadow is the Common School Fund — the public trust that owns about 1.5 million acres of Oregon’s land in the name of Oregon’s schoolchildren. The flagship working asset of that trust is, and has been since the 1930s, the Elliott State Forest: roughly 90,000 acres of timber land in Coos and Douglas Counties, about a hundred and twenty miles south of where I sit in Kings Valley.</w:t>
      </w:r>
    </w:p>
    <w:p>
      <w:pPr>
        <w:pStyle w:val="BodyText"/>
      </w:pPr>
      <w:r>
        <w:t xml:space="preserve">The first time I heard somebody at an OSWA meeting say</w:t>
      </w:r>
      <w:r>
        <w:t xml:space="preserve"> </w:t>
      </w:r>
      <w:r>
        <w:rPr>
          <w:i/>
        </w:rPr>
        <w:t xml:space="preserve">Elliott</w:t>
      </w:r>
      <w:r>
        <w:t xml:space="preserve">, I did not know what they were talking about. The first time I heard somebody say</w:t>
      </w:r>
      <w:r>
        <w:t xml:space="preserve"> </w:t>
      </w:r>
      <w:r>
        <w:rPr>
          <w:i/>
        </w:rPr>
        <w:t xml:space="preserve">Common School Fund</w:t>
      </w:r>
      <w:r>
        <w:t xml:space="preserve">, I assumed it was a state government bank account that paid for textbooks. Both of those impressions were partly right and almost entirely wrong, in ways I would have to spend the next two decades correcting.</w:t>
      </w:r>
      <w:r>
        <w:t xml:space="preserve"> </w:t>
      </w:r>
      <w:r>
        <w:rPr>
          <w:i/>
        </w:rPr>
        <w:t xml:space="preserve">(I will come back to what the Common School Fund actually is. There is a short box at the end of this chapter that lays it out.)</w:t>
      </w:r>
    </w:p>
    <w:p>
      <w:pPr>
        <w:pStyle w:val="BodyText"/>
      </w:pPr>
      <w:r>
        <w:t xml:space="preserve">What I picked up in those early meetings, in pieces, was this. The Elliott was Oregon’s working trust forest. It had been managed for decades, mostly competently, by the Oregon Department of Forestry, under the trustee authority of an institution called the State Land Board. The man who had run it for thirty-three of those years — the District Manager from 1968 to 2001 — was named Jerry Phillips. Jerry Phillips’s number, the one I wrote in the margin of my OSWA notebook the first time I heard it, was</w:t>
      </w:r>
      <w:r>
        <w:t xml:space="preserve"> </w:t>
      </w:r>
      <w:r>
        <w:rPr>
          <w:i/>
        </w:rPr>
        <w:t xml:space="preserve">$790 million</w:t>
      </w:r>
      <w:r>
        <w:t xml:space="preserve">. That was the revenue the Elliott had produced for the schools during his tenure. About 400 jobs in the local economy, year in and year out. About fifty million board feet of timber a year. The Elliott was not a problem. The Elliott was the answer. The answer to</w:t>
      </w:r>
      <w:r>
        <w:t xml:space="preserve"> </w:t>
      </w:r>
      <w:r>
        <w:rPr>
          <w:i/>
        </w:rPr>
        <w:t xml:space="preserve">how does Oregon honor the promise it made to its schoolchildren in 1859?</w:t>
      </w:r>
    </w:p>
    <w:p>
      <w:pPr>
        <w:pStyle w:val="BodyText"/>
      </w:pPr>
      <w:r>
        <w:t xml:space="preserve">I want to stop here and tell you what I thought that meant in 1996, because the gap between what I thought it meant then and what I now understand it to mean is the gap this whole book is trying to close.</w:t>
      </w:r>
    </w:p>
    <w:p>
      <w:pPr>
        <w:pStyle w:val="BodyText"/>
      </w:pPr>
      <w:r>
        <w:t xml:space="preserve">In 1996, I thought</w:t>
      </w:r>
      <w:r>
        <w:t xml:space="preserve"> </w:t>
      </w:r>
      <w:r>
        <w:rPr>
          <w:i/>
        </w:rPr>
        <w:t xml:space="preserve">the Elliott produces money for the schools</w:t>
      </w:r>
      <w:r>
        <w:t xml:space="preserve"> </w:t>
      </w:r>
      <w:r>
        <w:t xml:space="preserve">in roughly the way I thought</w:t>
      </w:r>
      <w:r>
        <w:t xml:space="preserve"> </w:t>
      </w:r>
      <w:r>
        <w:rPr>
          <w:i/>
        </w:rPr>
        <w:t xml:space="preserve">the post office delivers mail</w:t>
      </w:r>
      <w:r>
        <w:t xml:space="preserve">. It was something the government did. It worked. It had worked for a long time. I did not see, in any sharp way, that the Elliott was</w:t>
      </w:r>
      <w:r>
        <w:t xml:space="preserve"> </w:t>
      </w:r>
      <w:r>
        <w:rPr>
          <w:i/>
        </w:rPr>
        <w:t xml:space="preserve">trust property</w:t>
      </w:r>
      <w:r>
        <w:t xml:space="preserve"> </w:t>
      </w:r>
      <w:r>
        <w:t xml:space="preserve">— meaning, that it was owned by the schoolchildren of Oregon and merely held by the State, the way a bank holds a safe-deposit box for the person whose name is on the lease. I did not see, in any sharp way, that the State’s relationship to the Elliott was a fiduciary one, with all the legal teeth that word carries. I did not see that the Elliott could be — would be, was already being — administered in ways that broke that fiduciary relationship, because I had been raised to believe that Oregon’s institutions, of all the institutions in the United States, were the ones least likely to break their promises.</w:t>
      </w:r>
    </w:p>
    <w:p>
      <w:pPr>
        <w:pStyle w:val="BodyText"/>
      </w:pPr>
      <w:r>
        <w:t xml:space="preserve">I was wrong about that. The book is partly about how I came to be wrong about it.</w:t>
      </w:r>
    </w:p>
    <w:p>
      <w:r>
        <w:pict>
          <v:rect style="width:0;height:1.5pt" o:hralign="center" o:hrstd="t" o:hr="t"/>
        </w:pict>
      </w:r>
    </w:p>
    <w:p>
      <w:pPr>
        <w:pStyle w:val="FirstParagraph"/>
      </w:pPr>
      <w:r>
        <w:t xml:space="preserve">Around 2015 or 2016 — I cannot pin the exact date and I am not going to pretend I can — a different kind of phrase started showing up in OSWA conversations and in the trade press. Phrases like</w:t>
      </w:r>
      <w:r>
        <w:t xml:space="preserve"> </w:t>
      </w:r>
      <w:r>
        <w:rPr>
          <w:i/>
        </w:rPr>
        <w:t xml:space="preserve">net drain on the fund.</w:t>
      </w:r>
      <w:r>
        <w:t xml:space="preserve"> </w:t>
      </w:r>
      <w:r>
        <w:t xml:space="preserve">Phrases like</w:t>
      </w:r>
      <w:r>
        <w:t xml:space="preserve"> </w:t>
      </w:r>
      <w:r>
        <w:rPr>
          <w:i/>
        </w:rPr>
        <w:t xml:space="preserve">the Elliott is no longer cash-positive.</w:t>
      </w:r>
      <w:r>
        <w:t xml:space="preserve"> </w:t>
      </w:r>
      <w:r>
        <w:t xml:space="preserve">Phrases like</w:t>
      </w:r>
      <w:r>
        <w:t xml:space="preserve"> </w:t>
      </w:r>
      <w:r>
        <w:rPr>
          <w:i/>
        </w:rPr>
        <w:t xml:space="preserve">we need to find a new model.</w:t>
      </w:r>
      <w:r>
        <w:t xml:space="preserve"> </w:t>
      </w:r>
      <w:r>
        <w:t xml:space="preserve">The harvest numbers, when I went to look them up, told a story I did not at first believe. Jerry Phillips’s fifty-million-board-feet-per-year had, over the course of about a decade, dropped toward zero. The $790 million across thirty-three years had become, in the official agency presentations,</w:t>
      </w:r>
      <w:r>
        <w:t xml:space="preserve"> </w:t>
      </w:r>
      <w:r>
        <w:rPr>
          <w:i/>
        </w:rPr>
        <w:t xml:space="preserve">a forest that costs the schools money.</w:t>
      </w:r>
    </w:p>
    <w:p>
      <w:pPr>
        <w:pStyle w:val="BodyText"/>
      </w:pPr>
      <w:r>
        <w:t xml:space="preserve">That was the moment, if there was a moment, when the Tektronix bell went off in my head. Not loudly. Not all at once. But unmistakably.</w:t>
      </w:r>
    </w:p>
    <w:p>
      <w:pPr>
        <w:pStyle w:val="BodyText"/>
      </w:pPr>
      <w:r>
        <w:t xml:space="preserve">The vocabulary had shifted. The institution that held the asset had begun to describe the asset as a problem. The frame had moved from</w:t>
      </w:r>
      <w:r>
        <w:t xml:space="preserve"> </w:t>
      </w:r>
      <w:r>
        <w:rPr>
          <w:i/>
        </w:rPr>
        <w:t xml:space="preserve">how do we make this asset produce</w:t>
      </w:r>
      <w:r>
        <w:t xml:space="preserve"> </w:t>
      </w:r>
      <w:r>
        <w:t xml:space="preserve">to</w:t>
      </w:r>
      <w:r>
        <w:t xml:space="preserve"> </w:t>
      </w:r>
      <w:r>
        <w:rPr>
          <w:i/>
        </w:rPr>
        <w:t xml:space="preserve">how do we relieve the trust of this asset.</w:t>
      </w:r>
      <w:r>
        <w:t xml:space="preserve"> </w:t>
      </w:r>
      <w:r>
        <w:t xml:space="preserve">If you have spent your life inside a corporate boardroom watching the same shift happen to a graphical personal computer line that ought to be the future of the company, you recognize the language. The institution is preparing itself, quietly, to let the thing go.</w:t>
      </w:r>
    </w:p>
    <w:p>
      <w:pPr>
        <w:pStyle w:val="BodyText"/>
      </w:pPr>
      <w:r>
        <w:t xml:space="preserve">I did not believe, at first, what I was seeing. The same group-think that had blinded me at Tektronix was now operating</w:t>
      </w:r>
      <w:r>
        <w:t xml:space="preserve"> </w:t>
      </w:r>
      <w:r>
        <w:rPr>
          <w:i/>
        </w:rPr>
        <w:t xml:space="preserve">on me</w:t>
      </w:r>
      <w:r>
        <w:t xml:space="preserve"> </w:t>
      </w:r>
      <w:r>
        <w:t xml:space="preserve">about the Elliott. I had voted for the people on the State Land Board. I knew, socially, some of the agency staff. I trusted the institution. I assumed the</w:t>
      </w:r>
      <w:r>
        <w:t xml:space="preserve"> </w:t>
      </w:r>
      <w:r>
        <w:rPr>
          <w:i/>
        </w:rPr>
        <w:t xml:space="preserve">net drain</w:t>
      </w:r>
      <w:r>
        <w:t xml:space="preserve"> </w:t>
      </w:r>
      <w:r>
        <w:t xml:space="preserve">language must reflect some real change in the underlying forest, something about endangered species or fire risk or market collapse, that I just did not yet understand.</w:t>
      </w:r>
    </w:p>
    <w:p>
      <w:pPr>
        <w:pStyle w:val="BodyText"/>
      </w:pPr>
      <w:r>
        <w:t xml:space="preserve">It would take me another two or three years — and a series of public-records requests, agency-meeting attendances, and conversations with a tree-farmer named Bob Zybach who knew the Elliott better than anyone living — to understand that what I was seeing was not a forest in decline. It was an institution in the process of letting go of a forest it no longer wanted to hold. The harvest had not gone to zero because the trees would not grow. The harvest had gone to zero because the trustees, sitting as the State Land Board, had decided — slowly, defensibly, decision by decision — that they would rather not be in the timber business anymore. The fact that the timber business was, in this case,</w:t>
      </w:r>
      <w:r>
        <w:t xml:space="preserve"> </w:t>
      </w:r>
      <w:r>
        <w:rPr>
          <w:i/>
        </w:rPr>
        <w:t xml:space="preserve">the children’s trust</w:t>
      </w:r>
      <w:r>
        <w:t xml:space="preserve"> </w:t>
      </w:r>
      <w:r>
        <w:t xml:space="preserve">was the part nobody at the Land Board’s dais seemed to want to say out loud.</w:t>
      </w:r>
    </w:p>
    <w:p>
      <w:pPr>
        <w:pStyle w:val="BodyText"/>
      </w:pPr>
      <w:r>
        <w:t xml:space="preserve">I want to be precise here, because the precision is important. I am not saying the State Land Board in 2015 set out to steal from Oregon’s schoolchildren. I am saying that the State Land Board in 2015 set out to make a series of decisions, each of which it could defend on its own terms, that would cumulatively — and I now believe knowingly — convert the children’s trust forest into a public asset of a different kind, owned and operated for purposes other than the production of revenue for the schools. The cumulative pattern, not any single decision, is the breach. I had seen exactly this pattern at Tektronix. We had not decided, one Tuesday morning in 1980, to surrender the personal computer market to Apple. We had made a sequence of decisions, each defensible, that added up to surrender. The Elliott was now on the same track. The asset was being prepared to be let go.</w:t>
      </w:r>
    </w:p>
    <w:p>
      <w:pPr>
        <w:pStyle w:val="BodyText"/>
      </w:pPr>
      <w:r>
        <w:t xml:space="preserve">And so, sometime in 2016, I sat at the kitchen table in our farmhouse in Kings Valley with a coffee getting cold next to my hand and decided I wanted to know what was actually going on. I did not yet imagine that I would, eight years later, be the lead plaintiff in a lawsuit against the State of Oregon. I did not yet imagine that the people I would come to work with on this — Margaret Bird, Daniel Crowe, Natalie Scott, Bob Zybach, David Gould — were waiting somewhere just over the horizon. I imagined only that I would write a public-records request, send it to the Department of State Lands, and find out what was happening to the Elliott.</w:t>
      </w:r>
    </w:p>
    <w:p>
      <w:pPr>
        <w:pStyle w:val="BodyText"/>
      </w:pPr>
      <w:r>
        <w:t xml:space="preserve">That is the request that became, two or three years later, the foundational document in everything that followed. It is where the next chapter begins.</w:t>
      </w:r>
    </w:p>
    <w:p>
      <w:r>
        <w:pict>
          <v:rect style="width:0;height:1.5pt" o:hralign="center" o:hrstd="t" o:hr="t"/>
        </w:pict>
      </w:r>
    </w:p>
    <w:p>
      <w:pPr>
        <w:pStyle w:val="Heading3"/>
      </w:pPr>
      <w:bookmarkStart w:id="29" w:name="what-is-the-common-school-fund"/>
      <w:r>
        <w:t xml:space="preserve">What is the Common School Fund?</w:t>
      </w:r>
      <w:bookmarkEnd w:id="29"/>
    </w:p>
    <w:p>
      <w:pPr>
        <w:pStyle w:val="FirstParagraph"/>
      </w:pPr>
      <w:r>
        <w:rPr>
          <w:i/>
        </w:rPr>
        <w:t xml:space="preserve">Skip this if you already know it. The rest of the book will not test you.</w:t>
      </w:r>
    </w:p>
    <w:p>
      <w:pPr>
        <w:pStyle w:val="BodyText"/>
      </w:pPr>
      <w:r>
        <w:t xml:space="preserve">When Oregon entered the Union in 1859, the federal Admissions Act gave the new State two square-mile sections out of every thirty-six in every township — Sections 16 and 36, roughly five percent of the entire land area of Oregon — for one purpose only: the support of common schools.</w:t>
      </w:r>
      <w:r>
        <w:t xml:space="preserve"> </w:t>
      </w:r>
      <w:r>
        <w:rPr>
          <w:i/>
        </w:rPr>
        <w:t xml:space="preserve">Common schools</w:t>
      </w:r>
      <w:r>
        <w:t xml:space="preserve">, in the language of the time, meant what we today call K–12 public education. The land was not a gift to the State of Oregon to do with as it pleased. It was a trust. The land, and the money that flowed from selling or managing it, was to be held by the State for the schoolchildren — meaning every Oregon child then alive, every Oregon child to come, every Oregon child forever — as the beneficiary.</w:t>
      </w:r>
    </w:p>
    <w:p>
      <w:pPr>
        <w:pStyle w:val="BodyText"/>
      </w:pPr>
      <w:r>
        <w:t xml:space="preserve">The Oregon Constitution, ratified the same year, set this up with three features that will recur throughout the rest of this book.</w:t>
      </w:r>
    </w:p>
    <w:p>
      <w:pPr>
        <w:pStyle w:val="BodyText"/>
      </w:pPr>
      <w:r>
        <w:t xml:space="preserve">First, it created a body called the State Land Board to hold the trust. The Board has three members, and the Constitution names them by office: the Governor, the Secretary of State, and the State Treasurer. The current Board, as of 2026, is Governor Tina Kotek, Secretary of State Tobias Read (now the Treasurer; the Secretary of State seat changed hands), and Treasurer Elizabeth Steiner. The Board sits as trustee — the same word a bank uses for the person who holds your safe-deposit box.</w:t>
      </w:r>
    </w:p>
    <w:p>
      <w:pPr>
        <w:pStyle w:val="BodyText"/>
      </w:pPr>
      <w:r>
        <w:t xml:space="preserve">Second, it created the Common School Fund — sometimes called the Irreducible Fund — as the place where the proceeds of the school lands are kept. The word</w:t>
      </w:r>
      <w:r>
        <w:t xml:space="preserve"> </w:t>
      </w:r>
      <w:r>
        <w:rPr>
          <w:i/>
        </w:rPr>
        <w:t xml:space="preserve">irreducible</w:t>
      </w:r>
      <w:r>
        <w:t xml:space="preserve"> </w:t>
      </w:r>
      <w:r>
        <w:t xml:space="preserve">is doing important work. The Constitution requires that the corpus — the principal — of the fund cannot be reduced. The income can be spent on schools. The principal cannot be touched.</w:t>
      </w:r>
    </w:p>
    <w:p>
      <w:pPr>
        <w:pStyle w:val="BodyText"/>
      </w:pPr>
      <w:r>
        <w:t xml:space="preserve">Third, it established that the lands themselves and the fund that holds the proceeds are</w:t>
      </w:r>
      <w:r>
        <w:t xml:space="preserve"> </w:t>
      </w:r>
      <w:r>
        <w:rPr>
          <w:i/>
        </w:rPr>
        <w:t xml:space="preserve">trust property</w:t>
      </w:r>
      <w:r>
        <w:t xml:space="preserve">. The State does not own them in the way the State owns a state office building. The State holds them in the name of the schoolchildren. The State is the trustee. The children are the beneficiaries. The duty the State owes the children is the same duty any trustee owes any beneficiary anywhere in American law — the duty of loyalty, the duty of prudence, the duty to administer the trust for the beneficiary’s benefit, not the trustee’s convenience.</w:t>
      </w:r>
    </w:p>
    <w:p>
      <w:pPr>
        <w:pStyle w:val="BodyText"/>
      </w:pPr>
      <w:r>
        <w:t xml:space="preserve">The Elliott State Forest, consolidated in the 1930s out of school sections in Coos and Douglas Counties, is the working timber asset of this trust. For most of the twentieth century, it was the engine. Jerry Phillips’s thirty-three years there produced $790 million in revenue for the fund. That money, distributed through the State School Fund formula, paid for textbooks, school buses, teacher salaries, building maintenance — the on-the-ground daily expenses of running Oregon’s public schools.</w:t>
      </w:r>
    </w:p>
    <w:p>
      <w:pPr>
        <w:pStyle w:val="BodyText"/>
      </w:pPr>
      <w:r>
        <w:t xml:space="preserve">That is the institution this book is about. That is the trust the State of Oregon, on the documentary record I will lay out in the chapters that follow, has been breaking.</w:t>
      </w:r>
    </w:p>
    <w:p>
      <w:r>
        <w:pict>
          <v:rect style="width:0;height:1.5pt" o:hralign="center" o:hrstd="t" o:hr="t"/>
        </w:pict>
      </w:r>
    </w:p>
    <w:p>
      <w:pPr>
        <w:pStyle w:val="FirstParagraph"/>
      </w:pPr>
      <w:r>
        <w:rPr>
          <w:i/>
        </w:rPr>
        <w:t xml:space="preserve">End of Chapter 1.</w:t>
      </w:r>
    </w:p>
    <w:p>
      <w:pPr>
        <w:pStyle w:val="BodyText"/>
      </w:pPr>
      <w:r>
        <w:rPr>
          <w:i/>
        </w:rPr>
        <w:t xml:space="preserve">Chapter 2 opens with the first FOIA — the public-records request I sat down to write at the Kings Valley kitchen table, and the response from the Department of State Lands that turned a personal investigation into a public case.</w:t>
      </w:r>
    </w:p>
    <w:p>
      <w:pPr>
        <w:pStyle w:val="Heading1"/>
      </w:pPr>
      <w:bookmarkStart w:id="30" w:name="chapter-2"/>
      <w:r>
        <w:t xml:space="preserve">Chapter 2</w:t>
      </w:r>
      <w:bookmarkEnd w:id="30"/>
    </w:p>
    <w:p>
      <w:pPr>
        <w:pStyle w:val="Heading2"/>
      </w:pPr>
      <w:bookmarkStart w:id="31" w:name="the-first-foia"/>
      <w:r>
        <w:t xml:space="preserve">The First FOIA</w:t>
      </w:r>
      <w:bookmarkEnd w:id="31"/>
    </w:p>
    <w:p>
      <w:r>
        <w:pict>
          <v:rect style="width:0;height:1.5pt" o:hralign="center" o:hrstd="t" o:hr="t"/>
        </w:pict>
      </w:r>
    </w:p>
    <w:p>
      <w:pPr>
        <w:pStyle w:val="BlockText"/>
      </w:pPr>
      <w:r>
        <w:rPr>
          <w:i/>
        </w:rPr>
        <w:t xml:space="preserve">“</w:t>
      </w:r>
      <w:r>
        <w:rPr>
          <w:i/>
        </w:rPr>
        <w:t xml:space="preserve">The Oregon form of government requires an informed public aware of the deliberations and decisions of governing bodies and the information upon which such decisions were made.</w:t>
      </w:r>
      <w:r>
        <w:rPr>
          <w:i/>
        </w:rPr>
        <w:t xml:space="preserve">”</w:t>
      </w:r>
    </w:p>
    <w:p>
      <w:pPr>
        <w:pStyle w:val="BlockText"/>
      </w:pPr>
      <w:r>
        <w:t xml:space="preserve">— ORS 192.620 (Oregon Public Meetings Law, statement of policy)</w:t>
      </w:r>
    </w:p>
    <w:p>
      <w:r>
        <w:pict>
          <v:rect style="width:0;height:1.5pt" o:hralign="center" o:hrstd="t" o:hr="t"/>
        </w:pict>
      </w:r>
    </w:p>
    <w:p>
      <w:pPr>
        <w:pStyle w:val="FirstParagraph"/>
      </w:pPr>
      <w:r>
        <w:t xml:space="preserve">[PHOTO: the DSL public-records response, reproduced as document facsimile. Caption:</w:t>
      </w:r>
      <w:r>
        <w:t xml:space="preserve"> </w:t>
      </w:r>
      <w:r>
        <w:t xml:space="preserve">“</w:t>
      </w:r>
      <w:r>
        <w:t xml:space="preserve">The Department of State Lands’ written response to my first public-records request, early 2020. The page that mattered is the one that asserted, in the agency’s own words, that no commercial harvesting was occurring on the Elliott State Forest. I had walked parts of the Elliott. I had read Jerry Phillips. I knew the sentence was not true. What I did not yet know was what to do with the fact that the State of Oregon had put a sentence that was not true on a sheet of its own letterhead and mailed it to me.</w:t>
      </w:r>
      <w:r>
        <w:t xml:space="preserve">”</w:t>
      </w:r>
      <w:r>
        <w:t xml:space="preserve">]</w:t>
      </w:r>
    </w:p>
    <w:p>
      <w:r>
        <w:pict>
          <v:rect style="width:0;height:1.5pt" o:hralign="center" o:hrstd="t" o:hr="t"/>
        </w:pict>
      </w:r>
    </w:p>
    <w:p>
      <w:pPr>
        <w:pStyle w:val="FirstParagraph"/>
      </w:pPr>
      <w:r>
        <w:t xml:space="preserve">I want to walk you through what it is like to open an envelope from a state agency at your own kitchen table and read, on the agency’s letterhead, a sentence about a place you have stood in that you know is not true.</w:t>
      </w:r>
    </w:p>
    <w:p>
      <w:pPr>
        <w:pStyle w:val="BodyText"/>
      </w:pPr>
      <w:r>
        <w:t xml:space="preserve">This is going to sound, at first, like a small thing. It is. It happened in early 2020, at our kitchen table in Kings Valley, which sits at the end of a gravel road about twenty miles northwest of Corvallis. I was at that point a retired professor of business, sixty-something, two years into an effort to figure out what was happening to the Elliott State Forest. The envelope was thicker than I had expected. The contents were thinner.</w:t>
      </w:r>
    </w:p>
    <w:p>
      <w:pPr>
        <w:pStyle w:val="BodyText"/>
      </w:pPr>
      <w:r>
        <w:t xml:space="preserve">It is also, on the inside, not a small thing. It is the moment I stopped being a curious citizen who occasionally went to Land Board meetings, and started being whatever I have been since.</w:t>
      </w:r>
    </w:p>
    <w:p>
      <w:r>
        <w:pict>
          <v:rect style="width:0;height:1.5pt" o:hralign="center" o:hrstd="t" o:hr="t"/>
        </w:pict>
      </w:r>
    </w:p>
    <w:p>
      <w:pPr>
        <w:pStyle w:val="FirstParagraph"/>
      </w:pPr>
      <w:r>
        <w:t xml:space="preserve">I had spent the previous year asking around. I had read most of Jerry Phillips’s</w:t>
      </w:r>
      <w:r>
        <w:t xml:space="preserve"> </w:t>
      </w:r>
      <w:r>
        <w:rPr>
          <w:i/>
        </w:rPr>
        <w:t xml:space="preserve">Caulked Boots and Cheese Sandwiches</w:t>
      </w:r>
      <w:r>
        <w:t xml:space="preserve"> </w:t>
      </w:r>
      <w:r>
        <w:t xml:space="preserve">— the Elliott’s history written by the man who had managed the District for thirty-three years and brought $790 million to the Common School Fund off of those acres — and I had walked the Elliott in the company of people who knew the ground. I had talked to retired Department of Forestry foresters who had run timber sales on the Elliott in the 1990s. I had read the State Land Board minutes I could find. I had been to a public meeting at which the Department of State Lands explained, on a series of cheerful PowerPoint slides, that the Elliott was transitioning into a</w:t>
      </w:r>
      <w:r>
        <w:t xml:space="preserve"> </w:t>
      </w:r>
      <w:r>
        <w:t xml:space="preserve">“</w:t>
      </w:r>
      <w:r>
        <w:t xml:space="preserve">research forest</w:t>
      </w:r>
      <w:r>
        <w:t xml:space="preserve">”</w:t>
      </w:r>
      <w:r>
        <w:t xml:space="preserve"> </w:t>
      </w:r>
      <w:r>
        <w:t xml:space="preserve">and that the College of Forestry at Oregon State University was the institution that would run it. I had nodded along with everyone else in the room, the way one does at agency meetings, and gone home and made notes.</w:t>
      </w:r>
    </w:p>
    <w:p>
      <w:pPr>
        <w:pStyle w:val="BodyText"/>
      </w:pPr>
      <w:r>
        <w:t xml:space="preserve">The notes were not adding up.</w:t>
      </w:r>
    </w:p>
    <w:p>
      <w:pPr>
        <w:pStyle w:val="BodyText"/>
      </w:pPr>
      <w:r>
        <w:t xml:space="preserve">The slides talked about research. The slides talked about ecology. The slides did not say where the timber revenue had gone, what the trust corpus was worth, who had signed off on the change, or when. The slides did not name the legal mechanism by which a Common School Fund timber asset was supposed to be removed from its trust status without compensation to the trust. When I asked a polite version of those questions in the Q&amp;A, I got a polite non-answer. When I asked the longer version of the same questions in an email afterward, I got no answer.</w:t>
      </w:r>
    </w:p>
    <w:p>
      <w:pPr>
        <w:pStyle w:val="BodyText"/>
      </w:pPr>
      <w:r>
        <w:t xml:space="preserve">I knew, by then, the name of the statute that was supposed to handle this kind of moment. Oregon’s Public Records Law lives in the Oregon Revised Statutes, sections 192.311 through 192.478. Its central rule is one a high-school civics class can state in a sentence: records held by a public body are presumed to be public, and the burden is on the agency to justify withholding them. I drafted a written request to the Department of State Lands, in plain language, on a single sheet of paper. I asked for five categories of documents. The financial statements of the Elliott — what was coming in, what was going out, what the trust was earning. The written management plans then in effect. The professional timber cruises that any commercial forester would have on file as a matter of routine. The schedules and locations of the Science Advisory Panel meetings. And the underlying data models that were supporting the College of Forestry’s research-forest proposal. I signed it, I dated it, I mailed it.</w:t>
      </w:r>
    </w:p>
    <w:p>
      <w:pPr>
        <w:pStyle w:val="BodyText"/>
      </w:pPr>
      <w:r>
        <w:t xml:space="preserve">I made a copy of the letter and stuck it on the corkboard above my desk so I would not lose track.</w:t>
      </w:r>
    </w:p>
    <w:p>
      <w:pPr>
        <w:pStyle w:val="BodyText"/>
      </w:pPr>
      <w:r>
        <w:t xml:space="preserve">This was, looking back, the first formal public-records request I had ever made. I had been writing textbooks and teaching for forty years. I had been to court exactly once, as a witness in a property dispute. I had filed a tax return. I had never, in any other context, asked a state agency for documents under a statute. I assumed, the way most people would assume, that the agency would either produce the documents or, where they could not, tell me which statutory exemption they were relying on and why. That is what the law says they are supposed to do.</w:t>
      </w:r>
    </w:p>
    <w:p>
      <w:pPr>
        <w:pStyle w:val="BodyText"/>
      </w:pPr>
      <w:r>
        <w:t xml:space="preserve">The envelope, when it came, was thicker than the letter I had sent. The first sheet inside was the agency’s response.</w:t>
      </w:r>
    </w:p>
    <w:p>
      <w:r>
        <w:pict>
          <v:rect style="width:0;height:1.5pt" o:hralign="center" o:hrstd="t" o:hr="t"/>
        </w:pict>
      </w:r>
    </w:p>
    <w:p>
      <w:pPr>
        <w:pStyle w:val="FirstParagraph"/>
      </w:pPr>
      <w:r>
        <w:t xml:space="preserve">I sat at the kitchen table and read it.</w:t>
      </w:r>
    </w:p>
    <w:p>
      <w:pPr>
        <w:pStyle w:val="BodyText"/>
      </w:pPr>
      <w:r>
        <w:t xml:space="preserve">I read it twice.</w:t>
      </w:r>
    </w:p>
    <w:p>
      <w:pPr>
        <w:pStyle w:val="BodyText"/>
      </w:pPr>
      <w:r>
        <w:t xml:space="preserve">I want to be precise about what I had expected and what I had not. I had expected the agency to push back on details. I had expected the agency to invoke an exemption or two and to redact some lines and to ask me to be patient on a few items. I had expected, on the financial statements, some hedging about which figures were preliminary and which were settled. I had expected, on the management plans, a comment that revisions were in progress. What I had not expected — what I had spent forty years of teaching never to expect from any institution, let alone a state trustee — was the agency to deny the basic fact.</w:t>
      </w:r>
    </w:p>
    <w:p>
      <w:pPr>
        <w:pStyle w:val="BodyText"/>
      </w:pPr>
      <w:r>
        <w:t xml:space="preserve">The sheet on the table in front of me said, in essence, that no harvesting was occurring on the Elliott State Forest. The phrase I have carried around in my head ever since, the phrase that became the shorthand for the whole thing, is</w:t>
      </w:r>
      <w:r>
        <w:t xml:space="preserve"> </w:t>
      </w:r>
      <w:r>
        <w:rPr>
          <w:i/>
        </w:rPr>
        <w:t xml:space="preserve">no harvesting whatsoever</w:t>
      </w:r>
      <w:r>
        <w:t xml:space="preserve">. Whether those are the agency’s exact three words I am, at this date, no longer certain — the original paper went into a file box, and the file box has been moved more than once in five years — but the assertion in the response was clear, declarative, and on agency letterhead. There was no commercial harvesting underway on the Elliott. That was the State’s answer.</w:t>
      </w:r>
    </w:p>
    <w:p>
      <w:pPr>
        <w:pStyle w:val="BodyText"/>
      </w:pPr>
      <w:r>
        <w:t xml:space="preserve">I read it a third time, this time slowly, looking for the qualifier I must have missed. There was no qualifier.</w:t>
      </w:r>
    </w:p>
    <w:p>
      <w:pPr>
        <w:pStyle w:val="BodyText"/>
      </w:pPr>
      <w:r>
        <w:t xml:space="preserve">I sat at the kitchen table for a while.</w:t>
      </w:r>
    </w:p>
    <w:p>
      <w:pPr>
        <w:pStyle w:val="BodyText"/>
      </w:pPr>
      <w:r>
        <w:t xml:space="preserve">I want to give you the picture as honestly as I can. I was not angry, at first. I was confused. The Elliott had been a working timber forest for ninety years. It was the working timber asset of the Common School Fund — the federal land grant by which Oregon entered the Union in 1859, the foundation of the financial promise to Oregon’s schoolchildren. Jerry Phillips had written a four-hundred-page book about the timber operations he had managed there. There were active sale records in the Department of Forestry’s own files going back decades. The Department of State Lands itself had, on its own website, harvest-volume figures from the immediately preceding fiscal years. I had stood in the company of foresters at the edge of a cut block in the West Fork Millicoma drainage. The forest was being harvested. To say otherwise was not a fine distinction or a definitional argument. It was simply not the case.</w:t>
      </w:r>
    </w:p>
    <w:p>
      <w:pPr>
        <w:pStyle w:val="BodyText"/>
      </w:pPr>
      <w:r>
        <w:t xml:space="preserve">When the confusion settled, what was left was the recognition that I had asked the wrong question of the situation. I had been asking,</w:t>
      </w:r>
      <w:r>
        <w:t xml:space="preserve"> </w:t>
      </w:r>
      <w:r>
        <w:rPr>
          <w:i/>
        </w:rPr>
        <w:t xml:space="preserve">What is the State doing to the Elliott?</w:t>
      </w:r>
      <w:r>
        <w:t xml:space="preserve"> </w:t>
      </w:r>
      <w:r>
        <w:t xml:space="preserve">I had assumed that the State would explain it, in agency English, on a sheet of paper. The agency was not going to explain it on a sheet of paper. The agency was going to say, on a sheet of paper, things that were not so, because the things that were so could not be defended in writing. That was the answer to the question I had asked. The answer was not the harvest figure or the management plan or the panel schedule. The answer was the sentence on the page.</w:t>
      </w:r>
    </w:p>
    <w:p>
      <w:pPr>
        <w:pStyle w:val="BodyText"/>
      </w:pPr>
      <w:r>
        <w:t xml:space="preserve">I had spent fifteen years of my early career inside a company that did not believe the market was about to take its product line away, until the market did. I had spent the years since teaching graduate students to recognize the pattern. The pattern is institutional. It is not, usually, that anyone inside the institution lies on purpose. The pattern is that the institution has decided, somewhere upstream, what it is going to do, and the documents at the desk-level have to be made consistent with that decision after the fact. The documents start to drift away from the territory. The territory is what it is. The documents are what the institution can defend.</w:t>
      </w:r>
    </w:p>
    <w:p>
      <w:pPr>
        <w:pStyle w:val="BodyText"/>
      </w:pPr>
      <w:r>
        <w:t xml:space="preserve">The sentence on my kitchen table was the kind of sentence an institution produces when the territory and the documents have separated.</w:t>
      </w:r>
    </w:p>
    <w:p>
      <w:r>
        <w:pict>
          <v:rect style="width:0;height:1.5pt" o:hralign="center" o:hrstd="t" o:hr="t"/>
        </w:pict>
      </w:r>
    </w:p>
    <w:p>
      <w:pPr>
        <w:pStyle w:val="FirstParagraph"/>
      </w:pPr>
      <w:r>
        <w:t xml:space="preserve">What I knew about Oregon’s Public Records Law in early 2020 was less than I knew six months later, when I had sat on the floor of my study with the statute book open and read the whole chapter twice. The short version is on the next page of this book, in a panel I have asked the publisher to box off so a reader who already knows this can skip it. What I knew at the kitchen table was the headline: the statute, in plain language, presumes records are public unless the agency carries the burden of showing they are not.</w:t>
      </w:r>
    </w:p>
    <w:p>
      <w:pPr>
        <w:pStyle w:val="BodyText"/>
      </w:pPr>
      <w:r>
        <w:t xml:space="preserve">The agency in my case had not invoked an exemption. The agency had produced a sentence about the underlying fact. There is no exemption for that. There is, in the Public Records Law, a remedy for the case where an agency refuses to produce a record — you ask the Attorney General to order production, or you sue. There is no easy remedy in the Public Records Law for the case where the agency produces a sheet of paper and the sheet of paper contains an assertion the requester knows to be false. The Public Records Law presupposes that the agency is, in good faith, answering questions about its records. It does not presuppose that the agency is going to answer questions about the world.</w:t>
      </w:r>
    </w:p>
    <w:p>
      <w:pPr>
        <w:pStyle w:val="BodyText"/>
      </w:pPr>
      <w:r>
        <w:t xml:space="preserve">I learned, sitting at that table, that the Public Records Law is a strong sword if the agency forgets to argue. It is a weaker sword if the agency simply states a different version of reality and waits for the citizen to give up.</w:t>
      </w:r>
    </w:p>
    <w:p>
      <w:pPr>
        <w:pStyle w:val="BodyText"/>
      </w:pPr>
      <w:r>
        <w:t xml:space="preserve">This was, on the evidence, the State’s working assumption.</w:t>
      </w:r>
    </w:p>
    <w:p>
      <w:pPr>
        <w:pStyle w:val="BodyText"/>
      </w:pPr>
      <w:r>
        <w:t xml:space="preserve">I decided, on the evidence, not to give up.</w:t>
      </w:r>
    </w:p>
    <w:p>
      <w:r>
        <w:pict>
          <v:rect style="width:0;height:1.5pt" o:hralign="center" o:hrstd="t" o:hr="t"/>
        </w:pict>
      </w:r>
    </w:p>
    <w:p>
      <w:pPr>
        <w:pStyle w:val="FirstParagraph"/>
      </w:pPr>
      <w:r>
        <w:t xml:space="preserve">I want to mark this moment because everything that came after — the lawsuits, the Cougar Pass crawl, the secret-meetings essay, the standing victory, the lead-plaintiff seat — flows from a small decision I made at the kitchen table in early 2020. The decision was to put the agency’s own documents, alongside the world they referred to, on a page that anyone could read.</w:t>
      </w:r>
    </w:p>
    <w:p>
      <w:pPr>
        <w:pStyle w:val="BodyText"/>
      </w:pPr>
      <w:r>
        <w:t xml:space="preserve">I went to my study after Barb went to bed. I bought a domain name. The name I bought was</w:t>
      </w:r>
      <w:r>
        <w:t xml:space="preserve"> </w:t>
      </w:r>
      <w:r>
        <w:rPr>
          <w:i/>
        </w:rPr>
        <w:t xml:space="preserve">ElliottSecrets.net</w:t>
      </w:r>
      <w:r>
        <w:t xml:space="preserve">. I wrote a placeholder page that night and started, over the next several weeks, to build out what eventually became eight categories — Meetings, History, OSU, DSL, Lookouts, Fires, Roads, Financial. On each page I planned to put two columns. In the left column would be what the agency said, in the agency’s own words, with the agency’s letterhead, on the agency’s response sheets. In the right column would be what I could document, from primary sources, was the case. The visitor to the site would be able to compare. The visitor would not have to take my word for any of it. The documents would be the witnesses.</w:t>
      </w:r>
    </w:p>
    <w:p>
      <w:pPr>
        <w:pStyle w:val="BodyText"/>
      </w:pPr>
      <w:r>
        <w:t xml:space="preserve">The website went up in May 2020. The first published page was the home page, which I dated May 16. The DSL Secrets page, which is where the records-request material first appeared, went up about two weeks later. I dedicated the site, on the home page, to my father — J. Wesley Sullivan, who had edited the Salem</w:t>
      </w:r>
      <w:r>
        <w:t xml:space="preserve"> </w:t>
      </w:r>
      <w:r>
        <w:rPr>
          <w:i/>
        </w:rPr>
        <w:t xml:space="preserve">Statesman-Journal</w:t>
      </w:r>
      <w:r>
        <w:t xml:space="preserve"> </w:t>
      </w:r>
      <w:r>
        <w:t xml:space="preserve">in the years I was growing up and had served on the State Board of Forestry — because I knew what he would have done with the sentence on my kitchen table. He would have run it on his front page with the underlying facts in the same column.</w:t>
      </w:r>
    </w:p>
    <w:p>
      <w:pPr>
        <w:pStyle w:val="BodyText"/>
      </w:pPr>
      <w:r>
        <w:t xml:space="preserve">I did not know, in May of 2020, that the website would still be archived on the Internet’s Wayback Machine six years later as a primary source for a lawsuit in which I was the lead plaintiff. I did not know the lawsuit would happen. I did not know I would meet Margaret Bird. I did not know David Gould would die before the case was over. I did not know what Cougar Pass Lookout would look like from the ground after Bob Zybach and Barb and I crawled over the rotting roads to see what the State had let happen to it. I knew, only, that the agency had asked me to take its word against my own eyes, and I had decided that was a request I would not honor.</w:t>
      </w:r>
    </w:p>
    <w:p>
      <w:pPr>
        <w:pStyle w:val="BodyText"/>
      </w:pPr>
      <w:r>
        <w:t xml:space="preserve">That is the small decision Chapter 2 is about. The rest of the book is what followed.</w:t>
      </w:r>
    </w:p>
    <w:p>
      <w:r>
        <w:pict>
          <v:rect style="width:0;height:1.5pt" o:hralign="center" o:hrstd="t" o:hr="t"/>
        </w:pict>
      </w:r>
    </w:p>
    <w:p>
      <w:pPr>
        <w:pStyle w:val="FirstParagraph"/>
      </w:pPr>
      <w:r>
        <w:t xml:space="preserve">[BOX:</w:t>
      </w:r>
      <w:r>
        <w:t xml:space="preserve"> </w:t>
      </w:r>
      <w:r>
        <w:rPr>
          <w:b/>
        </w:rPr>
        <w:t xml:space="preserve">How Oregon’s Public Records Law Works</w:t>
      </w:r>
      <w:r>
        <w:t xml:space="preserve"> </w:t>
      </w:r>
      <w:r>
        <w:t xml:space="preserve">—</w:t>
      </w:r>
      <w:r>
        <w:t xml:space="preserve"> </w:t>
      </w:r>
      <w:r>
        <w:rPr>
          <w:i/>
        </w:rPr>
        <w:t xml:space="preserve">skip if you know this</w:t>
      </w:r>
    </w:p>
    <w:p>
      <w:pPr>
        <w:pStyle w:val="BodyText"/>
      </w:pPr>
      <w:r>
        <w:t xml:space="preserve">Oregon’s Public Records Law lives in the Oregon Revised Statutes, sections 192.311 through 192.478. It is the law that makes Oregon’s state agencies, in principle, accountable to the people who pay for them. The basic architecture is simple enough to fit on a postcard, and I am going to put it on a postcard for you.</w:t>
      </w:r>
    </w:p>
    <w:p>
      <w:pPr>
        <w:pStyle w:val="BodyText"/>
      </w:pPr>
      <w:r>
        <w:t xml:space="preserve">First: in Oregon, the default is disclosure. A record held by a public body — the Department of State Lands, the State Land Board, an OSU dean’s office acting as part of a state planning process — is presumed to be available to any person who asks for it. The agency does not have to be persuaded that the request is important, or that the requester is a journalist, or that the records will be used in a particular way. The records, by default, are public.</w:t>
      </w:r>
    </w:p>
    <w:p>
      <w:pPr>
        <w:pStyle w:val="BodyText"/>
      </w:pPr>
      <w:r>
        <w:t xml:space="preserve">Second: the burden of withholding is on the agency. If a state body refuses to produce a record, the body must point to a specific statutory exemption — there is a list of them, in ORS 192.345 and 192.355 — and explain why the exemption applies. The agency cannot withhold a record because it would be embarrassing, because it would complicate a planning process, or because the agency would rather not. The agency must name the exemption and meet its burden.</w:t>
      </w:r>
    </w:p>
    <w:p>
      <w:pPr>
        <w:pStyle w:val="BodyText"/>
      </w:pPr>
      <w:r>
        <w:t xml:space="preserve">Third: there is a remedy when the agency refuses. A requester whose request is denied can appeal to the Attorney General (for state-agency records) or to the District Attorney (for local-body records). If the appeal succeeds, the AG or DA orders production. If the agency still refuses, the requester can sue and recover attorney’s fees.</w:t>
      </w:r>
    </w:p>
    <w:p>
      <w:pPr>
        <w:pStyle w:val="BodyText"/>
      </w:pPr>
      <w:r>
        <w:t xml:space="preserve">Fourth: the records can be reviewed only on grounds the statute names. The statute does not authorize the agency to decide that the requester has the wrong motive or is asking for the wrong reasons. The agency’s only legitimate question is whether the record is exempt.</w:t>
      </w:r>
    </w:p>
    <w:p>
      <w:pPr>
        <w:pStyle w:val="BodyText"/>
      </w:pPr>
      <w:r>
        <w:t xml:space="preserve">In plain English: under Oregon’s Public Records Law, when you ask the State for documents, the State has to give them to you unless the State can show, under a specific provision, that it does not. The State does not have a generalized right to keep its work product to itself. The public has a presumptive right to read what the public has paid the State to produce.</w:t>
      </w:r>
    </w:p>
    <w:p>
      <w:pPr>
        <w:pStyle w:val="BodyText"/>
      </w:pPr>
      <w:r>
        <w:t xml:space="preserve">That is the law. Whether the law is followed is, as the next several chapters illustrate, a different question.]</w:t>
      </w:r>
    </w:p>
    <w:p>
      <w:r>
        <w:pict>
          <v:rect style="width:0;height:1.5pt" o:hralign="center" o:hrstd="t" o:hr="t"/>
        </w:pict>
      </w:r>
    </w:p>
    <w:p>
      <w:pPr>
        <w:pStyle w:val="FirstParagraph"/>
      </w:pPr>
      <w:r>
        <w:t xml:space="preserve">The next morning I picked up the phone and called Bob Zybach, because there was a lookout I had been meaning to take another look at.</w:t>
      </w:r>
    </w:p>
    <w:p>
      <w:r>
        <w:pict>
          <v:rect style="width:0;height:1.5pt" o:hralign="center" o:hrstd="t" o:hr="t"/>
        </w:pict>
      </w:r>
    </w:p>
    <w:p>
      <w:pPr>
        <w:pStyle w:val="FirstParagraph"/>
      </w:pPr>
      <w:r>
        <w:rPr>
          <w:i/>
        </w:rPr>
        <w:t xml:space="preserve">End of Chapter 2.</w:t>
      </w:r>
    </w:p>
    <w:p>
      <w:pPr>
        <w:pStyle w:val="Heading1"/>
      </w:pPr>
      <w:bookmarkStart w:id="32" w:name="chapter-3-bob-and-barb-at-cougar-pass"/>
      <w:r>
        <w:t xml:space="preserve">Chapter 3 — Bob and Barb at Cougar Pass</w:t>
      </w:r>
      <w:bookmarkEnd w:id="32"/>
    </w:p>
    <w:p>
      <w:pPr>
        <w:pStyle w:val="BlockText"/>
      </w:pPr>
      <w:r>
        <w:rPr>
          <w:i/>
        </w:rPr>
        <w:t xml:space="preserve">Because of the potential transfer of the Elliott to Oregon State University, the Department of State Lands is unable to dedicate time and resources to a potential project at this point in time.</w:t>
      </w:r>
    </w:p>
    <w:p>
      <w:pPr>
        <w:pStyle w:val="BlockText"/>
      </w:pPr>
      <w:r>
        <w:t xml:space="preserve">— Department of State Lands, written response to the Cougar Pass Lookout Education Center proposal, early 2020</w:t>
      </w:r>
    </w:p>
    <w:p>
      <w:r>
        <w:pict>
          <v:rect style="width:0;height:1.5pt" o:hralign="center" o:hrstd="t" o:hr="t"/>
        </w:pict>
      </w:r>
    </w:p>
    <w:p>
      <w:pPr>
        <w:pStyle w:val="FirstParagraph"/>
      </w:pPr>
      <w:r>
        <w:t xml:space="preserve">The way I tell people I got into this is that I went looking for a hobby and found a lawsuit. The hobby was a fire lookout.</w:t>
      </w:r>
    </w:p>
    <w:p>
      <w:pPr>
        <w:pStyle w:val="BodyText"/>
      </w:pPr>
      <w:r>
        <w:t xml:space="preserve">I had retired from the OSU College of Business by then. The tree farm in Kings Valley had a knoll on it that, on a clear day, gave a view east to the Cascades and west across the Coast Range. I had read enough about the old wooden lookouts the Forest Service built across the West in the 1930s to know that what I really wanted, on top of that knoll, was a fire lookout tower of my own — staffed by me, in my retirement, with a thermos and a pair of binoculars. The county building inspector, when I asked, said no one had ever requested a permit for one. He concluded eventually that I could build it, but only if I met the structural codes designed for tall commercial buildings. Forest Service lookout drawings did not meet those codes. There was, as far as I could tell, no published modern blueprint that did. I started a small effort to assemble open-source plans, and to do that I joined the Forest Fire Lookout Association.</w:t>
      </w:r>
    </w:p>
    <w:p>
      <w:pPr>
        <w:pStyle w:val="BodyText"/>
      </w:pPr>
      <w:r>
        <w:t xml:space="preserve">That is where Bob Zybach called me.</w:t>
      </w:r>
    </w:p>
    <w:p>
      <w:pPr>
        <w:pStyle w:val="BodyText"/>
      </w:pPr>
      <w:r>
        <w:t xml:space="preserve">I had known Bob twenty years earlier, when I was teaching at the business school and he was finishing his doctorate. Bob is a fire historian. His 2003 PhD dissertation at OSU —</w:t>
      </w:r>
      <w:r>
        <w:t xml:space="preserve"> </w:t>
      </w:r>
      <w:r>
        <w:rPr>
          <w:i/>
        </w:rPr>
        <w:t xml:space="preserve">The Great Fires</w:t>
      </w:r>
      <w:r>
        <w:t xml:space="preserve"> </w:t>
      </w:r>
      <w:r>
        <w:t xml:space="preserve">— documents Indian burning patterns and catastrophic fires on the Oregon Coast Range going back five centuries. He cofounded the Oregon Websites and Watersheds Project, ORWW.org, which has digitized a small library of Coast Range survey notes, aerial photographs, and oral histories. He is, by my reckoning and by the reckoning of every working forester I know who has spent time with him, the world’s foremost scholar on the Elliott State Forest and its history.</w:t>
      </w:r>
    </w:p>
    <w:p>
      <w:pPr>
        <w:pStyle w:val="BodyText"/>
      </w:pPr>
      <w:r>
        <w:t xml:space="preserve">When Bob called he was direct.</w:t>
      </w:r>
      <w:r>
        <w:t xml:space="preserve"> </w:t>
      </w:r>
      <w:r>
        <w:rPr>
          <w:i/>
        </w:rPr>
        <w:t xml:space="preserve">Dave,</w:t>
      </w:r>
      <w:r>
        <w:t xml:space="preserve"> </w:t>
      </w:r>
      <w:r>
        <w:t xml:space="preserve">he said.</w:t>
      </w:r>
      <w:r>
        <w:t xml:space="preserve"> </w:t>
      </w:r>
      <w:r>
        <w:rPr>
          <w:i/>
        </w:rPr>
        <w:t xml:space="preserve">You’re interested in fire lookout towers. There’s one on the Elliott called Cougar Pass. It’s in rough shape, but I think we could fix it up.</w:t>
      </w:r>
    </w:p>
    <w:p>
      <w:pPr>
        <w:pStyle w:val="BodyText"/>
      </w:pPr>
      <w:r>
        <w:t xml:space="preserve">I said yes inside of a sentence.</w:t>
      </w:r>
    </w:p>
    <w:p>
      <w:r>
        <w:pict>
          <v:rect style="width:0;height:1.5pt" o:hralign="center" o:hrstd="t" o:hr="t"/>
        </w:pict>
      </w:r>
    </w:p>
    <w:p>
      <w:pPr>
        <w:pStyle w:val="FirstParagraph"/>
      </w:pPr>
      <w:r>
        <w:t xml:space="preserve">Cougar Pass Lookout, when Bob and I first looked into it, turned out to be the last one standing on the Elliott. There had been four originally, built in the 1930s when the Coast Range was thick with logging slash and the State was learning, fire by fire, how to keep it from going up. Three of the four had been torn down or had collapsed. Cougar Pass alone remained — wooden cab, four legs, set on a knob near the head of the West Fork Millicoma drainage, with a view that on a clear day reached most of the western half of the forest. It had not been staffed in decades. The roof leaked. The stairs were rotten. Birds and small mammals had moved in. Whatever historical-preservation files the Department of State Lands kept on it had gone quiet years before.</w:t>
      </w:r>
    </w:p>
    <w:p>
      <w:pPr>
        <w:pStyle w:val="BodyText"/>
      </w:pPr>
      <w:r>
        <w:t xml:space="preserve">Bob’s idea was simple, and mine was the same. The lookout was a piece of the Elliott’s working history. We would form a small nonprofit, raise the money privately, restore the structure to a safe and visitable condition, staff it on a volunteer basis through the Forest Fire Lookout Association, and operate it as a Cougar Pass Lookout Education Center — a place where school groups, hikers, and the general public could walk up the stairs and stand inside the cab and see the forest the way the lookouts had seen it. The cost to the State would be zero. We would build the site ourselves, design the signage ourselves, and recruit the volunteers ourselves. We registered cougarpass.org, drafted a proposal, lined up early funding, talked with the State Historic Preservation Office about period-correct restoration methods, and brought the package to the Department of State Lands.</w:t>
      </w:r>
    </w:p>
    <w:p>
      <w:pPr>
        <w:pStyle w:val="BodyText"/>
      </w:pPr>
      <w:r>
        <w:t xml:space="preserve">The response, when it came, was an email from a DSL forester named Ryan Singleton. It was three short sentences long. I have read it many times. It is one of the documents I think about when people ask me when I first knew something was wrong on the Elliott.</w:t>
      </w:r>
    </w:p>
    <w:p>
      <w:pPr>
        <w:pStyle w:val="BlockText"/>
      </w:pPr>
      <w:r>
        <w:rPr>
          <w:i/>
        </w:rPr>
        <w:t xml:space="preserve">Because of the potential transfer of the Elliott to Oregon State University, the Department of State Lands is unable to dedicate time and resources to a potential project at this point in time.</w:t>
      </w:r>
    </w:p>
    <w:p>
      <w:pPr>
        <w:pStyle w:val="FirstParagraph"/>
      </w:pPr>
      <w:r>
        <w:t xml:space="preserve">Read it slowly. The State was not declining because the proposal was unsound — it had not engaged with the proposal at all. The State was not declining because the cost was wrong — the cost to the State was nothing. The State was declining because it was busy preparing to give the Elliott away, and a small piece of visible, public-facing infrastructure on the forest, attached to a small nonprofit operated by ordinary Oregonians, would complicate the giveaway. A lookout that the public visited would be a piece of public proprietorship on the books at exactly the wrong moment. So the lookout would be left to rot.</w:t>
      </w:r>
    </w:p>
    <w:p>
      <w:pPr>
        <w:pStyle w:val="BodyText"/>
      </w:pPr>
      <w:r>
        <w:t xml:space="preserve">I read the letter twice the day it arrived. I read it a third time the next morning. I called Bob and read it to him. Then I called Howard Verschoor.</w:t>
      </w:r>
    </w:p>
    <w:p>
      <w:r>
        <w:pict>
          <v:rect style="width:0;height:1.5pt" o:hralign="center" o:hrstd="t" o:hr="t"/>
        </w:pict>
      </w:r>
    </w:p>
    <w:p>
      <w:pPr>
        <w:pStyle w:val="FirstParagraph"/>
      </w:pPr>
      <w:r>
        <w:t xml:space="preserve">Howard Verschoor was the Oregon chapter director of the Forest Fire Lookout Association. He had been working on these towers for years. I told him about Cougar Pass, and the proposal, and the DSL letter. There was a long pause on his end. Then he laughed, the way you laugh when something is not funny.</w:t>
      </w:r>
    </w:p>
    <w:p>
      <w:pPr>
        <w:pStyle w:val="BodyText"/>
      </w:pPr>
      <w:r>
        <w:rPr>
          <w:i/>
        </w:rPr>
        <w:t xml:space="preserve">Dave,</w:t>
      </w:r>
      <w:r>
        <w:t xml:space="preserve"> </w:t>
      </w:r>
      <w:r>
        <w:t xml:space="preserve">he said.</w:t>
      </w:r>
      <w:r>
        <w:t xml:space="preserve"> </w:t>
      </w:r>
      <w:r>
        <w:rPr>
          <w:i/>
        </w:rPr>
        <w:t xml:space="preserve">I tried to do that twenty years ago.</w:t>
      </w:r>
    </w:p>
    <w:p>
      <w:pPr>
        <w:pStyle w:val="BodyText"/>
      </w:pPr>
      <w:r>
        <w:t xml:space="preserve">From 1999 to 2003, Howard told me, he and the FFLA had made four formal attempts to restore Cougar Pass. Each time they had brought money to the table; each time they had offered volunteer labor; each time they had been put off.</w:t>
      </w:r>
      <w:r>
        <w:t xml:space="preserve"> </w:t>
      </w:r>
      <w:r>
        <w:rPr>
          <w:i/>
        </w:rPr>
        <w:t xml:space="preserve">They didn’t say no,</w:t>
      </w:r>
      <w:r>
        <w:t xml:space="preserve"> </w:t>
      </w:r>
      <w:r>
        <w:t xml:space="preserve">Howard said.</w:t>
      </w:r>
      <w:r>
        <w:t xml:space="preserve"> </w:t>
      </w:r>
      <w:r>
        <w:rPr>
          <w:i/>
        </w:rPr>
        <w:t xml:space="preserve">They just kept not saying yes. Eventually we gave up.</w:t>
      </w:r>
      <w:r>
        <w:t xml:space="preserve"> </w:t>
      </w:r>
      <w:r>
        <w:t xml:space="preserve">The same agency, the same forest, the same lookout. Eleven years apart, the same answer.</w:t>
      </w:r>
    </w:p>
    <w:p>
      <w:pPr>
        <w:pStyle w:val="BodyText"/>
      </w:pPr>
      <w:r>
        <w:t xml:space="preserve">That was the thing I sat with for a week. It was not a single bureaucrat’s bad day. It was not a misunderstanding between offices. The Department of State Lands had a position on Cougar Pass that had been stable across two decades and across at least two staff turnovers, and the position was that the lookout would be allowed to fall down rather than be helped to stand up by anyone outside the agency.</w:t>
      </w:r>
    </w:p>
    <w:p>
      <w:pPr>
        <w:pStyle w:val="BodyText"/>
      </w:pPr>
      <w:r>
        <w:t xml:space="preserve">My wife Barb said the thing out loud at our kitchen table the next morning.</w:t>
      </w:r>
      <w:r>
        <w:t xml:space="preserve"> </w:t>
      </w:r>
      <w:r>
        <w:rPr>
          <w:i/>
        </w:rPr>
        <w:t xml:space="preserve">Dave,</w:t>
      </w:r>
      <w:r>
        <w:t xml:space="preserve"> </w:t>
      </w:r>
      <w:r>
        <w:t xml:space="preserve">she said.</w:t>
      </w:r>
      <w:r>
        <w:t xml:space="preserve"> </w:t>
      </w:r>
      <w:r>
        <w:rPr>
          <w:i/>
        </w:rPr>
        <w:t xml:space="preserve">They want it to rot.</w:t>
      </w:r>
    </w:p>
    <w:p>
      <w:r>
        <w:pict>
          <v:rect style="width:0;height:1.5pt" o:hralign="center" o:hrstd="t" o:hr="t"/>
        </w:pict>
      </w:r>
    </w:p>
    <w:p>
      <w:pPr>
        <w:pStyle w:val="FirstParagraph"/>
      </w:pPr>
      <w:r>
        <w:t xml:space="preserve">Two weeks later, on a Saturday in February 2020, Bob and Barb and I drove out to see what the lookout had become.</w:t>
      </w:r>
    </w:p>
    <w:p>
      <w:pPr>
        <w:pStyle w:val="BodyText"/>
      </w:pPr>
      <w:r>
        <w:t xml:space="preserve">The road in to Cougar Pass had been a logging road once, and then a maintained Elliott access road, and then a road that was allowed to lapse. Past a certain gate the gravel ran out and the alders and salmonberry took over. We had a four-wheel-drive truck and we still spent the last mile and a half crawling — first gear, low range, easing over washouts and root-balls and the occasional rotted-out culvert. Barb counted the alders the truck pushed flat. She got to eleven. Bob, who has spent more of his working life on Coast Range roads than most people have spent in cars, was the calmest of the three of us.</w:t>
      </w:r>
      <w:r>
        <w:t xml:space="preserve"> </w:t>
      </w:r>
      <w:r>
        <w:rPr>
          <w:i/>
        </w:rPr>
        <w:t xml:space="preserve">They stopped grading this two summers ago,</w:t>
      </w:r>
      <w:r>
        <w:t xml:space="preserve"> </w:t>
      </w:r>
      <w:r>
        <w:t xml:space="preserve">he said.</w:t>
      </w:r>
      <w:r>
        <w:t xml:space="preserve"> </w:t>
      </w:r>
      <w:r>
        <w:rPr>
          <w:i/>
        </w:rPr>
        <w:t xml:space="preserve">Maybe three.</w:t>
      </w:r>
      <w:r>
        <w:t xml:space="preserve"> </w:t>
      </w:r>
      <w:r>
        <w:t xml:space="preserve">The Elliott was eighty thousand acres of some of the most productive timberland in the world, and the State was paying one Forester out of an office in Bend, four and a half hours away, to manage it. We were looking at what one Forester out of an office four and a half hours away could keep up with.</w:t>
      </w:r>
    </w:p>
    <w:p>
      <w:pPr>
        <w:pStyle w:val="BodyText"/>
      </w:pPr>
      <w:r>
        <w:t xml:space="preserve">The lookout, when we reached it, was worse than the photographs had suggested. The bottom flight of the staircase had collapsed entirely; the second flight was holding by the grace of a few ten-penny nails and the dry summer air. The cab roof had a hole in it the size of a serving platter. Inside the cab, the fire-finder pedestal was gone — pried up, by the look of it, years before. The windows were broken on three sides. There was bird droppings on every horizontal surface and a small skeleton of something — a packrat, maybe — in the corner. The whole structure smelled of wet wood and mouse.</w:t>
      </w:r>
    </w:p>
    <w:p>
      <w:pPr>
        <w:pStyle w:val="BodyText"/>
      </w:pPr>
      <w:r>
        <w:t xml:space="preserve">Bob walked the perimeter slowly, the way he walks all old structures, taking it in.</w:t>
      </w:r>
      <w:r>
        <w:t xml:space="preserve"> </w:t>
      </w:r>
      <w:r>
        <w:rPr>
          <w:i/>
        </w:rPr>
        <w:t xml:space="preserve">It would still come back,</w:t>
      </w:r>
      <w:r>
        <w:t xml:space="preserve"> </w:t>
      </w:r>
      <w:r>
        <w:t xml:space="preserve">he said finally.</w:t>
      </w:r>
      <w:r>
        <w:t xml:space="preserve"> </w:t>
      </w:r>
      <w:r>
        <w:rPr>
          <w:i/>
        </w:rPr>
        <w:t xml:space="preserve">We could still do this.</w:t>
      </w:r>
      <w:r>
        <w:t xml:space="preserve"> </w:t>
      </w:r>
      <w:r>
        <w:t xml:space="preserve">He meant it. The frame was sound. The footings, where you could see them through the brush, were good. With four months and a crew of volunteers and the historic-preservation guidance we had already lined up, Cougar Pass Lookout could be standing and staffed and open to the public by the next summer. Everything we needed was already in our hands. The only thing in the way was a state agency that did not want us to do it.</w:t>
      </w:r>
    </w:p>
    <w:p>
      <w:pPr>
        <w:pStyle w:val="BodyText"/>
      </w:pPr>
      <w:r>
        <w:t xml:space="preserve">I stood on what was left of the platform and looked west. You could see, from up there, the working part of the forest — the alders and the second-growth Douglas-fir and the patches that had been cut and replanted in the 1960s. You could see what eighty thousand acres of school trust looks like when nobody is looking. Barb stood beside me and did not say anything for a long time. Then she said,</w:t>
      </w:r>
      <w:r>
        <w:t xml:space="preserve"> </w:t>
      </w:r>
      <w:r>
        <w:rPr>
          <w:i/>
        </w:rPr>
        <w:t xml:space="preserve">Dave, this is not a place that is being managed. This is a place that is being abandoned.</w:t>
      </w:r>
    </w:p>
    <w:p>
      <w:pPr>
        <w:pStyle w:val="BodyText"/>
      </w:pPr>
      <w:r>
        <w:t xml:space="preserve">That was the sentence the diagnosis came out of.</w:t>
      </w:r>
    </w:p>
    <w:p>
      <w:pPr>
        <w:pStyle w:val="BodyText"/>
      </w:pPr>
      <w:r>
        <w:t xml:space="preserve">I do not want to make it sound like I knew, that day, what I know now. I did not. I knew we had been told no for reasons that did not match the proposal. I knew Howard Verschoor had been told no for reasons that did not match his proposal either. I knew the road to the lookout was rotting and the lookout itself was rotting and the agency that was supposed to be standing watch over both was, by its own written admission, busy with something else. The thing I did not yet know was how large the</w:t>
      </w:r>
      <w:r>
        <w:t xml:space="preserve"> </w:t>
      </w:r>
      <w:r>
        <w:rPr>
          <w:i/>
        </w:rPr>
        <w:t xml:space="preserve">something else</w:t>
      </w:r>
      <w:r>
        <w:t xml:space="preserve"> </w:t>
      </w:r>
      <w:r>
        <w:t xml:space="preserve">was.</w:t>
      </w:r>
    </w:p>
    <w:p>
      <w:pPr>
        <w:pStyle w:val="BodyText"/>
      </w:pPr>
      <w:r>
        <w:t xml:space="preserve">But on the drive home that afternoon, with Bob asleep in the back seat and the truck creaking over the same washouts on the way out, the question that became the question put itself together in my head. The State had been letting the Cougar Pass lookout rot for at least twenty years. The State had been actively rejecting outside efforts to save it for at least twenty years. The State’s only written reason — the only reason it had ever put on paper — was that it was preparing to transfer the Elliott to Oregon State University. If the State was managing the lookout this way, on the documentary record, then:</w:t>
      </w:r>
      <w:r>
        <w:t xml:space="preserve"> </w:t>
      </w:r>
      <w:r>
        <w:rPr>
          <w:i/>
        </w:rPr>
        <w:t xml:space="preserve">Is the entire Elliott being managed in essentially the same manner?</w:t>
      </w:r>
    </w:p>
    <w:p>
      <w:pPr>
        <w:pStyle w:val="BodyText"/>
      </w:pPr>
      <w:r>
        <w:t xml:space="preserve">That is the sentence I keep coming back to. It is the load-bearing sentence of this whole book. I did not have the documents yet to answer it. I had the question. Everything that comes after this chapter — the public-records requests, the secret meetings, the OSU plan, the bond substitution, the lawsuits, the trial — is the work of answering it.</w:t>
      </w:r>
    </w:p>
    <w:p>
      <w:pPr>
        <w:pStyle w:val="BodyText"/>
      </w:pPr>
      <w:r>
        <w:t xml:space="preserve">The Cougar Pass refusal letter became, for me, the smallest piece of paper in the case and one of the most important. It is three sentences long. It does not contain a dollar figure. It does not mention the Common School Fund. It does not say the words</w:t>
      </w:r>
      <w:r>
        <w:t xml:space="preserve"> </w:t>
      </w:r>
      <w:r>
        <w:rPr>
          <w:i/>
        </w:rPr>
        <w:t xml:space="preserve">fiduciary duty.</w:t>
      </w:r>
      <w:r>
        <w:t xml:space="preserve"> </w:t>
      </w:r>
      <w:r>
        <w:t xml:space="preserve">It does say, in its own dry agency voice, that the trustee of the Elliott has other priorities than the upkeep of the Elliott. A trustee with other priorities than the upkeep of the trust is not, by the meaning of the word, a trustee at all.</w:t>
      </w:r>
    </w:p>
    <w:p>
      <w:r>
        <w:pict>
          <v:rect style="width:0;height:1.5pt" o:hralign="center" o:hrstd="t" o:hr="t"/>
        </w:pict>
      </w:r>
    </w:p>
    <w:p>
      <w:pPr>
        <w:pStyle w:val="FirstParagraph"/>
      </w:pPr>
      <w:r>
        <w:t xml:space="preserve">[PHOTO: Bob Zybach at Cougar Pass — Drive file BobZybach.JPG in CougarPass folder]</w:t>
      </w:r>
    </w:p>
    <w:p>
      <w:r>
        <w:pict>
          <v:rect style="width:0;height:1.5pt" o:hralign="center" o:hrstd="t" o:hr="t"/>
        </w:pict>
      </w:r>
    </w:p>
    <w:p>
      <w:pPr>
        <w:pStyle w:val="BlockText"/>
      </w:pPr>
      <w:r>
        <w:rPr>
          <w:b/>
        </w:rPr>
        <w:t xml:space="preserve">What is a Trust of the Highest Nature?</w:t>
      </w:r>
    </w:p>
    <w:p>
      <w:pPr>
        <w:pStyle w:val="BlockText"/>
      </w:pPr>
      <w:r>
        <w:t xml:space="preserve">A trust, in plain English, is what happens when one person — the</w:t>
      </w:r>
      <w:r>
        <w:t xml:space="preserve"> </w:t>
      </w:r>
      <w:r>
        <w:rPr>
          <w:b/>
        </w:rPr>
        <w:t xml:space="preserve">settlor</w:t>
      </w:r>
      <w:r>
        <w:t xml:space="preserve"> </w:t>
      </w:r>
      <w:r>
        <w:t xml:space="preserve">— hands property to a second person — the</w:t>
      </w:r>
      <w:r>
        <w:t xml:space="preserve"> </w:t>
      </w:r>
      <w:r>
        <w:rPr>
          <w:b/>
        </w:rPr>
        <w:t xml:space="preserve">trustee</w:t>
      </w:r>
      <w:r>
        <w:t xml:space="preserve"> </w:t>
      </w:r>
      <w:r>
        <w:t xml:space="preserve">— to be held and managed for the benefit of a third — the</w:t>
      </w:r>
      <w:r>
        <w:t xml:space="preserve"> </w:t>
      </w:r>
      <w:r>
        <w:rPr>
          <w:b/>
        </w:rPr>
        <w:t xml:space="preserve">beneficiary</w:t>
      </w:r>
      <w:r>
        <w:t xml:space="preserve">. The trustee does not own the property. The trustee holds it. The trustee’s whole job is to manage it the way the beneficiary would manage it if the beneficiary could do it herself.</w:t>
      </w:r>
    </w:p>
    <w:p>
      <w:pPr>
        <w:pStyle w:val="BlockText"/>
      </w:pPr>
      <w:r>
        <w:t xml:space="preserve">Some trusts are casual; some are sacred. A grandfather who tells his daughter to</w:t>
      </w:r>
      <w:r>
        <w:t xml:space="preserve"> </w:t>
      </w:r>
      <w:r>
        <w:rPr>
          <w:i/>
        </w:rPr>
        <w:t xml:space="preserve">hold this for the kids until they’re eighteen</w:t>
      </w:r>
      <w:r>
        <w:t xml:space="preserve"> </w:t>
      </w:r>
      <w:r>
        <w:t xml:space="preserve">has set up a trust. So has the State of Oregon, in 1859, when it accepted from the federal government five hundred thousand acres of land and a constitutional duty to hold those lands for the common-school fund. The first kind of trust is a family courtesy. The second kind is what the Oregon Supreme Court, in a 1931 case called</w:t>
      </w:r>
      <w:r>
        <w:t xml:space="preserve"> </w:t>
      </w:r>
      <w:r>
        <w:rPr>
          <w:i/>
        </w:rPr>
        <w:t xml:space="preserve">Eagle Point Irrigation District v. Cowden</w:t>
      </w:r>
      <w:r>
        <w:t xml:space="preserve">, named</w:t>
      </w:r>
      <w:r>
        <w:t xml:space="preserve"> </w:t>
      </w:r>
      <w:r>
        <w:rPr>
          <w:i/>
        </w:rPr>
        <w:t xml:space="preserve">a trust of the highest nature</w:t>
      </w:r>
      <w:r>
        <w:t xml:space="preserve">.</w:t>
      </w:r>
    </w:p>
    <w:p>
      <w:pPr>
        <w:pStyle w:val="BlockText"/>
      </w:pPr>
      <w:r>
        <w:t xml:space="preserve">What does that phrase mean? It means three things, all of them in ordinary English. First, the trustee has a</w:t>
      </w:r>
      <w:r>
        <w:t xml:space="preserve"> </w:t>
      </w:r>
      <w:r>
        <w:rPr>
          <w:b/>
        </w:rPr>
        <w:t xml:space="preserve">duty of loyalty</w:t>
      </w:r>
      <w:r>
        <w:t xml:space="preserve">: every decision the trustee makes about the trust property has to be made for the beneficiary’s benefit, not the trustee’s own. Second, the trustee has a</w:t>
      </w:r>
      <w:r>
        <w:t xml:space="preserve"> </w:t>
      </w:r>
      <w:r>
        <w:rPr>
          <w:b/>
        </w:rPr>
        <w:t xml:space="preserve">duty of prudence</w:t>
      </w:r>
      <w:r>
        <w:t xml:space="preserve">: the trustee has to manage the property the way a careful person would manage it — keep the buildings standing, keep the timber growing, keep the cash invested, keep the records straight. Third — and this is the part the Cougar Pass refusal letter touches — the trustee has a</w:t>
      </w:r>
      <w:r>
        <w:t xml:space="preserve"> </w:t>
      </w:r>
      <w:r>
        <w:rPr>
          <w:b/>
        </w:rPr>
        <w:t xml:space="preserve">duty to defend the corpus</w:t>
      </w:r>
      <w:r>
        <w:t xml:space="preserve">. The</w:t>
      </w:r>
      <w:r>
        <w:t xml:space="preserve"> </w:t>
      </w:r>
      <w:r>
        <w:rPr>
          <w:i/>
        </w:rPr>
        <w:t xml:space="preserve">corpus</w:t>
      </w:r>
      <w:r>
        <w:t xml:space="preserve"> </w:t>
      </w:r>
      <w:r>
        <w:t xml:space="preserve">is the legal word for the trust property itself. A trustee who lets the trust property rot, or who refuses outside help that would keep it from rotting, has not defended the corpus. A trustee who refuses to spend the time and attention the property requires has not defended the corpus.</w:t>
      </w:r>
    </w:p>
    <w:p>
      <w:pPr>
        <w:pStyle w:val="BlockText"/>
      </w:pPr>
      <w:r>
        <w:t xml:space="preserve">The trustees of the Elliott State Forest are the Governor, the Secretary of State, and the Treasurer of Oregon, sitting together as the State Land Board. The corpus they are charged with defending is the working forest itself: the soil, the timber, the roads, the watersheds, and yes, the lookouts. The Cougar Pass refusal letter is one agency’s written notice that it would not defend a piece of that corpus because it had other plans for the rest of it. Reasonable people can disagree about what</w:t>
      </w:r>
      <w:r>
        <w:t xml:space="preserve"> </w:t>
      </w:r>
      <w:r>
        <w:rPr>
          <w:i/>
        </w:rPr>
        <w:t xml:space="preserve">defending the corpus</w:t>
      </w:r>
      <w:r>
        <w:t xml:space="preserve"> </w:t>
      </w:r>
      <w:r>
        <w:t xml:space="preserve">looks like on any given day. Reasonable people cannot disagree about whether</w:t>
      </w:r>
      <w:r>
        <w:t xml:space="preserve"> </w:t>
      </w:r>
      <w:r>
        <w:rPr>
          <w:i/>
        </w:rPr>
        <w:t xml:space="preserve">letting it rot</w:t>
      </w:r>
      <w:r>
        <w:t xml:space="preserve"> </w:t>
      </w:r>
      <w:r>
        <w:t xml:space="preserve">counts.</w:t>
      </w:r>
    </w:p>
    <w:p>
      <w:r>
        <w:pict>
          <v:rect style="width:0;height:1.5pt" o:hralign="center" o:hrstd="t" o:hr="t"/>
        </w:pict>
      </w:r>
    </w:p>
    <w:p>
      <w:pPr>
        <w:pStyle w:val="FirstParagraph"/>
      </w:pPr>
      <w:r>
        <w:t xml:space="preserve">Bob dropped me at the farmhouse late that afternoon. Barb made coffee. I sat at the kitchen table with the DSL letter in front of me and the photographs from the trip spreading out across the table as Barb pulled them off the camera.</w:t>
      </w:r>
    </w:p>
    <w:p>
      <w:pPr>
        <w:pStyle w:val="BodyText"/>
      </w:pPr>
      <w:r>
        <w:rPr>
          <w:i/>
        </w:rPr>
        <w:t xml:space="preserve">What are you going to do,</w:t>
      </w:r>
      <w:r>
        <w:t xml:space="preserve"> </w:t>
      </w:r>
      <w:r>
        <w:t xml:space="preserve">she said.</w:t>
      </w:r>
    </w:p>
    <w:p>
      <w:pPr>
        <w:pStyle w:val="BodyText"/>
      </w:pPr>
      <w:r>
        <w:t xml:space="preserve">I did not have an answer yet. What I had was a question, and a feeling that the question pointed at something larger than a lookout. Cougar Pass was one lookout on one ridge. The question was about the rest of the forest, and the rest of the forest was being decided somewhere I could not see.</w:t>
      </w:r>
    </w:p>
    <w:p>
      <w:pPr>
        <w:pStyle w:val="BodyText"/>
      </w:pPr>
      <w:r>
        <w:t xml:space="preserve">Three months later, on a Wednesday evening at the end of May, an email arrived at our home address from the interim dean of the OSU College of Forestry. The subject line was bland and the time stamp was 5:46 PM and the contents told me, in writing and without meaning to, where the rest of the forest was being decided. That email is where the next chapter begins.</w:t>
      </w:r>
    </w:p>
    <w:p>
      <w:r>
        <w:pict>
          <v:rect style="width:0;height:1.5pt" o:hralign="center" o:hrstd="t" o:hr="t"/>
        </w:pict>
      </w:r>
    </w:p>
    <w:p>
      <w:pPr>
        <w:pStyle w:val="FirstParagraph"/>
      </w:pPr>
      <w:r>
        <w:rPr>
          <w:i/>
        </w:rPr>
        <w:t xml:space="preserve">End of Chapter 3.</w:t>
      </w:r>
    </w:p>
    <w:p>
      <w:pPr>
        <w:pStyle w:val="Heading1"/>
      </w:pPr>
      <w:bookmarkStart w:id="33" w:name="X34063805d03a90bb7fe782905a170d857b65d6c"/>
      <w:r>
        <w:t xml:space="preserve">Chapter 4 — The Secret Meeting About Going Public</w:t>
      </w:r>
      <w:bookmarkEnd w:id="33"/>
    </w:p>
    <w:p>
      <w:pPr>
        <w:pStyle w:val="FirstParagraph"/>
      </w:pPr>
      <w:r>
        <w:rPr>
          <w:i/>
        </w:rPr>
        <w:t xml:space="preserve">Who Steals from Children: Volume 1 — Oregon and the Elliott.</w:t>
      </w:r>
      <w:r>
        <w:t xml:space="preserve"> </w:t>
      </w:r>
      <w:r>
        <w:t xml:space="preserve">General Reader’s Edition. Draft v1, 2026-05-10. Dave Sullivan, first person.</w:t>
      </w:r>
    </w:p>
    <w:p>
      <w:r>
        <w:pict>
          <v:rect style="width:0;height:1.5pt" o:hralign="center" o:hrstd="t" o:hr="t"/>
        </w:pict>
      </w:r>
    </w:p>
    <w:p>
      <w:pPr>
        <w:pStyle w:val="BlockText"/>
      </w:pPr>
      <w:r>
        <w:rPr>
          <w:i/>
        </w:rPr>
        <w:t xml:space="preserve">The next Science Advisory Panel meeting will discuss the process that the panel will use to receive and share comments, questions, and information from the public.</w:t>
      </w:r>
    </w:p>
    <w:p>
      <w:pPr>
        <w:pStyle w:val="BlockText"/>
      </w:pPr>
      <w:r>
        <w:t xml:space="preserve">— Anthony S. Davis, Interim Dean, OSU College of Forestry, in an email to Dave and Barb Sullivan, May 27, 2020, 5:46 PM</w:t>
      </w:r>
    </w:p>
    <w:p>
      <w:r>
        <w:pict>
          <v:rect style="width:0;height:1.5pt" o:hralign="center" o:hrstd="t" o:hr="t"/>
        </w:pict>
      </w:r>
    </w:p>
    <w:p>
      <w:pPr>
        <w:pStyle w:val="FirstParagraph"/>
      </w:pPr>
      <w:r>
        <w:t xml:space="preserve">On the evening of May 27, 2020, I sat at the kitchen table in Kings Valley with a cup of coffee in my hand and read an email from a man named Anthony Davis.</w:t>
      </w:r>
    </w:p>
    <w:p>
      <w:pPr>
        <w:pStyle w:val="BodyText"/>
      </w:pPr>
      <w:r>
        <w:t xml:space="preserve">I had been expecting it. Or I had been expecting something like it. I had been writing to the Department of State Lands and the OSU College of Forestry for months by then, asking simple questions about the Elliott — what the Science Advisory Panel was doing, when it was meeting, who sat on it, what the panel had been told to deliberate about. The answers, when answers came at all, were the kind of answers an agency gives when it wants you to feel that you have been answered without actually having to say anything. I had stopped expecting much.</w:t>
      </w:r>
    </w:p>
    <w:p>
      <w:pPr>
        <w:pStyle w:val="BodyText"/>
      </w:pPr>
      <w:r>
        <w:t xml:space="preserve">But Davis had answered. He was the Interim Dean of the OSU College of Forestry, the same college that was building, on behalf of the State, a proposal to take the Elliott State Forest out of the Common School Fund and convert it into something the College would run. He had, on his own initiative, written to my wife Barb and me to let us know that the Science Advisory Panel — the body of scientists OSU had assembled to give the conversion proposal its credentials — was going to meet privately two days later. He told us the date. He told us the time. He told us, in one carefully bureaucratic sentence, what the meeting was about.</w:t>
      </w:r>
    </w:p>
    <w:p>
      <w:pPr>
        <w:pStyle w:val="BodyText"/>
      </w:pPr>
      <w:r>
        <w:t xml:space="preserve">I read the sentence. Then I read it again.</w:t>
      </w:r>
    </w:p>
    <w:p>
      <w:pPr>
        <w:pStyle w:val="BodyText"/>
      </w:pPr>
      <w:r>
        <w:t xml:space="preserve">The Science Advisory Panel, he wrote, would meet on May 29, 2020, to discuss</w:t>
      </w:r>
      <w:r>
        <w:t xml:space="preserve"> </w:t>
      </w:r>
      <w:r>
        <w:rPr>
          <w:i/>
        </w:rPr>
        <w:t xml:space="preserve">“</w:t>
      </w:r>
      <w:r>
        <w:rPr>
          <w:i/>
        </w:rPr>
        <w:t xml:space="preserve">the process that the panel will use to receive and share comments, questions, and information from the public.</w:t>
      </w:r>
      <w:r>
        <w:rPr>
          <w:i/>
        </w:rPr>
        <w:t xml:space="preserve">”</w:t>
      </w:r>
    </w:p>
    <w:p>
      <w:pPr>
        <w:pStyle w:val="BodyText"/>
      </w:pPr>
      <w:r>
        <w:t xml:space="preserve">I set the cup down.</w:t>
      </w:r>
    </w:p>
    <w:p>
      <w:pPr>
        <w:pStyle w:val="BodyText"/>
      </w:pPr>
      <w:r>
        <w:t xml:space="preserve">[PHOTO: a redacted screenshot of the Davis email, text only]</w:t>
      </w:r>
    </w:p>
    <w:p>
      <w:pPr>
        <w:pStyle w:val="BodyText"/>
      </w:pPr>
      <w:r>
        <w:t xml:space="preserve">I am a systems scientist by training. I have spent forty years thinking about how organizations process information, and I have written textbooks about how people think when they sit down at a computer or a meeting table. There is a particular kind of bureaucratic sentence that, when you read it slowly enough, tells you more than its author meant to say. The dean’s sentence was one of those. The interim dean of a state university’s college of forestry had just told me, in writing, that a panel chartered to advise a state agency on the disposition of a billion-dollar public trust asset was going to meet</w:t>
      </w:r>
      <w:r>
        <w:t xml:space="preserve"> </w:t>
      </w:r>
      <w:r>
        <w:rPr>
          <w:i/>
        </w:rPr>
        <w:t xml:space="preserve">in private</w:t>
      </w:r>
      <w:r>
        <w:t xml:space="preserve"> </w:t>
      </w:r>
      <w:r>
        <w:t xml:space="preserve">to decide how it would later be</w:t>
      </w:r>
      <w:r>
        <w:t xml:space="preserve"> </w:t>
      </w:r>
      <w:r>
        <w:rPr>
          <w:i/>
        </w:rPr>
        <w:t xml:space="preserve">public</w:t>
      </w:r>
      <w:r>
        <w:t xml:space="preserve">.</w:t>
      </w:r>
    </w:p>
    <w:p>
      <w:pPr>
        <w:pStyle w:val="BodyText"/>
      </w:pPr>
      <w:r>
        <w:t xml:space="preserve">I sat at the kitchen table for a long time after that. Barb came in and asked what was wrong. I told her. She read the email over my shoulder and said,</w:t>
      </w:r>
      <w:r>
        <w:t xml:space="preserve"> </w:t>
      </w:r>
      <w:r>
        <w:t xml:space="preserve">“</w:t>
      </w:r>
      <w:r>
        <w:t xml:space="preserve">He doesn’t even know what he just said, does he.</w:t>
      </w:r>
      <w:r>
        <w:t xml:space="preserve">”</w:t>
      </w:r>
    </w:p>
    <w:p>
      <w:pPr>
        <w:pStyle w:val="BodyText"/>
      </w:pPr>
      <w:r>
        <w:t xml:space="preserve">He did not.</w:t>
      </w:r>
    </w:p>
    <w:p>
      <w:pPr>
        <w:pStyle w:val="Heading2"/>
      </w:pPr>
      <w:bookmarkStart w:id="34" w:name="what-davis-didnt-realize-he-was-saying"/>
      <w:r>
        <w:t xml:space="preserve">What Davis didn’t realize he was saying</w:t>
      </w:r>
      <w:bookmarkEnd w:id="34"/>
    </w:p>
    <w:p>
      <w:pPr>
        <w:pStyle w:val="FirstParagraph"/>
      </w:pPr>
      <w:r>
        <w:t xml:space="preserve">Let me back up, because the meaning of the Davis email depends on what was already in the room before the email arrived.</w:t>
      </w:r>
    </w:p>
    <w:p>
      <w:pPr>
        <w:pStyle w:val="BodyText"/>
      </w:pPr>
      <w:r>
        <w:t xml:space="preserve">By May 2020, the conversion of the Elliott had been in motion for three years. The 2017 sale to Lone Rock Resources had collapsed under public protest — the chapter that follows this one tells that story — and the Department of State Lands had pivoted, with the OSU College of Forestry’s help, to a different mechanism for accomplishing the same conversion. Instead of selling the Elliott to a private timber company, the State would</w:t>
      </w:r>
      <w:r>
        <w:t xml:space="preserve"> </w:t>
      </w:r>
      <w:r>
        <w:rPr>
          <w:i/>
        </w:rPr>
        <w:t xml:space="preserve">transfer</w:t>
      </w:r>
      <w:r>
        <w:t xml:space="preserve"> </w:t>
      </w:r>
      <w:r>
        <w:t xml:space="preserve">it to OSU as a</w:t>
      </w:r>
      <w:r>
        <w:t xml:space="preserve"> </w:t>
      </w:r>
      <w:r>
        <w:t xml:space="preserve">“</w:t>
      </w:r>
      <w:r>
        <w:t xml:space="preserve">research forest.</w:t>
      </w:r>
      <w:r>
        <w:t xml:space="preserve">”</w:t>
      </w:r>
      <w:r>
        <w:t xml:space="preserve"> </w:t>
      </w:r>
      <w:r>
        <w:t xml:space="preserve">The forest would leave the Common School Fund. The proceeds would be replaced, eventually, by a state-issued bond. The schoolchildren who were the Fund’s named beneficiaries would lose a working timber asset and acquire, in its place, a line item on the state budget.</w:t>
      </w:r>
    </w:p>
    <w:p>
      <w:pPr>
        <w:pStyle w:val="BodyText"/>
      </w:pPr>
      <w:r>
        <w:t xml:space="preserve">The vehicle for designing this conversion was the Science Advisory Panel, a body that DSL and OSU had stood up under a Memorandum of Understanding. The Panel met. It deliberated. It drafted recommendations. It produced, by the end of 2020, the document that would become the Elliott State Research Forest Proposal — the proposal whose page 28 we will see in Chapter 7, the one that projects a $2.1 million annual deficit for fifty years.</w:t>
      </w:r>
    </w:p>
    <w:p>
      <w:pPr>
        <w:pStyle w:val="BodyText"/>
      </w:pPr>
      <w:r>
        <w:t xml:space="preserve">The Panel did all of this in private.</w:t>
      </w:r>
    </w:p>
    <w:p>
      <w:pPr>
        <w:pStyle w:val="BodyText"/>
      </w:pPr>
      <w:r>
        <w:t xml:space="preserve">That was the part the public was not supposed to focus on. The Panel was framed, in DSL’s external communications, as a group of distinguished scientists giving the State the benefit of their expertise. The framing was true enough — the panel members were in fact distinguished, and they were in fact scientists. The framing left out one thing. Under Oregon law, the Panel was a</w:t>
      </w:r>
      <w:r>
        <w:t xml:space="preserve"> </w:t>
      </w:r>
      <w:r>
        <w:rPr>
          <w:i/>
        </w:rPr>
        <w:t xml:space="preserve">governing body</w:t>
      </w:r>
      <w:r>
        <w:t xml:space="preserve"> </w:t>
      </w:r>
      <w:r>
        <w:t xml:space="preserve">of a</w:t>
      </w:r>
      <w:r>
        <w:t xml:space="preserve"> </w:t>
      </w:r>
      <w:r>
        <w:rPr>
          <w:i/>
        </w:rPr>
        <w:t xml:space="preserve">public body</w:t>
      </w:r>
      <w:r>
        <w:t xml:space="preserve">. Its meetings were required to be open. Its records were required to be public. The MOU that created the Panel did not exempt it from those requirements. Nothing exempted it. The Panel was operating, by May 2020, in plain violation of Oregon’s Public Meetings Law.</w:t>
      </w:r>
    </w:p>
    <w:p>
      <w:pPr>
        <w:pStyle w:val="BodyText"/>
      </w:pPr>
      <w:r>
        <w:t xml:space="preserve">Anthony Davis did not realize this. I am almost certain he did not. The Davis email is not the email of a man covering up an illegal meeting. It is the email of a man who has internalized the operating practice of his institution so completely that he can describe an illegal meeting to a member of the public, in writing, and not hear what he is saying. The Panel met in private because the Panel always met in private. The next meeting would be a meeting about how to handle the public. The fact that</w:t>
      </w:r>
      <w:r>
        <w:t xml:space="preserve"> </w:t>
      </w:r>
      <w:r>
        <w:rPr>
          <w:i/>
        </w:rPr>
        <w:t xml:space="preserve">meeting in private to plan public engagement</w:t>
      </w:r>
      <w:r>
        <w:t xml:space="preserve"> </w:t>
      </w:r>
      <w:r>
        <w:t xml:space="preserve">was itself the thing the law was written to prevent — that fact had not occurred to him.</w:t>
      </w:r>
    </w:p>
    <w:p>
      <w:pPr>
        <w:pStyle w:val="BodyText"/>
      </w:pPr>
      <w:r>
        <w:t xml:space="preserve">That was the part that put the cup down on the table.</w:t>
      </w:r>
    </w:p>
    <w:p>
      <w:pPr>
        <w:pStyle w:val="Heading2"/>
      </w:pPr>
      <w:bookmarkStart w:id="35" w:name="the-pattern-named"/>
      <w:r>
        <w:t xml:space="preserve">The pattern, named</w:t>
      </w:r>
      <w:bookmarkEnd w:id="35"/>
    </w:p>
    <w:p>
      <w:pPr>
        <w:pStyle w:val="FirstParagraph"/>
      </w:pPr>
      <w:r>
        <w:t xml:space="preserve">I had been watching the pattern for a year before the Davis email arrived. The Panel’s private meetings. The unanswered records requests. The redactions on the Advisory Committee roster. The Cougar Pass refusal — that one I’ll come back to in a moment. The selective release of information to favored parties and the stonewalling of citizens who asked the questions the State did not want asked. The</w:t>
      </w:r>
      <w:r>
        <w:t xml:space="preserve"> </w:t>
      </w:r>
      <w:r>
        <w:t xml:space="preserve">“</w:t>
      </w:r>
      <w:r>
        <w:t xml:space="preserve">public engagement opportunities</w:t>
      </w:r>
      <w:r>
        <w:t xml:space="preserve">”</w:t>
      </w:r>
      <w:r>
        <w:t xml:space="preserve"> </w:t>
      </w:r>
      <w:r>
        <w:t xml:space="preserve">that DSL had been advertising and that I had been attending, where the format was always the same: a panel of experts at the front of a room explaining what had already been decided, followed by a brief and ceremonial period during which members of the public were allowed five minutes apiece to speak in front of panelists whose pens stayed on the table.</w:t>
      </w:r>
    </w:p>
    <w:p>
      <w:pPr>
        <w:pStyle w:val="BodyText"/>
      </w:pPr>
      <w:r>
        <w:t xml:space="preserve">I had been reaching for a name for the pattern. After the Davis email I had one.</w:t>
      </w:r>
    </w:p>
    <w:p>
      <w:pPr>
        <w:pStyle w:val="BodyText"/>
      </w:pPr>
      <w:r>
        <w:t xml:space="preserve">That evening I sat down and wrote what would become the opening section of a website called ElliottSecrets.net. I put on the home page, in the second paragraph, the sentence that named what I had been watching:</w:t>
      </w:r>
    </w:p>
    <w:p>
      <w:pPr>
        <w:pStyle w:val="BlockText"/>
      </w:pPr>
      <w:r>
        <w:rPr>
          <w:i/>
        </w:rPr>
        <w:t xml:space="preserve">Each Department of State Lands</w:t>
      </w:r>
      <w:r>
        <w:rPr>
          <w:i/>
        </w:rPr>
        <w:t xml:space="preserve"> </w:t>
      </w:r>
      <w:r>
        <w:rPr>
          <w:i/>
        </w:rPr>
        <w:t xml:space="preserve">“</w:t>
      </w:r>
      <w:r>
        <w:rPr>
          <w:i/>
        </w:rPr>
        <w:t xml:space="preserve">public engagement opportunity</w:t>
      </w:r>
      <w:r>
        <w:rPr>
          <w:i/>
        </w:rPr>
        <w:t xml:space="preserve">”</w:t>
      </w:r>
      <w:r>
        <w:rPr>
          <w:i/>
        </w:rPr>
        <w:t xml:space="preserve"> </w:t>
      </w:r>
      <w:r>
        <w:rPr>
          <w:i/>
        </w:rPr>
        <w:t xml:space="preserve">follows a theatrical script: First, a series of experts explains what has already been decided and done, then each member of the public is allowed five minutes of polite attention in front of panelists who pretend to listen. If an interested outsider wants to be really involved or find out how decisions are really being made, no one has any time to spare.</w:t>
      </w:r>
    </w:p>
    <w:p>
      <w:pPr>
        <w:pStyle w:val="FirstParagraph"/>
      </w:pPr>
      <w:r>
        <w:t xml:space="preserve">I called it</w:t>
      </w:r>
      <w:r>
        <w:t xml:space="preserve"> </w:t>
      </w:r>
      <w:r>
        <w:rPr>
          <w:i/>
        </w:rPr>
        <w:t xml:space="preserve">public engagement theater</w:t>
      </w:r>
      <w:r>
        <w:t xml:space="preserve">.</w:t>
      </w:r>
    </w:p>
    <w:p>
      <w:pPr>
        <w:pStyle w:val="BodyText"/>
      </w:pPr>
      <w:r>
        <w:t xml:space="preserve">The phrase has stuck with me for six years now. I have used it in op-eds. I have used it in trustee letters. Margaret Bird borrowed it once in a private letter and made it sharper than I had. The OASTL litigation team uses it as shorthand. It has become the operating description of how the State of Oregon does its business when the business is taking a children’s trust asset and converting it into something else.</w:t>
      </w:r>
    </w:p>
    <w:p>
      <w:pPr>
        <w:pStyle w:val="BodyText"/>
      </w:pPr>
      <w:r>
        <w:t xml:space="preserve">The Davis email was the moment the phrase became necessary. The dean had handed me, without realizing it, the cleanest specimen of the pattern I would ever see. A private meeting to plan public communication. The deliberation in the back room; the appearance of deliberation in the front room. The substance hidden; the procedural form on display.</w:t>
      </w:r>
      <w:r>
        <w:t xml:space="preserve"> </w:t>
      </w:r>
      <w:r>
        <w:rPr>
          <w:i/>
        </w:rPr>
        <w:t xml:space="preserve">Public engagement theater</w:t>
      </w:r>
      <w:r>
        <w:t xml:space="preserve"> </w:t>
      </w:r>
      <w:r>
        <w:t xml:space="preserve">was not a metaphor I had reached for to score a rhetorical point. It was the literal description of what the dean had described.</w:t>
      </w:r>
    </w:p>
    <w:p>
      <w:pPr>
        <w:pStyle w:val="Heading2"/>
      </w:pPr>
      <w:bookmarkStart w:id="36" w:name="the-memorandum-of-understanding"/>
      <w:r>
        <w:t xml:space="preserve">The Memorandum of Understanding</w:t>
      </w:r>
      <w:bookmarkEnd w:id="36"/>
    </w:p>
    <w:p>
      <w:pPr>
        <w:pStyle w:val="FirstParagraph"/>
      </w:pPr>
      <w:r>
        <w:t xml:space="preserve">To understand why the Davis email mattered legally — and not only morally — you have to understand one document that the public never saw a public hearing on and that the agencies negotiated quietly between themselves in the period after the 2017 sale collapsed. The document is the DSL/OSU Memorandum of Understanding.</w:t>
      </w:r>
    </w:p>
    <w:p>
      <w:pPr>
        <w:pStyle w:val="BodyText"/>
      </w:pPr>
      <w:r>
        <w:t xml:space="preserve">I am going to keep this short, because the chapter is not a treatise. The MOU was a contract. On one side, the Department of State Lands, the state agency that holds the Elliott in trust for the Common School Fund. On the other side, the OSU College of Forestry, a unit of the state university system whose dean stood to gain operational control of forty-three thousand acres of public-trust forest if the conversion went through. The MOU set out what each side would do, what each side would pay, and who would sit on the working bodies that would design the conversion.</w:t>
      </w:r>
    </w:p>
    <w:p>
      <w:pPr>
        <w:pStyle w:val="BodyText"/>
      </w:pPr>
      <w:r>
        <w:t xml:space="preserve">The Science Advisory Panel was one of those bodies. The MOU constituted it. The MOU funded it. The MOU set the terms under which it operated.</w:t>
      </w:r>
    </w:p>
    <w:p>
      <w:pPr>
        <w:pStyle w:val="BodyText"/>
      </w:pPr>
      <w:r>
        <w:t xml:space="preserve">I wrote at the time, on the ElliottSecrets Meetings page, that the MOU</w:t>
      </w:r>
      <w:r>
        <w:t xml:space="preserve"> </w:t>
      </w:r>
      <w:r>
        <w:rPr>
          <w:i/>
        </w:rPr>
        <w:t xml:space="preserve">“</w:t>
      </w:r>
      <w:r>
        <w:rPr>
          <w:i/>
        </w:rPr>
        <w:t xml:space="preserve">effectively deputizes OSU as an official part of the State Lands Board public planning process.</w:t>
      </w:r>
      <w:r>
        <w:rPr>
          <w:i/>
        </w:rPr>
        <w:t xml:space="preserve">”</w:t>
      </w:r>
      <w:r>
        <w:t xml:space="preserve"> </w:t>
      </w:r>
      <w:r>
        <w:t xml:space="preserve">That deputization had a consequence the agencies seem not to have considered. When a state agency deputizes a university as part of its public-planning process, the university comes inside the Public Meetings Law along with the agency. The Panel was created by a public body, was paid by a public body, was deliberating on behalf of a public body, and was producing recommendations that would direct a public body’s decisions. Under Oregon law that makes the Panel itself a public body. Under Oregon law the Panel’s meetings were required to be open.</w:t>
      </w:r>
    </w:p>
    <w:p>
      <w:pPr>
        <w:pStyle w:val="BodyText"/>
      </w:pPr>
      <w:r>
        <w:t xml:space="preserve">They were not open.</w:t>
      </w:r>
    </w:p>
    <w:p>
      <w:pPr>
        <w:pStyle w:val="BodyText"/>
      </w:pPr>
      <w:r>
        <w:t xml:space="preserve">The Davis email is the State’s own dean confirming, in writing, that they were not open. The dean did not call them closed. He did not say</w:t>
      </w:r>
      <w:r>
        <w:t xml:space="preserve"> </w:t>
      </w:r>
      <w:r>
        <w:rPr>
          <w:i/>
        </w:rPr>
        <w:t xml:space="preserve">secret</w:t>
      </w:r>
      <w:r>
        <w:t xml:space="preserve">. He told me, plainly, that the next meeting was scheduled and that the subject of the meeting was the process the Panel would use to handle the public. He told me, plainly, that the Panel was meeting without me, and without any member of the public, and that it was meeting on Friday.</w:t>
      </w:r>
    </w:p>
    <w:p>
      <w:pPr>
        <w:pStyle w:val="BodyText"/>
      </w:pPr>
      <w:r>
        <w:t xml:space="preserve">I am the public. Barb is the public. The Common School Fund’s beneficiaries — the Oregon schoolchildren whose forest the Panel was being paid to recommend the conversion of — are the public. None of us would be in the room on Friday. None of us would see the minutes. None of us would receive the materials the Panel was working from. The dean had just confirmed that.</w:t>
      </w:r>
    </w:p>
    <w:p>
      <w:pPr>
        <w:pStyle w:val="BodyText"/>
      </w:pPr>
      <w:r>
        <w:t xml:space="preserve">He had also, in confirming it, handed me documentary evidence of a violation. I saved the email. I saved a copy of it on the ElliottSecrets website. I have it still.</w:t>
      </w:r>
    </w:p>
    <w:p>
      <w:r>
        <w:pict>
          <v:rect style="width:0;height:1.5pt" o:hralign="center" o:hrstd="t" o:hr="t"/>
        </w:pict>
      </w:r>
    </w:p>
    <w:p>
      <w:pPr>
        <w:pStyle w:val="Heading3"/>
      </w:pPr>
      <w:bookmarkStart w:id="37" w:name="boxed-insert-oregon-public-meetings-law"/>
      <w:r>
        <w:t xml:space="preserve">Boxed insert — Oregon Public Meetings Law</w:t>
      </w:r>
      <w:bookmarkEnd w:id="37"/>
    </w:p>
    <w:p>
      <w:pPr>
        <w:pStyle w:val="FirstParagraph"/>
      </w:pPr>
      <w:r>
        <w:t xml:space="preserve">Oregon’s Public Meetings Law lives in the Oregon Revised Statutes at chapter 192, sections 610 through 690. The law has been on the books since 1973. It opens, in section 192.620, with a sentence that the legislature wrote as a statutory finding — not a preamble, not a hope, but an official recital of why the law exists. The sentence reads:</w:t>
      </w:r>
    </w:p>
    <w:p>
      <w:pPr>
        <w:pStyle w:val="BlockText"/>
      </w:pPr>
      <w:r>
        <w:rPr>
          <w:i/>
        </w:rPr>
        <w:t xml:space="preserve">The Oregon form of government requires an informed public aware of the deliberations and decisions of governing bodies and the information upon which such decisions were made.</w:t>
      </w:r>
    </w:p>
    <w:p>
      <w:pPr>
        <w:pStyle w:val="FirstParagraph"/>
      </w:pPr>
      <w:r>
        <w:t xml:space="preserve">The law defines a</w:t>
      </w:r>
      <w:r>
        <w:t xml:space="preserve"> </w:t>
      </w:r>
      <w:r>
        <w:rPr>
          <w:i/>
        </w:rPr>
        <w:t xml:space="preserve">meeting</w:t>
      </w:r>
      <w:r>
        <w:t xml:space="preserve"> </w:t>
      </w:r>
      <w:r>
        <w:t xml:space="preserve">as the convening of a</w:t>
      </w:r>
      <w:r>
        <w:t xml:space="preserve"> </w:t>
      </w:r>
      <w:r>
        <w:rPr>
          <w:i/>
        </w:rPr>
        <w:t xml:space="preserve">governing body</w:t>
      </w:r>
      <w:r>
        <w:t xml:space="preserve"> </w:t>
      </w:r>
      <w:r>
        <w:t xml:space="preserve">for which a quorum is required to make a decision or to deliberate toward one. The law defines</w:t>
      </w:r>
      <w:r>
        <w:t xml:space="preserve"> </w:t>
      </w:r>
      <w:r>
        <w:rPr>
          <w:i/>
        </w:rPr>
        <w:t xml:space="preserve">governing body</w:t>
      </w:r>
      <w:r>
        <w:t xml:space="preserve"> </w:t>
      </w:r>
      <w:r>
        <w:t xml:space="preserve">broadly enough to include advisory groups stood up by a public body and operating under that body’s authority. The law presumes that meetings of public bodies are open to the public, and it places the burden on the agency, not on the citizen, to justify any closure.</w:t>
      </w:r>
    </w:p>
    <w:p>
      <w:pPr>
        <w:pStyle w:val="BodyText"/>
      </w:pPr>
      <w:r>
        <w:t xml:space="preserve">What does this mean for the Science Advisory Panel? The Panel was constituted by a Memorandum of Understanding between two state agencies — the Department of State Lands and the Oregon State University College of Forestry — for the purpose of advising the State Land Board on the disposition of a public trust asset. The Panel deliberated toward a decision the State Land Board would later take. The Panel was funded with public money. Every test the statute applies for whether a body is a</w:t>
      </w:r>
      <w:r>
        <w:t xml:space="preserve"> </w:t>
      </w:r>
      <w:r>
        <w:t xml:space="preserve">“</w:t>
      </w:r>
      <w:r>
        <w:t xml:space="preserve">governing body</w:t>
      </w:r>
      <w:r>
        <w:t xml:space="preserve">”</w:t>
      </w:r>
      <w:r>
        <w:t xml:space="preserve"> </w:t>
      </w:r>
      <w:r>
        <w:t xml:space="preserve">of a</w:t>
      </w:r>
      <w:r>
        <w:t xml:space="preserve"> </w:t>
      </w:r>
      <w:r>
        <w:t xml:space="preserve">“</w:t>
      </w:r>
      <w:r>
        <w:t xml:space="preserve">public body</w:t>
      </w:r>
      <w:r>
        <w:t xml:space="preserve">”</w:t>
      </w:r>
      <w:r>
        <w:t xml:space="preserve"> </w:t>
      </w:r>
      <w:r>
        <w:t xml:space="preserve">is met. The Panel was required to meet in public. Its records were required to be available. Its deliberations were required to be reviewable.</w:t>
      </w:r>
    </w:p>
    <w:p>
      <w:pPr>
        <w:pStyle w:val="BodyText"/>
      </w:pPr>
      <w:r>
        <w:t xml:space="preserve">The MOU did not give the agencies the power to exempt the Panel from the statute. No memorandum between two state agencies can override a law passed by the Oregon Legislature. The Panel met in private not because the law permitted it, but because the agencies chose to.</w:t>
      </w:r>
    </w:p>
    <w:p>
      <w:r>
        <w:pict>
          <v:rect style="width:0;height:1.5pt" o:hralign="center" o:hrstd="t" o:hr="t"/>
        </w:pict>
      </w:r>
    </w:p>
    <w:p>
      <w:pPr>
        <w:pStyle w:val="Heading2"/>
      </w:pPr>
      <w:bookmarkStart w:id="38" w:name="the-other-person-who-was-watching"/>
      <w:r>
        <w:t xml:space="preserve">The other person who was watching</w:t>
      </w:r>
      <w:bookmarkEnd w:id="38"/>
    </w:p>
    <w:p>
      <w:pPr>
        <w:pStyle w:val="FirstParagraph"/>
      </w:pPr>
      <w:r>
        <w:t xml:space="preserve">I was not the only person noticing what was happening. I want to put one paragraph on the record before this chapter closes, because the records-request stonewall that DSL was running in 2019 and 2020 was not aimed only at me, and was not invented for me. Bob Zybach — who holds a PhD from OSU and who has spent thirty years documenting the Elliott — sent two formal records requests to DSL during the same period. The first went to Meliah Masiba at the agency on December 10, 2019, asking for planning and Habitat Conservation Plan budget figures so that Bob could write accurately on a December 16 deadline. DSL acknowledged the request and did not answer it. Bob sent a second request on April 1, 2020, asking for two years of DSL/OSU/Elliott budget detail and noting that for three years he had been periodically requesting historical maps and survey documents from the Phillips era and being refused. DSL acknowledged the second request and did not answer it either. I tell that story in fuller detail in Chapter 2; here I want only to note that the pattern Davis confirmed in his email was already the operating practice the agency had been running against citizens who asked questions. Davis did not invent the secrecy. He inherited it. He confirmed it without realizing he had.</w:t>
      </w:r>
    </w:p>
    <w:p>
      <w:pPr>
        <w:pStyle w:val="Heading2"/>
      </w:pPr>
      <w:bookmarkStart w:id="39" w:name="why-the-dean-wrote"/>
      <w:r>
        <w:t xml:space="preserve">Why the dean wrote</w:t>
      </w:r>
      <w:bookmarkEnd w:id="39"/>
    </w:p>
    <w:p>
      <w:pPr>
        <w:pStyle w:val="FirstParagraph"/>
      </w:pPr>
      <w:r>
        <w:t xml:space="preserve">I want to give Anthony Davis his due. He did not have to write to Barb and me. He could have continued to do what his predecessors had done, which was to let the meetings happen and let the public find out about them, if at all, after the fact. He wrote. He used his own name. He used his own email. He told us when the meeting was. The fact that he told us in a sentence that was, on its face, a confession does not change the fact that he told us. I have wondered, in the years since, whether he wrote because he was beginning to see that something was wrong; or whether he wrote because he genuinely thought the sentence was unremarkable; or whether he wrote because some part of him wanted a piece of the truth in a place where I could see it. I do not know. I do not need to know. The email exists. It is what it is.</w:t>
      </w:r>
    </w:p>
    <w:p>
      <w:pPr>
        <w:pStyle w:val="BodyText"/>
      </w:pPr>
      <w:r>
        <w:t xml:space="preserve">What it is, for the project this book is about, is the documentary anchor for everything that came after. The 2024 OASTL lawsuit — the case I am the lead plaintiff in — depends, at its evidentiary core, on the proposition that the State did not deliberate in front of its beneficiaries about the disposition of their trust asset. That proposition is, of course, supported by years of records-request stonewalls, redacted rosters, refused refusals on small public-good proposals like Cougar Pass, and the State’s October 2025 Answer that the Plaintiffs are not owed the duties they say they are owed. But the cleanest single piece of evidence, the one that can be reproduced in two paragraphs in a brief and that requires no expert testimony to interpret, is the Davis email. The interim dean of the OSU College of Forestry, on the night of May 27, 2020, sat down and wrote to two members of the public that the panel he chaired would meet privately to plan its public communications. He sent the email. He copied his director of communications. He pressed send.</w:t>
      </w:r>
    </w:p>
    <w:p>
      <w:pPr>
        <w:pStyle w:val="BodyText"/>
      </w:pPr>
      <w:r>
        <w:t xml:space="preserve">It is in the record now. It will be in the record when the trial is held. It will, if I have anything to say about it, be quoted in the State’s own court filings — by the plaintiffs, on the way to the State explaining why the plaintiffs are wrong that a fiduciary process requires the trustee to deliberate in the open.</w:t>
      </w:r>
    </w:p>
    <w:p>
      <w:pPr>
        <w:pStyle w:val="Heading2"/>
      </w:pPr>
      <w:bookmarkStart w:id="40" w:name="closing-scene"/>
      <w:r>
        <w:t xml:space="preserve">Closing scene</w:t>
      </w:r>
      <w:bookmarkEnd w:id="40"/>
    </w:p>
    <w:p>
      <w:pPr>
        <w:pStyle w:val="FirstParagraph"/>
      </w:pPr>
      <w:r>
        <w:t xml:space="preserve">The forest itself, that May, was doing what the forest does. The Coast Range was green. The roads up to Cougar Pass were rutted and twisting and would have been impassable to anyone without a high-clearance four-wheel drive. The fire-lookout tower at the top — the one Bob and I had proposed to restore at no cost to the State, and that DSL had refused on the ground that the agency was busy preparing the conversion — was rotting under its own roof. The Common School Fund’s working forest, at forty-three thousand acres, sat where it had sat since 1859. The schoolchildren who owned it, all six hundred thousand of them, did not know that on Friday a panel was going to convene by phone in Corvallis to decide how they would later be told what had been decided for them.</w:t>
      </w:r>
    </w:p>
    <w:p>
      <w:pPr>
        <w:pStyle w:val="BodyText"/>
      </w:pPr>
      <w:r>
        <w:t xml:space="preserve">Three years earlier, in February 2017, the State Land Board had voted in public to sell that forest to a private timber company. The public had shown up. The public had said no. The Board had reversed itself in May 2017 and the political memory of Oregon recorded the reversal as a victory.</w:t>
      </w:r>
    </w:p>
    <w:p>
      <w:pPr>
        <w:pStyle w:val="BodyText"/>
      </w:pPr>
      <w:r>
        <w:t xml:space="preserve">I sat at the kitchen table on May 27, 2020, and I understood for the first time that the reversal had not been a victory. The reversal had moved the work. The work was still happening. It was happening on Friday. It was happening in a room I would not be in. The dean had just told me so.</w:t>
      </w:r>
    </w:p>
    <w:p>
      <w:pPr>
        <w:pStyle w:val="BodyText"/>
      </w:pPr>
      <w:r>
        <w:t xml:space="preserve">That is the chapter Chapter 5 takes up: the 2017 sale, the reversal that looked like a win, and the work that continued.</w:t>
      </w:r>
    </w:p>
    <w:p>
      <w:r>
        <w:pict>
          <v:rect style="width:0;height:1.5pt" o:hralign="center" o:hrstd="t" o:hr="t"/>
        </w:pict>
      </w:r>
    </w:p>
    <w:p>
      <w:pPr>
        <w:pStyle w:val="FirstParagraph"/>
      </w:pPr>
      <w:r>
        <w:rPr>
          <w:i/>
        </w:rPr>
        <w:t xml:space="preserve">End of Chapter 4.</w:t>
      </w:r>
    </w:p>
    <w:p>
      <w:pPr>
        <w:pStyle w:val="Heading1"/>
      </w:pPr>
      <w:bookmarkStart w:id="41" w:name="chapter-5-the-sale-that-didnt-happen"/>
      <w:r>
        <w:t xml:space="preserve">Chapter 5 — The Sale That Didn’t Happen</w:t>
      </w:r>
      <w:bookmarkEnd w:id="41"/>
    </w:p>
    <w:p>
      <w:pPr>
        <w:pStyle w:val="FirstParagraph"/>
      </w:pPr>
      <w:r>
        <w:rPr>
          <w:i/>
        </w:rPr>
        <w:t xml:space="preserve">General Reader’s Edition. Volume 1, Chapter 5. Working draft v1, 2026-05-10. Dave Sullivan, first person. ~2,500 words.</w:t>
      </w:r>
    </w:p>
    <w:p>
      <w:r>
        <w:pict>
          <v:rect style="width:0;height:1.5pt" o:hralign="center" o:hrstd="t" o:hr="t"/>
        </w:pict>
      </w:r>
    </w:p>
    <w:p>
      <w:pPr>
        <w:pStyle w:val="BlockText"/>
      </w:pPr>
      <w:r>
        <w:rPr>
          <w:i/>
        </w:rPr>
        <w:t xml:space="preserve">“</w:t>
      </w:r>
      <w:r>
        <w:rPr>
          <w:i/>
        </w:rPr>
        <w:t xml:space="preserve">It was a breach of our ethics.</w:t>
      </w:r>
      <w:r>
        <w:rPr>
          <w:i/>
        </w:rPr>
        <w:t xml:space="preserve">”</w:t>
      </w:r>
      <w:r>
        <w:t xml:space="preserve"> </w:t>
      </w:r>
      <w:r>
        <w:t xml:space="preserve">— Dennis Richardson, Oregon Secretary of State, on the State Land Board’s reversal of the Elliott sale, May 9, 2017</w:t>
      </w:r>
    </w:p>
    <w:p>
      <w:r>
        <w:pict>
          <v:rect style="width:0;height:1.5pt" o:hralign="center" o:hrstd="t" o:hr="t"/>
        </w:pict>
      </w:r>
    </w:p>
    <w:p>
      <w:pPr>
        <w:pStyle w:val="FirstParagraph"/>
      </w:pPr>
      <w:r>
        <w:t xml:space="preserve">I want to take you back to February of 2017, because this is the chapter where I first thought we had won, and where I learned, eventually, that we had not.</w:t>
      </w:r>
    </w:p>
    <w:p>
      <w:pPr>
        <w:pStyle w:val="BodyText"/>
      </w:pPr>
      <w:r>
        <w:t xml:space="preserve">I had been paying attention to the Elliott for about twenty years by that point. I knew, in the general way a tree-farmer in Kings Valley knew, that something was wrong with how the State of Oregon was managing the forest. I knew the harvest line had been falling. I knew Jerry Phillips’s history of the Elliott — the careful, multi-decade record of a working trust asset producing real revenue for Oregon’s schoolchildren. I had walked enough of the Coast Range by then to recognize when a forest was being managed and when it was being left to rot. I did not yet, in February of 2017, know what I would know two years later, which was that the State of Oregon had decided, in offices the public would never see, that the Elliott was a problem to be dissolved.</w:t>
      </w:r>
    </w:p>
    <w:p>
      <w:pPr>
        <w:pStyle w:val="BodyText"/>
      </w:pPr>
      <w:r>
        <w:t xml:space="preserve">What I knew was that the State Land Board had voted to sell it.</w:t>
      </w:r>
    </w:p>
    <w:p>
      <w:pPr>
        <w:pStyle w:val="Heading2"/>
      </w:pPr>
      <w:bookmarkStart w:id="42" w:name="the-vote"/>
      <w:r>
        <w:t xml:space="preserve">The vote</w:t>
      </w:r>
      <w:bookmarkEnd w:id="42"/>
    </w:p>
    <w:p>
      <w:pPr>
        <w:pStyle w:val="FirstParagraph"/>
      </w:pPr>
      <w:r>
        <w:t xml:space="preserve">On Tuesday, February 14, 2017, the three trustees of the Common School Fund met in Salem and voted on whether to accept a bid of $220.8 million from a consortium led by Lone Rock Resources — a Roseburg-based timber company, partnered with the Cow Creek Band of Umpqua Tribe of Indians and an unnamed conservation organization. The bid had come in through a Real Property Disposition Protocol the Board had adopted in December 2015. The Protocol was the procedural vehicle. The Elliott was the asset it had been written for.</w:t>
      </w:r>
    </w:p>
    <w:p>
      <w:pPr>
        <w:pStyle w:val="BodyText"/>
      </w:pPr>
      <w:r>
        <w:t xml:space="preserve">The vote was two to one in favor of selling. [VERIFY — vote tallies as reported in v1 substrate; Land Board minutes not yet pulled into L0]</w:t>
      </w:r>
    </w:p>
    <w:p>
      <w:pPr>
        <w:pStyle w:val="BodyText"/>
      </w:pPr>
      <w:r>
        <w:t xml:space="preserve">Governor Kate Brown voted no. Secretary of State Dennis Richardson voted yes. State Treasurer Tobias Read voted yes. By the Land Board’s procedural rules, two-to-one was a vote to proceed.</w:t>
      </w:r>
    </w:p>
    <w:p>
      <w:pPr>
        <w:pStyle w:val="BodyText"/>
      </w:pPr>
      <w:r>
        <w:t xml:space="preserve">Mark the Treasurer’s vote, because we will see Tobias Read again in this book. In 2022, voting to endorse the OSU research-forest transfer. In 2023, voting on the bond compensation that became a substitute for the sale he had voted for in 2017. In 2025, sitting on the Board that authorized the legal posture the State of Oregon currently holds in</w:t>
      </w:r>
      <w:r>
        <w:t xml:space="preserve"> </w:t>
      </w:r>
      <w:r>
        <w:rPr>
          <w:i/>
        </w:rPr>
        <w:t xml:space="preserve">Advocates for School Trust Lands v. State of Oregon</w:t>
      </w:r>
      <w:r>
        <w:t xml:space="preserve"> </w:t>
      </w:r>
      <w:r>
        <w:t xml:space="preserve">— the posture that the State</w:t>
      </w:r>
      <w:r>
        <w:t xml:space="preserve"> </w:t>
      </w:r>
      <w:r>
        <w:rPr>
          <w:i/>
        </w:rPr>
        <w:t xml:space="preserve">does not owe Plaintiffs the duties alleged.</w:t>
      </w:r>
      <w:r>
        <w:t xml:space="preserve"> </w:t>
      </w:r>
      <w:r>
        <w:t xml:space="preserve">Read has been continuous on this question across his time as Treasurer and into his current term as Secretary of State. The continuity is worth noticing.</w:t>
      </w:r>
    </w:p>
    <w:p>
      <w:pPr>
        <w:pStyle w:val="BodyText"/>
      </w:pPr>
      <w:r>
        <w:t xml:space="preserve">I want to be careful here, because I am writing about people I have voted for and people I have not, and the case I am making is not partisan. It is fiduciary. The trustees who sat on the State Land Board in February 2017 had been told, by twenty-five years of staff packages flowing up from the Department of State Lands, that the Elliott was a drain on the Common School Fund and that the trust would be better served by selling the asset and reinvesting the proceeds. They believed what they had been told. The bid was within the framework the agency had built. The vote was, from inside the framework, the procedurally correct move.</w:t>
      </w:r>
    </w:p>
    <w:p>
      <w:pPr>
        <w:pStyle w:val="BodyText"/>
      </w:pPr>
      <w:r>
        <w:t xml:space="preserve">The framework was wrong. But the framework is not what the public reacted to.</w:t>
      </w:r>
    </w:p>
    <w:p>
      <w:pPr>
        <w:pStyle w:val="Heading2"/>
      </w:pPr>
      <w:bookmarkStart w:id="43" w:name="the-number"/>
      <w:r>
        <w:t xml:space="preserve">The number</w:t>
      </w:r>
      <w:bookmarkEnd w:id="43"/>
    </w:p>
    <w:p>
      <w:pPr>
        <w:pStyle w:val="FirstParagraph"/>
      </w:pPr>
      <w:r>
        <w:t xml:space="preserve">The $220.8 million was not a market estimate. It was what the State’s chosen appraiser — Mason Bruce &amp; Girard — concluded the Elliott was worth as a constrained asset under existing endangered-species and management restrictions. The agency called this an</w:t>
      </w:r>
      <w:r>
        <w:t xml:space="preserve"> </w:t>
      </w:r>
      <w:r>
        <w:t xml:space="preserve">“</w:t>
      </w:r>
      <w:r>
        <w:t xml:space="preserve">investment value.</w:t>
      </w:r>
      <w:r>
        <w:t xml:space="preserve">”</w:t>
      </w:r>
      <w:r>
        <w:t xml:space="preserve"> </w:t>
      </w:r>
      <w:r>
        <w:t xml:space="preserve">Independent estimates of the Elliott’s actual market value, prepared by Bill Lansing and other timber-industry veterans over the years that followed, ran from one billion to one and three-tenths billion dollars.</w:t>
      </w:r>
    </w:p>
    <w:p>
      <w:pPr>
        <w:pStyle w:val="BodyText"/>
      </w:pPr>
      <w:r>
        <w:t xml:space="preserve">The State’s appraisal was less than a fifth of the asset’s market value. Margaret Bird, who would not enter this story for another five years, eventually wrote the cleanest version of the objection. She said the State had valued the Elliott the way you would value a Ford pickup at the price you were willing to pay rather than what it would fetch on the open lot. The math is not subtle. Either Lansing was wrong by an order of magnitude — which no one with timber-industry knowledge has been willing to claim in print — or the State was preparing to dispose of trust property at less than open-market value.</w:t>
      </w:r>
    </w:p>
    <w:p>
      <w:pPr>
        <w:pStyle w:val="BodyText"/>
      </w:pPr>
      <w:r>
        <w:t xml:space="preserve">I want to put that number in your hand now, because it matters in a way the agency did not, at the time, intend. The $220.8 million was the open-market floor. It was the price the consortium had been willing to bid in a real, advertised, qualifying transaction. It was the lowest number that any subsequent appraisal of the Elliott could honestly produce without explaining why the asset had lost value in the interim. The 2017 number was the bid the State had accepted, on the record, as the qualifying price under its own Protocol.</w:t>
      </w:r>
    </w:p>
    <w:p>
      <w:pPr>
        <w:pStyle w:val="BodyText"/>
      </w:pPr>
      <w:r>
        <w:t xml:space="preserve">Every subsequent appraisal the State commissioned — and there would be several, leading into the 2019 bond compensation and the 2022 transfer — would come in below $220.8 million. The number that had been the floor in 2017 became the ceiling in 2019, the ceiling became the marker in 2022, and the marker eventually became the basis for moving the Elliott off the trust’s books at $99.6 million. The 2017 floor was suppressed by the appraisals that followed it. I did not know to watch for this in 2017. I should have.</w:t>
      </w:r>
    </w:p>
    <w:p>
      <w:pPr>
        <w:pStyle w:val="Heading2"/>
      </w:pPr>
      <w:bookmarkStart w:id="44" w:name="the-protest"/>
      <w:r>
        <w:t xml:space="preserve">The protest</w:t>
      </w:r>
      <w:bookmarkEnd w:id="44"/>
    </w:p>
    <w:p>
      <w:pPr>
        <w:pStyle w:val="FirstParagraph"/>
      </w:pPr>
      <w:r>
        <w:t xml:space="preserve">What happened between February 14 and May 9 was the part the agency’s planning had not prepared for.</w:t>
      </w:r>
    </w:p>
    <w:p>
      <w:pPr>
        <w:pStyle w:val="BodyText"/>
      </w:pPr>
      <w:r>
        <w:t xml:space="preserve">The framing went up almost immediately.</w:t>
      </w:r>
      <w:r>
        <w:t xml:space="preserve"> </w:t>
      </w:r>
      <w:r>
        <w:rPr>
          <w:i/>
        </w:rPr>
        <w:t xml:space="preserve">The State is selling the schoolchildren’s forest to a private timber company.</w:t>
      </w:r>
      <w:r>
        <w:t xml:space="preserve"> </w:t>
      </w:r>
      <w:r>
        <w:t xml:space="preserve">That sentence, in some version of it, appeared on signs at protests, in letters to the editor, in op-eds in</w:t>
      </w:r>
      <w:r>
        <w:t xml:space="preserve"> </w:t>
      </w:r>
      <w:r>
        <w:rPr>
          <w:i/>
        </w:rPr>
        <w:t xml:space="preserve">The Oregonian</w:t>
      </w:r>
      <w:r>
        <w:t xml:space="preserve"> </w:t>
      </w:r>
      <w:r>
        <w:t xml:space="preserve">and</w:t>
      </w:r>
      <w:r>
        <w:t xml:space="preserve"> </w:t>
      </w:r>
      <w:r>
        <w:rPr>
          <w:i/>
        </w:rPr>
        <w:t xml:space="preserve">The Register-Guard</w:t>
      </w:r>
      <w:r>
        <w:t xml:space="preserve">, on radio, in the legislature, and in school district newsletters across the Coast. Coast residents, school districts, environmental groups, hunting and fishing communities, Indian tribes who were not part of the consortium, and a coalition I could not have predicted three months earlier all converged on a single position: do not sell the Elliott.</w:t>
      </w:r>
    </w:p>
    <w:p>
      <w:pPr>
        <w:pStyle w:val="BodyText"/>
      </w:pPr>
      <w:r>
        <w:t xml:space="preserve">The signs that summer read</w:t>
      </w:r>
      <w:r>
        <w:t xml:space="preserve"> </w:t>
      </w:r>
      <w:r>
        <w:rPr>
          <w:i/>
        </w:rPr>
        <w:t xml:space="preserve">Save the Children’s Forest</w:t>
      </w:r>
      <w:r>
        <w:t xml:space="preserve">. I want to make a small observation about those signs that will matter in Chapter 7. There were two sign campaigns running the same words. One set of signs was carried by the Coast Range residents, school districts, and environmental advocates who were trying to stop the sale. The other set was eventually printed by the State and its allies, who used the same language to brand the transfer that would come later. The slogan was ours first. The slogan became theirs. By 2022 the children’s-forest framing had been folded into the agency’s own marketing for the OSU research forest — the same forest, in the same trust posture, going to a different buyer under a different label. I did not, in 2017, anticipate that you could lose a slogan. You can.</w:t>
      </w:r>
    </w:p>
    <w:p>
      <w:pPr>
        <w:pStyle w:val="BodyText"/>
      </w:pPr>
      <w:r>
        <w:t xml:space="preserve">The public response was substantially organized by people who were not part of any institutional school-trust constituency, because there was no institutional school-trust constituency to organize it. Environmental advocates carried the framing. Coast Range residents carried the practical knowledge of what the forest was. School districts in Coos and Curry and Douglas counties carried the beneficiary credibility. The Oregon School Boards Association and the Oregon Education Association were largely silent, as they had been for decades on these questions, and as they would be again. The press, briefly, paid attention.</w:t>
      </w:r>
    </w:p>
    <w:p>
      <w:pPr>
        <w:pStyle w:val="Heading2"/>
      </w:pPr>
      <w:bookmarkStart w:id="45" w:name="the-reversal"/>
      <w:r>
        <w:t xml:space="preserve">The reversal</w:t>
      </w:r>
      <w:bookmarkEnd w:id="45"/>
    </w:p>
    <w:p>
      <w:pPr>
        <w:pStyle w:val="FirstParagraph"/>
      </w:pPr>
      <w:r>
        <w:t xml:space="preserve">The Board met again on May 9, 2017.</w:t>
      </w:r>
    </w:p>
    <w:p>
      <w:pPr>
        <w:pStyle w:val="BodyText"/>
      </w:pPr>
      <w:r>
        <w:t xml:space="preserve">Governor Brown’s position had hardened. Treasurer Read’s had moved. Secretary Richardson’s was unchanged but now in the minority. By a two-to-one vote — Brown and Read in the majority, Richardson dissenting — the Board reversed the February decision. [VERIFY — reversal tallies as reported in v1 substrate; Land Board minutes not yet pulled into L0] The Lone Rock bid was rejected. The Elliott was, for the moment, off the market.</w:t>
      </w:r>
    </w:p>
    <w:p>
      <w:pPr>
        <w:pStyle w:val="BodyText"/>
      </w:pPr>
      <w:r>
        <w:t xml:space="preserve">Dennis Richardson, voting in the minority, said the reversal was</w:t>
      </w:r>
      <w:r>
        <w:t xml:space="preserve"> </w:t>
      </w:r>
      <w:r>
        <w:rPr>
          <w:i/>
        </w:rPr>
        <w:t xml:space="preserve">“</w:t>
      </w:r>
      <w:r>
        <w:rPr>
          <w:i/>
        </w:rPr>
        <w:t xml:space="preserve">a breach of our ethics.</w:t>
      </w:r>
      <w:r>
        <w:rPr>
          <w:i/>
        </w:rPr>
        <w:t xml:space="preserve">”</w:t>
      </w:r>
      <w:r>
        <w:t xml:space="preserve"> </w:t>
      </w:r>
      <w:r>
        <w:t xml:space="preserve">He was not making the argument I would have made. He was making the argument of a trustee who had committed to a public bidding process and was watching that commitment be set aside under political pressure. Toby Luther, the chief executive of Lone Rock, made the same point in plainer language.</w:t>
      </w:r>
      <w:r>
        <w:t xml:space="preserve"> </w:t>
      </w:r>
      <w:r>
        <w:rPr>
          <w:i/>
        </w:rPr>
        <w:t xml:space="preserve">“</w:t>
      </w:r>
      <w:r>
        <w:rPr>
          <w:i/>
        </w:rPr>
        <w:t xml:space="preserve">You cannot simultaneously encourage bidders and commit to bidders publicly while privately planning a shift in policy.</w:t>
      </w:r>
      <w:r>
        <w:rPr>
          <w:i/>
        </w:rPr>
        <w:t xml:space="preserve">”</w:t>
      </w:r>
      <w:r>
        <w:t xml:space="preserve"> </w:t>
      </w:r>
      <w:r>
        <w:t xml:space="preserve">Luther was speaking for his company, which had spent real money preparing a qualifying bid under the Protocol the State had advertised. He was also, although neither he nor Richardson framed it this way at the time, articulating a fiduciary principle. A trustee that issues a public solicitation, accepts a qualifying bid, and then walks the bid back under political pressure has not behaved like a trustee. It has behaved like a counterparty negotiating in bad faith.</w:t>
      </w:r>
    </w:p>
    <w:p>
      <w:pPr>
        <w:pStyle w:val="BodyText"/>
      </w:pPr>
      <w:r>
        <w:t xml:space="preserve">I am not, in this book, going to make the case that the State should have sold the Elliott to Lone Rock. I do not believe that. I believe the underlying premise of the sale — that the Elliott was a net drain that justified disposing of the asset — was wrong, and I believe the price was wrong, and I believe the trustee posture was wrong. But Richardson and Luther were right about something the protest movement was not focused on. The institution had not changed its mind. It had been forced to back away from a particular mechanism. The reasoning was untouched.</w:t>
      </w:r>
    </w:p>
    <w:p>
      <w:r>
        <w:pict>
          <v:rect style="width:0;height:1.5pt" o:hralign="center" o:hrstd="t" o:hr="t"/>
        </w:pict>
      </w:r>
    </w:p>
    <w:p>
      <w:pPr>
        <w:pStyle w:val="BlockText"/>
      </w:pPr>
      <w:r>
        <w:rPr>
          <w:b/>
        </w:rPr>
        <w:t xml:space="preserve">Who Sits on the State Land Board?</w:t>
      </w:r>
    </w:p>
    <w:p>
      <w:pPr>
        <w:pStyle w:val="BlockText"/>
      </w:pPr>
      <w:r>
        <w:t xml:space="preserve">The Oregon State Land Board has three seats. Article VIII, Section 5 of the Oregon Constitution names them: the Governor, the Secretary of State, and the State Treasurer. The seats are ex officio — whoever holds the elected office sits on the Board for the term of the office. The Land Board is the trustee of the Common School Fund. The Department of State Lands is the agency that staffs it. The Board meets roughly every two months. Its decisions, by majority vote, are the final administrative word on the management of the Common School Fund’s trust assets — including the Elliott State Forest.</w:t>
      </w:r>
    </w:p>
    <w:p>
      <w:pPr>
        <w:pStyle w:val="BlockText"/>
      </w:pPr>
      <w:r>
        <w:t xml:space="preserve">In February 2017, the three trustees were Governor Kate Brown, Secretary of State Dennis Richardson, and State Treasurer Tobias Read.</w:t>
      </w:r>
    </w:p>
    <w:p>
      <w:pPr>
        <w:pStyle w:val="BlockText"/>
      </w:pPr>
      <w:r>
        <w:t xml:space="preserve">The Board today, in May 2026, is</w:t>
      </w:r>
      <w:r>
        <w:t xml:space="preserve"> </w:t>
      </w:r>
      <w:r>
        <w:rPr>
          <w:b/>
        </w:rPr>
        <w:t xml:space="preserve">Governor Tina Kotek</w:t>
      </w:r>
      <w:r>
        <w:t xml:space="preserve">,</w:t>
      </w:r>
      <w:r>
        <w:t xml:space="preserve"> </w:t>
      </w:r>
      <w:r>
        <w:rPr>
          <w:b/>
        </w:rPr>
        <w:t xml:space="preserve">Secretary of State Tobias Read</w:t>
      </w:r>
      <w:r>
        <w:t xml:space="preserve">, and</w:t>
      </w:r>
      <w:r>
        <w:t xml:space="preserve"> </w:t>
      </w:r>
      <w:r>
        <w:rPr>
          <w:b/>
        </w:rPr>
        <w:t xml:space="preserve">State Treasurer Elizabeth Steiner</w:t>
      </w:r>
      <w:r>
        <w:t xml:space="preserve">. [VERIFY — current Secretary of State and Treasurer as of May 2026.] Kotek succeeded Kate Brown in January 2023. Read moved from the Treasurer’s seat to the Secretary of State’s seat in January 2025, succeeding LaVonne Griffin-Valade, who herself had been appointed in 2023 after Shemia Fagan’s resignation and who did not seek election to a full term. Elizabeth Steiner succeeded Read at Treasury.</w:t>
      </w:r>
    </w:p>
    <w:p>
      <w:pPr>
        <w:pStyle w:val="BlockText"/>
      </w:pPr>
      <w:r>
        <w:t xml:space="preserve">Two things to notice. First, the seats are constitutionally designated to elected officers who hold them for other purposes — running the executive branch, administering elections, managing the state’s investment portfolio — and who add the trusteeship of a billion-dollar trust to that workload. Second, Tobias Read has now sat on the Land Board through three Land Board postures on the Elliott: as Treasurer voting to sell in 2017, as Treasurer voting to compensate in 2019, and as Secretary of State in the room when the State filed its 2025 Answer denying that the State owes the duties alleged.</w:t>
      </w:r>
    </w:p>
    <w:p>
      <w:r>
        <w:pict>
          <v:rect style="width:0;height:1.5pt" o:hralign="center" o:hrstd="t" o:hr="t"/>
        </w:pict>
      </w:r>
    </w:p>
    <w:p>
      <w:pPr>
        <w:pStyle w:val="FirstParagraph"/>
      </w:pPr>
      <w:r>
        <w:t xml:space="preserve">[PHOTO: a</w:t>
      </w:r>
      <w:r>
        <w:t xml:space="preserve"> </w:t>
      </w:r>
      <w:r>
        <w:rPr>
          <w:i/>
        </w:rPr>
        <w:t xml:space="preserve">Save the Children’s Forest</w:t>
      </w:r>
      <w:r>
        <w:t xml:space="preserve"> </w:t>
      </w:r>
      <w:r>
        <w:t xml:space="preserve">sign from the 2017 era; or Dave at a Coast Range public hearing]</w:t>
      </w:r>
    </w:p>
    <w:p>
      <w:pPr>
        <w:pStyle w:val="Heading2"/>
      </w:pPr>
      <w:bookmarkStart w:id="46" w:name="what-i-thought-it-meant"/>
      <w:r>
        <w:t xml:space="preserve">What I thought it meant</w:t>
      </w:r>
      <w:bookmarkEnd w:id="46"/>
    </w:p>
    <w:p>
      <w:pPr>
        <w:pStyle w:val="FirstParagraph"/>
      </w:pPr>
      <w:r>
        <w:t xml:space="preserve">I drove home from following the May 9 vote thinking the public had won.</w:t>
      </w:r>
    </w:p>
    <w:p>
      <w:pPr>
        <w:pStyle w:val="BodyText"/>
      </w:pPr>
      <w:r>
        <w:t xml:space="preserve">The forest had not been sold. The framing had held. The Coast Range had spoken. The Board had listened. The pattern I recognized, from outside the institution, was the pattern of democracy functioning — public pressure on elected trustees producing a course correction in real time. I told my wife Barbara that afternoon that the Elliott was safe. I told the OSWA people I knew that the system had worked. I told myself I had watched a trust be defended by its beneficiaries’ larger civic community, and that the Land Board, however close it had come, had ultimately done its job.</w:t>
      </w:r>
    </w:p>
    <w:p>
      <w:pPr>
        <w:pStyle w:val="BodyText"/>
      </w:pPr>
      <w:r>
        <w:t xml:space="preserve">I thought, then, that the May 2017 reversal was the win. I was wrong. It took me two more years to see why.</w:t>
      </w:r>
    </w:p>
    <w:p>
      <w:pPr>
        <w:pStyle w:val="BodyText"/>
      </w:pPr>
      <w:r>
        <w:t xml:space="preserve">What I did not yet understand was that the State Land Board, in May of 2017, had not reversed its theory of the Elliott. It had reversed its method. Governor Brown’s stated reasons for moving against the sale, in her public remarks before and after the vote, were political. The public outcry made the sale infeasible. The political costs of proceeding were higher than the agency had anticipated. The trust’s interests, she said, were better served by exploring</w:t>
      </w:r>
      <w:r>
        <w:t xml:space="preserve"> </w:t>
      </w:r>
      <w:r>
        <w:t xml:space="preserve">“</w:t>
      </w:r>
      <w:r>
        <w:t xml:space="preserve">alternative ownership structures</w:t>
      </w:r>
      <w:r>
        <w:t xml:space="preserve">”</w:t>
      </w:r>
      <w:r>
        <w:t xml:space="preserve"> </w:t>
      </w:r>
      <w:r>
        <w:t xml:space="preserve">that would address the underlying drain on the Common School Fund without triggering the public protest a private sale had produced. Treasurer Read’s remarks were similar in substance, although shorter on detail.</w:t>
      </w:r>
    </w:p>
    <w:p>
      <w:pPr>
        <w:pStyle w:val="BodyText"/>
      </w:pPr>
      <w:r>
        <w:t xml:space="preserve">Neither trustee said</w:t>
      </w:r>
      <w:r>
        <w:t xml:space="preserve"> </w:t>
      </w:r>
      <w:r>
        <w:rPr>
          <w:i/>
        </w:rPr>
        <w:t xml:space="preserve">we were wrong about the underlying theory of the case.</w:t>
      </w:r>
      <w:r>
        <w:t xml:space="preserve"> </w:t>
      </w:r>
      <w:r>
        <w:t xml:space="preserve">Neither said</w:t>
      </w:r>
      <w:r>
        <w:t xml:space="preserve"> </w:t>
      </w:r>
      <w:r>
        <w:rPr>
          <w:i/>
        </w:rPr>
        <w:t xml:space="preserve">the Elliott is not a net drain on the Common School Fund and we should manage it as a working asset.</w:t>
      </w:r>
      <w:r>
        <w:t xml:space="preserve"> </w:t>
      </w:r>
      <w:r>
        <w:t xml:space="preserve">Neither said</w:t>
      </w:r>
      <w:r>
        <w:t xml:space="preserve"> </w:t>
      </w:r>
      <w:r>
        <w:rPr>
          <w:i/>
        </w:rPr>
        <w:t xml:space="preserve">the 1977 Attorney General Opinion that binds this Board to keep school-trust land producing for the schools is the floor we will not go below.</w:t>
      </w:r>
      <w:r>
        <w:t xml:space="preserve"> </w:t>
      </w:r>
      <w:r>
        <w:t xml:space="preserve">Neither said</w:t>
      </w:r>
      <w:r>
        <w:t xml:space="preserve"> </w:t>
      </w:r>
      <w:r>
        <w:rPr>
          <w:i/>
        </w:rPr>
        <w:t xml:space="preserve">the trust’s beneficiaries should be at this table and we are creating institutional space for them.</w:t>
      </w:r>
    </w:p>
    <w:p>
      <w:pPr>
        <w:pStyle w:val="BodyText"/>
      </w:pPr>
      <w:r>
        <w:t xml:space="preserve">What the Board said, on May 9, 2017, in plain English, was this. We will not sell the Elliott to Lone Rock. We will continue to look for other ways to address the problem the Elliott has become.</w:t>
      </w:r>
    </w:p>
    <w:p>
      <w:pPr>
        <w:pStyle w:val="BodyText"/>
      </w:pPr>
      <w:r>
        <w:t xml:space="preserve">The 2017 sale was reversed. The 2017 reasoning behind the sale was not.</w:t>
      </w:r>
    </w:p>
    <w:p>
      <w:pPr>
        <w:pStyle w:val="BodyText"/>
      </w:pPr>
      <w:r>
        <w:t xml:space="preserve">I am repeating that sentence because it is the load-bearing sentence of this chapter, and because the institutional move that followed it took place in offices the public did not see, on a timetable the public did not control, under a logic the agencies had spent twenty-five years building up. The post-May-2017 record is the record of an institution that had been told its preferred mechanism was unavailable, and that had begun, by August of that year, to scout the next one.</w:t>
      </w:r>
    </w:p>
    <w:p>
      <w:pPr>
        <w:pStyle w:val="BodyText"/>
      </w:pPr>
      <w:r>
        <w:t xml:space="preserve">The next mechanism would not be a private sale. The next mechanism would be quieter. It would not produce a sign campaign. It would not produce front-page coverage in</w:t>
      </w:r>
      <w:r>
        <w:t xml:space="preserve"> </w:t>
      </w:r>
      <w:r>
        <w:rPr>
          <w:i/>
        </w:rPr>
        <w:t xml:space="preserve">The Oregonian</w:t>
      </w:r>
      <w:r>
        <w:t xml:space="preserve">. It would move through the Oregon Legislature in the ordinary course of business, with the Land Board’s blessing, and it would convert the trust’s claim on a working forest into the trust’s claim on a line item in the state budget. The Department of State Lands began calling the conversion</w:t>
      </w:r>
      <w:r>
        <w:t xml:space="preserve"> </w:t>
      </w:r>
      <w:r>
        <w:rPr>
          <w:i/>
        </w:rPr>
        <w:t xml:space="preserve">decoupling</w:t>
      </w:r>
      <w:r>
        <w:t xml:space="preserve">. Margaret Bird, when she eventually saw what the agency was doing, called it the euphemism it was. We will get to Margaret in Chapter 9.</w:t>
      </w:r>
    </w:p>
    <w:p>
      <w:pPr>
        <w:pStyle w:val="BodyText"/>
      </w:pPr>
      <w:r>
        <w:t xml:space="preserve">What I want you to carry forward into Chapter 6 is the structural picture. The Elliott was not saved in May 2017. The Elliott’s sale was deferred. The Board’s working theory — that the Elliott was a problem to be dissolved — survived intact. The trust’s beneficiaries had no seat at the table where the next mechanism was being designed, because there was, in May of 2017, no institutional school-trust constituency in Oregon that could have put one there. The</w:t>
      </w:r>
      <w:r>
        <w:t xml:space="preserve"> </w:t>
      </w:r>
      <w:r>
        <w:rPr>
          <w:i/>
        </w:rPr>
        <w:t xml:space="preserve">Save the Children’s Forest</w:t>
      </w:r>
      <w:r>
        <w:t xml:space="preserve"> </w:t>
      </w:r>
      <w:r>
        <w:t xml:space="preserve">signs came down. The agency went quiet. The framework went underground.</w:t>
      </w:r>
    </w:p>
    <w:p>
      <w:pPr>
        <w:pStyle w:val="BodyText"/>
      </w:pPr>
      <w:r>
        <w:t xml:space="preserve">Two years later, on March 21, 2019, the State of Oregon would announce the issuance of $100 million in general-obligation bonds to</w:t>
      </w:r>
      <w:r>
        <w:t xml:space="preserve"> </w:t>
      </w:r>
      <w:r>
        <w:t xml:space="preserve">“</w:t>
      </w:r>
      <w:r>
        <w:t xml:space="preserve">compensate</w:t>
      </w:r>
      <w:r>
        <w:t xml:space="preserve">”</w:t>
      </w:r>
      <w:r>
        <w:t xml:space="preserve"> </w:t>
      </w:r>
      <w:r>
        <w:t xml:space="preserve">the Common School Fund for reduced timber revenue from the Elliott. When I read the announcement that morning, I thought, again, that the trust was being made whole. I was, again, wrong. The number I should have been watching — the $220.8 million floor, the open-market price Lone Rock had been willing to pay — had been moved off the table along with the sale itself. The new number was less than half of it. Nobody asked why.</w:t>
      </w:r>
    </w:p>
    <w:p>
      <w:pPr>
        <w:pStyle w:val="BodyText"/>
      </w:pPr>
      <w:r>
        <w:t xml:space="preserve">That is the next chapter.</w:t>
      </w:r>
    </w:p>
    <w:p>
      <w:r>
        <w:pict>
          <v:rect style="width:0;height:1.5pt" o:hralign="center" o:hrstd="t" o:hr="t"/>
        </w:pict>
      </w:r>
    </w:p>
    <w:p>
      <w:pPr>
        <w:pStyle w:val="FirstParagraph"/>
      </w:pPr>
      <w:r>
        <w:rPr>
          <w:i/>
        </w:rPr>
        <w:t xml:space="preserve">Chapter 6 — The Quiet Substitution — picks up on March 21, 2019, when the State issued $100 million in general-obligation bonds and called the issuance</w:t>
      </w:r>
      <w:r>
        <w:rPr>
          <w:i/>
        </w:rPr>
        <w:t xml:space="preserve"> </w:t>
      </w:r>
      <w:r>
        <w:rPr>
          <w:i/>
        </w:rPr>
        <w:t xml:space="preserve">“</w:t>
      </w:r>
      <w:r>
        <w:rPr>
          <w:i/>
        </w:rPr>
        <w:t xml:space="preserve">compensation,</w:t>
      </w:r>
      <w:r>
        <w:rPr>
          <w:i/>
        </w:rPr>
        <w:t xml:space="preserve">”</w:t>
      </w:r>
      <w:r>
        <w:rPr>
          <w:i/>
        </w:rPr>
        <w:t xml:space="preserve"> </w:t>
      </w:r>
      <w:r>
        <w:rPr>
          <w:i/>
        </w:rPr>
        <w:t xml:space="preserve">and the Common School Fund’s claim on a working forest became a claim on a line item the trustee administers.</w:t>
      </w:r>
    </w:p>
    <w:p>
      <w:pPr>
        <w:pStyle w:val="Heading1"/>
      </w:pPr>
      <w:bookmarkStart w:id="47" w:name="chapter-6-the-quiet-substitution"/>
      <w:r>
        <w:t xml:space="preserve">Chapter 6 — The Quiet Substitution</w:t>
      </w:r>
      <w:bookmarkEnd w:id="47"/>
    </w:p>
    <w:p>
      <w:pPr>
        <w:pStyle w:val="BlockText"/>
      </w:pPr>
      <w:r>
        <w:rPr>
          <w:i/>
        </w:rPr>
        <w:t xml:space="preserve">“</w:t>
      </w:r>
      <w:r>
        <w:rPr>
          <w:i/>
        </w:rPr>
        <w:t xml:space="preserve">Without knowing it, taxpayers bought a state forest that they already owned.</w:t>
      </w:r>
      <w:r>
        <w:rPr>
          <w:i/>
        </w:rPr>
        <w:t xml:space="preserve">”</w:t>
      </w:r>
      <w:r>
        <w:t xml:space="preserve"> </w:t>
      </w:r>
      <w:r>
        <w:t xml:space="preserve">— John A. Charles, Jr., Cascade Policy Institute</w:t>
      </w:r>
    </w:p>
    <w:p>
      <w:r>
        <w:pict>
          <v:rect style="width:0;height:1.5pt" o:hralign="center" o:hrstd="t" o:hr="t"/>
        </w:pict>
      </w:r>
    </w:p>
    <w:p>
      <w:pPr>
        <w:pStyle w:val="FirstParagraph"/>
      </w:pPr>
      <w:r>
        <w:t xml:space="preserve">I read the headline on the morning of March 21, 2019, with a cup of coffee in front of me at the kitchen table in Kings Valley. The headline was on Oregon Public Broadcasting’s website, and it said</w:t>
      </w:r>
      <w:r>
        <w:t xml:space="preserve"> </w:t>
      </w:r>
      <w:r>
        <w:rPr>
          <w:i/>
        </w:rPr>
        <w:t xml:space="preserve">Oregon Sells $100 Million In Bonds For Elliott State Forest</w:t>
      </w:r>
      <w:r>
        <w:t xml:space="preserve">. I read it twice. I remember thinking, in that first reading, that the trust was being made whole. The State had taken away some of the Elliott’s harvest revenue with new endangered-species protections; the State was now putting a hundred million dollars back into the Common School Fund to make up for it. That was how the story was being told that day in the Oregon press, and that was how I understood it when I closed the laptop and went out to the trees.</w:t>
      </w:r>
    </w:p>
    <w:p>
      <w:pPr>
        <w:pStyle w:val="BodyText"/>
      </w:pPr>
      <w:r>
        <w:t xml:space="preserve">I was wrong about what</w:t>
      </w:r>
      <w:r>
        <w:t xml:space="preserve"> </w:t>
      </w:r>
      <w:r>
        <w:rPr>
          <w:i/>
        </w:rPr>
        <w:t xml:space="preserve">made whole</w:t>
      </w:r>
      <w:r>
        <w:t xml:space="preserve"> </w:t>
      </w:r>
      <w:r>
        <w:t xml:space="preserve">meant. It took me the better part of the next year to see why.</w:t>
      </w:r>
    </w:p>
    <w:p>
      <w:pPr>
        <w:pStyle w:val="BodyText"/>
      </w:pPr>
      <w:r>
        <w:t xml:space="preserve">The State did issue the bonds. The Treasurer’s office, then under Tobias Read, did sign the offering papers on March 21, 2019. A hundred million dollars in general-obligation debt — debt backed by the full faith and credit of the State of Oregon, paid back over its term from whatever general tax revenue future legislatures chose to appropriate for the debt service — did move from the bond market to the State’s accounts, and from there into the Common School Fund. The Department of State Lands described the deposit, in the public materials I read in the weeks that followed, as</w:t>
      </w:r>
      <w:r>
        <w:t xml:space="preserve"> </w:t>
      </w:r>
      <w:r>
        <w:rPr>
          <w:i/>
        </w:rPr>
        <w:t xml:space="preserve">compensating</w:t>
      </w:r>
      <w:r>
        <w:t xml:space="preserve"> </w:t>
      </w:r>
      <w:r>
        <w:t xml:space="preserve">the Fund for revenue the Fund would no longer be receiving from the Elliott because the harvest had been curtailed. On the agency’s books and in the Common School Fund’s annual report for that year, the hundred million dollars appeared as a new asset of the trust.</w:t>
      </w:r>
    </w:p>
    <w:p>
      <w:pPr>
        <w:pStyle w:val="BodyText"/>
      </w:pPr>
      <w:r>
        <w:t xml:space="preserve">That is the surface description. The trust got a hundred million dollars. The Elliott was still on the books at the State Land Board. Nothing had been formally sold. From a casual read of the news that month, you would have come away believing that the State had stepped in to protect the schoolchildren’s interest against a temporary revenue dip, and that the schoolchildren were better off because of it. That is what I believed.</w:t>
      </w:r>
    </w:p>
    <w:p>
      <w:pPr>
        <w:pStyle w:val="BodyText"/>
      </w:pPr>
      <w:r>
        <w:t xml:space="preserve">What I missed in March 2019, and came to understand over the following months, is that the trust’s claim had quietly changed character. Before the bond issuance, the trust held a working forest — 82,500 acres of Coast Range Douglas-fir whose value compounded in the soil, year after year, the way the long-rotation forests of the Pacific Northwest have always compounded. After the bond issuance, the trust held a working forest</w:t>
      </w:r>
      <w:r>
        <w:t xml:space="preserve"> </w:t>
      </w:r>
      <w:r>
        <w:rPr>
          <w:i/>
        </w:rPr>
        <w:t xml:space="preserve">plus</w:t>
      </w:r>
      <w:r>
        <w:t xml:space="preserve"> </w:t>
      </w:r>
      <w:r>
        <w:t xml:space="preserve">a hundred million dollars in bond proceeds, with the trust’s effective revenue from the forest now backstopped by, and increasingly indistinguishable from, a line item in the Oregon state budget. The asset had not been sold. But the trust’s relationship to its asset had been partially severed, and the severing had been done by the trustee, in favor of the trustee’s own IOU.</w:t>
      </w:r>
    </w:p>
    <w:p>
      <w:pPr>
        <w:pStyle w:val="BodyText"/>
      </w:pPr>
      <w:r>
        <w:t xml:space="preserve">This is the move I want to walk you through in this chapter. I want to be careful, because the move was a step in a direction rather than the completion of the journey. The completion came later — first with the 2022 OSU plan and then, in 2025, with Senate Bill 147, which formally decoupled the Elliott from the Common School Fund. The 2019 bond was the preparation. It was the moment the trustee began to set up the architecture under which the asset itself would later be replaced, and to teach the public, the press, and the schoolchildren’s nominal protectors to accept the trade.</w:t>
      </w:r>
    </w:p>
    <w:p>
      <w:pPr>
        <w:pStyle w:val="BodyText"/>
      </w:pPr>
      <w:r>
        <w:t xml:space="preserve">The Cascade Policy Institute’s John A. Charles, Jr. — a libertarian critic of the bonds whom I had not, until 2019, ever read — wrote the line that has stayed with me through every subsequent step in this case.</w:t>
      </w:r>
      <w:r>
        <w:t xml:space="preserve"> </w:t>
      </w:r>
      <w:r>
        <w:rPr>
          <w:i/>
        </w:rPr>
        <w:t xml:space="preserve">“</w:t>
      </w:r>
      <w:r>
        <w:rPr>
          <w:i/>
        </w:rPr>
        <w:t xml:space="preserve">Without knowing it, taxpayers bought a state forest that they already owned.</w:t>
      </w:r>
      <w:r>
        <w:rPr>
          <w:i/>
        </w:rPr>
        <w:t xml:space="preserve">”</w:t>
      </w:r>
      <w:r>
        <w:t xml:space="preserve"> </w:t>
      </w:r>
      <w:r>
        <w:t xml:space="preserve">The line is exactly right, and it cuts in two directions at once. The taxpayers were paying for an asset their children’s trust already held. The schoolchildren’s trust was being given, as compensation, a financial instrument backed by the taxes the taxpayers were already paying. The State had managed to put itself in the position of both buyer and seller — and to mark the proceeds as a deposit into a fund the State itself administered. The structural conflict is not subtle once you see it. The reason you do not see it in the OPB headline of March 21, 2019, is that nobody covering the story that day had been asked to see it that way.</w:t>
      </w:r>
    </w:p>
    <w:p>
      <w:r>
        <w:pict>
          <v:rect style="width:0;height:1.5pt" o:hralign="center" o:hrstd="t" o:hr="t"/>
        </w:pict>
      </w:r>
    </w:p>
    <w:p>
      <w:pPr>
        <w:pStyle w:val="FirstParagraph"/>
      </w:pPr>
      <w:r>
        <w:rPr>
          <w:b/>
        </w:rPr>
        <w:t xml:space="preserve">[BOXED INSERT]</w:t>
      </w:r>
    </w:p>
    <w:p>
      <w:pPr>
        <w:pStyle w:val="Heading2"/>
      </w:pPr>
      <w:bookmarkStart w:id="48" w:name="why-a-trustee-cannot-sell-to-itself"/>
      <w:r>
        <w:t xml:space="preserve">Why a Trustee Cannot Sell to Itself</w:t>
      </w:r>
      <w:bookmarkEnd w:id="48"/>
    </w:p>
    <w:p>
      <w:pPr>
        <w:pStyle w:val="FirstParagraph"/>
      </w:pPr>
      <w:r>
        <w:t xml:space="preserve">The most basic rule of trust law — the one every first-year law student meets and every working trustee learns — is the</w:t>
      </w:r>
      <w:r>
        <w:t xml:space="preserve"> </w:t>
      </w:r>
      <w:r>
        <w:rPr>
          <w:i/>
        </w:rPr>
        <w:t xml:space="preserve">duty of loyalty</w:t>
      </w:r>
      <w:r>
        <w:t xml:space="preserve">. The trustee holds the trust’s property for the benefit of the beneficiaries. Not for the trustee’s own benefit. Not for the benefit of some other party the trustee owes loyalty to. For the beneficiaries.</w:t>
      </w:r>
    </w:p>
    <w:p>
      <w:pPr>
        <w:pStyle w:val="BodyText"/>
      </w:pPr>
      <w:r>
        <w:t xml:space="preserve">The duty of loyalty has a sharp edge that the law has held for several hundred years. The trustee cannot be on both sides of a transaction involving the trust’s property. A trustee who sells the trust’s land to himself, or to a company he controls, or to anyone whose interest is aligned with the trustee’s rather than the beneficiary’s, has breached the duty regardless of whether the price was fair. The rule is not about whether the trustee meant well. It is about the structural impossibility of negotiating against yourself on behalf of someone else. You cannot honestly bargain hard for the trust when your hand is also on the other side of the deal.</w:t>
      </w:r>
    </w:p>
    <w:p>
      <w:pPr>
        <w:pStyle w:val="BodyText"/>
      </w:pPr>
      <w:r>
        <w:t xml:space="preserve">A particular form of this prohibition concerns the trustee’s own IOU. A trustee cannot sell the trust’s real asset and replace it with the trustee’s own promise to pay. The asset was a thing the beneficiaries owned, equitably, that had value independent of the trustee’s solvency or good faith. The IOU is a promise from the trustee, redeemable on the trustee’s terms, subject to the trustee’s discretion, with the trustee setting the interest rate and the priority. The substitution moves the beneficiary’s claim from something real into something the trustee controls.</w:t>
      </w:r>
    </w:p>
    <w:p>
      <w:pPr>
        <w:pStyle w:val="BodyText"/>
      </w:pPr>
      <w:r>
        <w:t xml:space="preserve">The black-letter rule, in the language of the</w:t>
      </w:r>
      <w:r>
        <w:t xml:space="preserve"> </w:t>
      </w:r>
      <w:r>
        <w:rPr>
          <w:i/>
        </w:rPr>
        <w:t xml:space="preserve">Restatement of Trusts</w:t>
      </w:r>
      <w:r>
        <w:t xml:space="preserve"> </w:t>
      </w:r>
      <w:r>
        <w:t xml:space="preserve">and a hundred and fifty years of American trust cases: the substitution is voidable at the beneficiary’s election. The trustee owes the beneficiary the asset back, or its full value, or both. The fairness of the substitution at the moment it occurred does not save it. The structural conflict is enough.</w:t>
      </w:r>
    </w:p>
    <w:p>
      <w:pPr>
        <w:pStyle w:val="BodyText"/>
      </w:pPr>
      <w:r>
        <w:t xml:space="preserve">In Oregon, the Common School Fund is held by the State Land Board — the Governor, the Secretary of State, and the Treasurer — in trust for the schoolchildren. When the Board issues bonds to compensate the trust for a reduction in the trust’s revenue, the Board is sitting on both sides of the transaction. The same officers who administer the trust are signing the trustee’s own IOU to the trust. That hand cannot be neutral. The law has known this for a long time.</w:t>
      </w:r>
    </w:p>
    <w:p>
      <w:pPr>
        <w:pStyle w:val="BodyText"/>
      </w:pPr>
      <w:r>
        <w:rPr>
          <w:b/>
        </w:rPr>
        <w:t xml:space="preserve">[END BOXED INSERT]</w:t>
      </w:r>
    </w:p>
    <w:p>
      <w:r>
        <w:pict>
          <v:rect style="width:0;height:1.5pt" o:hralign="center" o:hrstd="t" o:hr="t"/>
        </w:pict>
      </w:r>
    </w:p>
    <w:p>
      <w:pPr>
        <w:pStyle w:val="FirstParagraph"/>
      </w:pPr>
      <w:r>
        <w:t xml:space="preserve">The 2019 bond, then, was not in itself the prohibited substitution. The Elliott was still in trust. The harvest had been reduced, not zeroed. The bond proceeds were a deposit</w:t>
      </w:r>
      <w:r>
        <w:t xml:space="preserve"> </w:t>
      </w:r>
      <w:r>
        <w:rPr>
          <w:i/>
        </w:rPr>
        <w:t xml:space="preserve">into</w:t>
      </w:r>
      <w:r>
        <w:t xml:space="preserve"> </w:t>
      </w:r>
      <w:r>
        <w:t xml:space="preserve">the Common School Fund, not a swap of the Elliott</w:t>
      </w:r>
      <w:r>
        <w:t xml:space="preserve"> </w:t>
      </w:r>
      <w:r>
        <w:rPr>
          <w:i/>
        </w:rPr>
        <w:t xml:space="preserve">for</w:t>
      </w:r>
      <w:r>
        <w:t xml:space="preserve"> </w:t>
      </w:r>
      <w:r>
        <w:t xml:space="preserve">the bonds. If the State had stopped there — if the bonds had been a one-time bridge across an unusually difficult biennium, and if the trust’s interest in the Elliott had been restored to a productive footing after the bridge — the doctrine would have raised an eyebrow but not condemned the move outright. Bridges across hard years happen.</w:t>
      </w:r>
    </w:p>
    <w:p>
      <w:pPr>
        <w:pStyle w:val="BodyText"/>
      </w:pPr>
      <w:r>
        <w:t xml:space="preserve">What made the bond a step toward the prohibited substitution, rather than a defensible one-time bridge, was the architecture it built. Once the State had taught itself that compensation to the trust could be accomplished through bond proceeds rather than through restored harvest revenue, the next step became thinkable. Once the trust’s books recorded a hundred million dollars in bond proceeds as the equivalent of the Elliott’s missing revenue, the next step — replacing more of the Elliott’s revenue with more bond proceeds, and eventually replacing the Elliott itself with the bond mechanism — became a procedural matter rather than a doctrinal one. The hard work of normalizing the trade had been done in 2019.</w:t>
      </w:r>
    </w:p>
    <w:p>
      <w:pPr>
        <w:pStyle w:val="BodyText"/>
      </w:pPr>
      <w:r>
        <w:t xml:space="preserve">The follow-on appropriation in 2021 made this visible. The Legislature added an additional $121 million — partly more general-obligation bonds, partly direct appropriation — to the Elliott account, bringing the total projected debt service the State would owe on the Elliott-related borrowing to roughly $146 million by the time the bonds matured. The 2021 follow-on was framed in the same language the 2019 issuance had been framed in: compensation to the trust, public benefit, environmental protection. It was the same move, in a larger size, with no one in the press or the Legislature raising the question that John Charles had raised two years earlier about who was buying what from whom.</w:t>
      </w:r>
    </w:p>
    <w:p>
      <w:pPr>
        <w:pStyle w:val="BodyText"/>
      </w:pPr>
      <w:r>
        <w:t xml:space="preserve">The forensic accounting analysis I prepared in early 2026 — which now sits in the L0 substrate of this book and has been reviewed by counsel — walked through the Common School Fund Annual Reports from 2016 forward and reconciled them against the cash-flow data the State has been compelled to disclose in discovery in our 2024 case. The analysis surfaced several things that the public-facing accounting had obscured. The bond proceeds were recorded as a one-time addition to the Fund’s corpus, with no corresponding entry on the trust’s books for the debt-service obligation the State was now carrying on behalf of the Elliott. The Common School Fund’s distribution per student continued to decline in real terms despite the addition — because the bond proceeds, once invested in the Fund’s investment pool, produced an annual return that was materially less than the harvest revenue the Elliott had produced when it was managed as a working forest. The substitution, even taken at the State’s own valuations, was not revenue-neutral for the schools. The schools were getting less.</w:t>
      </w:r>
    </w:p>
    <w:p>
      <w:pPr>
        <w:pStyle w:val="BodyText"/>
      </w:pPr>
      <w:r>
        <w:t xml:space="preserve">And then there was the question of who was acting for whom. The Treasurer who signed the 2019 offering documents was the same Treasurer who had voted yes on the Lone Rock sale in February 2017 and had then voted to reverse the sale in May 2017 under public pressure. The same Treasurer signed the bond papers in 2019 that began to accomplish, through quieter means, the underlying conversion the 2017 sale had been intended to accomplish. I am not making a personal accusation against Tobias Read; the actions of a sitting State Treasurer on any individual day are within the range of behaviors a State Treasurer might reasonably undertake. What I am pointing out is the structural pattern. The same trustee, across multiple decision points, moved the trust in the same direction. The mechanism varied. The direction did not.</w:t>
      </w:r>
    </w:p>
    <w:p>
      <w:pPr>
        <w:pStyle w:val="BodyText"/>
      </w:pPr>
      <w:r>
        <w:t xml:space="preserve">There was almost no press on March 21, 2019. The Oregonian ran a short piece. OPB ran the headline I had read at my kitchen table. There were no protests, no sign campaigns, no Save-the-Children’s-Forest mobilization of the kind the 2017 sale had drawn. A general-obligation bond issuance moving through the Legislature in the ordinary course of a budget cycle does not have the public visibility a Land Board vote on a private sale does. The agencies had learned the lesson of 2017. The next move would not be the kind of move that produced signs. It would be the kind of move that produced footnotes in financial statements.</w:t>
      </w:r>
    </w:p>
    <w:p>
      <w:pPr>
        <w:pStyle w:val="BodyText"/>
      </w:pPr>
      <w:r>
        <w:t xml:space="preserve">[PHOTO: a chart from the Common School Fund Annual Report showing the trust corpus over time, with the March 2019 bond-proceeds deposit visible as a step-up that does not change the trajectory of distributions per student; or the 2019 OPB news headline as it appeared on March 21]</w:t>
      </w:r>
    </w:p>
    <w:p>
      <w:pPr>
        <w:pStyle w:val="BodyText"/>
      </w:pPr>
      <w:r>
        <w:t xml:space="preserve">The conversion, I came to understand, had not been completed. The asset was still there. The trust still held title. The forest was still on the State Land Board’s books as a Common School Fund asset. What had been changed was the question being asked of the trust. Before March 2019, the question was</w:t>
      </w:r>
      <w:r>
        <w:t xml:space="preserve"> </w:t>
      </w:r>
      <w:r>
        <w:rPr>
          <w:i/>
        </w:rPr>
        <w:t xml:space="preserve">what is this working forest worth to the schoolchildren who own it?</w:t>
      </w:r>
      <w:r>
        <w:t xml:space="preserve"> </w:t>
      </w:r>
      <w:r>
        <w:t xml:space="preserve">After March 2019, the question was</w:t>
      </w:r>
      <w:r>
        <w:t xml:space="preserve"> </w:t>
      </w:r>
      <w:r>
        <w:rPr>
          <w:i/>
        </w:rPr>
        <w:t xml:space="preserve">what is the appropriate level of bond-funded compensation for a forest the State will increasingly manage for purposes other than the trust’s?</w:t>
      </w:r>
      <w:r>
        <w:t xml:space="preserve"> </w:t>
      </w:r>
      <w:r>
        <w:t xml:space="preserve">The first question has a billion-dollar answer that the State has never wanted to put in writing. The second question has whatever answer the Legislature feels like appropriating in any given biennium. The shift from the first question to the second was the work the 2019 bond did.</w:t>
      </w:r>
    </w:p>
    <w:p>
      <w:pPr>
        <w:pStyle w:val="BodyText"/>
      </w:pPr>
      <w:r>
        <w:t xml:space="preserve">This is the move I came, eventually, to see clearly. The 2019 bond was not the theft. The 2019 bond was the moment the State began to teach the trust to accept a different kind of compensation than the trust was owed. The theft itself — the formal severance of the Elliott from the Common School Fund’s beneficial interest — came later. It came in 2022, when the Oregon State University College of Forestry submitted its proposal to convert the Elliott into a research forest under a memorandum of understanding that would, on its own page 28, project a $2.1 million annual deficit on the trust for the first fifty years. It came again in 2025, when Senate Bill 147 finalized the decoupling that the bonds had been preparing the ground for. Those are the chapters that come next.</w:t>
      </w:r>
    </w:p>
    <w:p>
      <w:pPr>
        <w:pStyle w:val="BodyText"/>
      </w:pPr>
      <w:r>
        <w:t xml:space="preserve">What I want you to carry forward from this chapter is the quiet half of the story. The loud half, the 2017 sale and its reversal, looked like a victory and was followed by a defeat. The quiet half, the 2019 bond and the 2021 follow-on, looked like compensation and was the actual conversion. The press covered the loud half. The substitution happened in the quiet half. By the time the OSU plan arrived in 2022, the trust had already been taught that the State’s IOU could stand in for the State’s forest. The plan only had to finish what the bonds had begun.</w:t>
      </w:r>
    </w:p>
    <w:p>
      <w:pPr>
        <w:pStyle w:val="BodyText"/>
      </w:pPr>
      <w:r>
        <w:t xml:space="preserve">I read the headline that March morning and thought the trust had been made whole. I was wrong about what</w:t>
      </w:r>
      <w:r>
        <w:t xml:space="preserve"> </w:t>
      </w:r>
      <w:r>
        <w:rPr>
          <w:i/>
        </w:rPr>
        <w:t xml:space="preserve">made whole</w:t>
      </w:r>
      <w:r>
        <w:t xml:space="preserve"> </w:t>
      </w:r>
      <w:r>
        <w:t xml:space="preserve">meant.</w:t>
      </w:r>
      <w:r>
        <w:t xml:space="preserve"> </w:t>
      </w:r>
      <w:r>
        <w:rPr>
          <w:i/>
        </w:rPr>
        <w:t xml:space="preserve">Made whole</w:t>
      </w:r>
      <w:r>
        <w:t xml:space="preserve"> </w:t>
      </w:r>
      <w:r>
        <w:t xml:space="preserve">meant the trust had been given a budget line item in place of a forest, and had been asked to call them the same thing. They are not the same thing. The schoolchildren own the forest. They have never owned the budget. The work of the next chapters is to walk through how the rest of that distinction came to be erased — and how the case I now lead, in 2026, is the attempt to put the distinction back where it belongs.</w:t>
      </w:r>
    </w:p>
    <w:p>
      <w:pPr>
        <w:pStyle w:val="Heading1"/>
      </w:pPr>
      <w:bookmarkStart w:id="49" w:name="chapter-7-the-childrens-forest"/>
      <w:r>
        <w:t xml:space="preserve">Chapter 7 — The Children’s Forest</w:t>
      </w:r>
      <w:bookmarkEnd w:id="49"/>
    </w:p>
    <w:p>
      <w:pPr>
        <w:pStyle w:val="BlockText"/>
      </w:pPr>
      <w:r>
        <w:rPr>
          <w:i/>
        </w:rPr>
        <w:t xml:space="preserve">“</w:t>
      </w:r>
      <w:r>
        <w:rPr>
          <w:i/>
        </w:rPr>
        <w:t xml:space="preserve">I introduced the soft ball team and baseball team to their forest at buster club today. As I expected the students did not know they own 43,000 acres in their Elliott State Children’s Forest.</w:t>
      </w:r>
      <w:r>
        <w:rPr>
          <w:i/>
        </w:rPr>
        <w:t xml:space="preserve">”</w:t>
      </w:r>
    </w:p>
    <w:p>
      <w:pPr>
        <w:pStyle w:val="BlockText"/>
      </w:pPr>
      <w:r>
        <w:t xml:space="preserve">— David Gould, email, March 3, 2022</w:t>
      </w:r>
    </w:p>
    <w:p>
      <w:r>
        <w:pict>
          <v:rect style="width:0;height:1.5pt" o:hralign="center" o:hrstd="t" o:hr="t"/>
        </w:pict>
      </w:r>
    </w:p>
    <w:p>
      <w:pPr>
        <w:pStyle w:val="FirstParagraph"/>
      </w:pPr>
      <w:r>
        <w:t xml:space="preserve">I want to take this chapter slowly, because the documentary record on it is the strongest record in the book. If you read no other chapter, read this one.</w:t>
      </w:r>
    </w:p>
    <w:p>
      <w:pPr>
        <w:pStyle w:val="BodyText"/>
      </w:pPr>
      <w:r>
        <w:t xml:space="preserve">The story is not about people who failed to understand what they were doing. The story is about people who understood exactly what they were doing, put their understanding in writing, continued anyway, and marketed the move under a name —</w:t>
      </w:r>
      <w:r>
        <w:t xml:space="preserve"> </w:t>
      </w:r>
      <w:r>
        <w:rPr>
          <w:i/>
        </w:rPr>
        <w:t xml:space="preserve">Children’s Forest</w:t>
      </w:r>
      <w:r>
        <w:t xml:space="preserve"> </w:t>
      </w:r>
      <w:r>
        <w:t xml:space="preserve">— that used the beneficiaries of the trust as the cover story for taking the asset away from them.</w:t>
      </w:r>
    </w:p>
    <w:p>
      <w:pPr>
        <w:pStyle w:val="BodyText"/>
      </w:pPr>
      <w:r>
        <w:t xml:space="preserve">By the early months of 2022, the State of Oregon needed a vehicle. The Common School Fund’s claim on the Elliott State Forest had been narrowed by the 2019 bond substitution, but the Elliott itself was still on the State Land Board’s books as trust land. The Land Board could not, by its own action, move the parcel out of the Common School Fund — the trust character of the Elliott is set by the Oregon Constitution and by the underlying federal grant in the 1859 Admissions Act. What the Legislature could do was create a new entity to take title, and authorize compensation to the trust on the way out the door.</w:t>
      </w:r>
    </w:p>
    <w:p>
      <w:pPr>
        <w:pStyle w:val="BodyText"/>
      </w:pPr>
      <w:r>
        <w:t xml:space="preserve">That is what House Bill 3119 did.</w:t>
      </w:r>
    </w:p>
    <w:p>
      <w:pPr>
        <w:pStyle w:val="BodyText"/>
      </w:pPr>
      <w:r>
        <w:t xml:space="preserve">The bill chartered a new public corporation called the Elliott State Research Forest Authority and authorized the State Land Board to transfer the Elliott to the Authority for management as a research forest by Oregon State University. It provided for additional bond issuances to compensate the Common School Fund for the transferred asset. It set up a governance board with seats reserved for OSU, the Department of State Lands, the Confederated Tribes, the Coos County local community, and environmental and timber-industry interests. The bill changed the asset’s stated purpose from generating timber revenue for the Common School Fund to serving as a research forest for Oregon State University.</w:t>
      </w:r>
    </w:p>
    <w:p>
      <w:pPr>
        <w:pStyle w:val="BodyText"/>
      </w:pPr>
      <w:r>
        <w:t xml:space="preserve">I want to pause and name what the bill did in plain English, because the legalistic surface makes it easy to read past the underlying move. The bill took the asset out of the trust. It transferred legal title from the State Land Board, which holds Common School Fund lands on behalf of the schoolchildren, to a new entity that does not hold the land on behalf of the schoolchildren. The trust gives up the asset; the State gives the trust bonds the State will pay back from general revenue; the trust receives, in exchange for a working timber forest worth somewhere between one billion and one and three-tenths billion dollars, a stream of bond proceeds and future appropriations whose total value is some fraction of the asset’s market value, secured by no asset other than the State’s promise to honor the appropriations.</w:t>
      </w:r>
    </w:p>
    <w:p>
      <w:pPr>
        <w:pStyle w:val="BodyText"/>
      </w:pPr>
      <w:r>
        <w:t xml:space="preserve">The bill passed. Governor Kate Brown had championed the framework before leaving office. Governor Tina Kotek inherited it and continued it. State Treasurer Tobias Read supported it. The Secretary of State did not block it. The bill became law.</w:t>
      </w:r>
    </w:p>
    <w:p>
      <w:pPr>
        <w:pStyle w:val="BodyText"/>
      </w:pPr>
      <w:r>
        <w:t xml:space="preserve">Then the State began marketing it.</w:t>
      </w:r>
    </w:p>
    <w:p>
      <w:pPr>
        <w:pStyle w:val="Heading2"/>
      </w:pPr>
      <w:bookmarkStart w:id="50" w:name="the-rebrand"/>
      <w:r>
        <w:t xml:space="preserve">The rebrand</w:t>
      </w:r>
      <w:bookmarkEnd w:id="50"/>
    </w:p>
    <w:p>
      <w:pPr>
        <w:pStyle w:val="FirstParagraph"/>
      </w:pPr>
      <w:r>
        <w:t xml:space="preserve">Beginning in 2021 and accelerating through the 2022 legislative session, the Department of State Lands, the OSU College of Forestry, and the supporting coalition of conservation groups began referring to the Elliott as</w:t>
      </w:r>
      <w:r>
        <w:t xml:space="preserve"> </w:t>
      </w:r>
      <w:r>
        <w:rPr>
          <w:i/>
        </w:rPr>
        <w:t xml:space="preserve">the Children’s Forest</w:t>
      </w:r>
      <w:r>
        <w:t xml:space="preserve">. The phrase appeared in press releases, in public-meeting materials, on websites, in legislative testimony, and in school-district outreach. The framing was that the Elliott, in becoming a research forest, would also become a forest dedicated to the children of Oregon — accessible for school field trips, for outdoor education, for the kind of environmental learning that would serve the children of the state in their educational lives.</w:t>
      </w:r>
    </w:p>
    <w:p>
      <w:pPr>
        <w:pStyle w:val="BodyText"/>
      </w:pPr>
      <w:r>
        <w:t xml:space="preserve">I want you to sit with the marketing move for a moment.</w:t>
      </w:r>
    </w:p>
    <w:p>
      <w:pPr>
        <w:pStyle w:val="BodyText"/>
      </w:pPr>
      <w:r>
        <w:t xml:space="preserve">The Elliott had been the Common School Fund’s working asset since the federal grant in 1859. Its purpose, in trust law and in the Oregon Constitution, had been to produce revenue for the schoolchildren of Oregon. The schoolchildren were the beneficiaries. The forest was held in trust for them. The trust’s name —</w:t>
      </w:r>
      <w:r>
        <w:t xml:space="preserve"> </w:t>
      </w:r>
      <w:r>
        <w:rPr>
          <w:i/>
        </w:rPr>
        <w:t xml:space="preserve">Common School Fund</w:t>
      </w:r>
      <w:r>
        <w:t xml:space="preserve"> </w:t>
      </w:r>
      <w:r>
        <w:t xml:space="preserve">— included the word</w:t>
      </w:r>
      <w:r>
        <w:t xml:space="preserve"> </w:t>
      </w:r>
      <w:r>
        <w:rPr>
          <w:i/>
        </w:rPr>
        <w:t xml:space="preserve">school</w:t>
      </w:r>
      <w:r>
        <w:t xml:space="preserve"> </w:t>
      </w:r>
      <w:r>
        <w:t xml:space="preserve">because the schoolchildren were who the trust existed to serve.</w:t>
      </w:r>
    </w:p>
    <w:p>
      <w:pPr>
        <w:pStyle w:val="BodyText"/>
      </w:pPr>
      <w:r>
        <w:t xml:space="preserve">The conversion the 2022 plan accomplished took the asset away from those schoolchildren. It removed the asset from the trust that named them as beneficiaries. It replaced the asset’s revenue stream with bond proceeds whose value was a small fraction of the asset’s market value. It assigned management to a state university whose mission was not the schoolchildren’s educational funding.</w:t>
      </w:r>
    </w:p>
    <w:p>
      <w:pPr>
        <w:pStyle w:val="BodyText"/>
      </w:pPr>
      <w:r>
        <w:t xml:space="preserve">And the conversion was marketed, in the press materials and the public-facing communications and the testimony to the Legislature, under the name</w:t>
      </w:r>
      <w:r>
        <w:t xml:space="preserve"> </w:t>
      </w:r>
      <w:r>
        <w:rPr>
          <w:i/>
        </w:rPr>
        <w:t xml:space="preserve">Children’s Forest</w:t>
      </w:r>
      <w:r>
        <w:t xml:space="preserve">.</w:t>
      </w:r>
    </w:p>
    <w:p>
      <w:pPr>
        <w:pStyle w:val="BodyText"/>
      </w:pPr>
      <w:r>
        <w:t xml:space="preserve">The State took the asset out of the children’s trust, and named the new arrangement after the children.</w:t>
      </w:r>
    </w:p>
    <w:p>
      <w:pPr>
        <w:pStyle w:val="BodyText"/>
      </w:pPr>
      <w:r>
        <w:t xml:space="preserve">David Gould, who would become a co-plaintiff in the OASTL litigation, wrote to the North Bend and Powers school boards on February 11, 2022, asking for their formal approval of legal action and characterizing the move as what it was:</w:t>
      </w:r>
      <w:r>
        <w:t xml:space="preserve"> </w:t>
      </w:r>
      <w:r>
        <w:rPr>
          <w:i/>
        </w:rPr>
        <w:t xml:space="preserve">“</w:t>
      </w:r>
      <w:r>
        <w:rPr>
          <w:i/>
        </w:rPr>
        <w:t xml:space="preserve">The Elliott State Research Forest is a TAKE of promised Common School Funds for the Elliott State Children’s Forest established in 1930.</w:t>
      </w:r>
      <w:r>
        <w:rPr>
          <w:i/>
        </w:rPr>
        <w:t xml:space="preserve">”</w:t>
      </w:r>
      <w:r>
        <w:t xml:space="preserve"> </w:t>
      </w:r>
      <w:r>
        <w:t xml:space="preserve">Both school boards voted to support him.</w:t>
      </w:r>
    </w:p>
    <w:p>
      <w:pPr>
        <w:pStyle w:val="BodyText"/>
      </w:pPr>
      <w:r>
        <w:t xml:space="preserve">Three weeks later, on March 3, 2022, after speaking to the Buster Club at the North Bend High School ball-team introduction, Gould wrote what for my money is the cleanest articulation of what the marketing accomplished.</w:t>
      </w:r>
      <w:r>
        <w:t xml:space="preserve"> </w:t>
      </w:r>
      <w:r>
        <w:rPr>
          <w:i/>
        </w:rPr>
        <w:t xml:space="preserve">“</w:t>
      </w:r>
      <w:r>
        <w:rPr>
          <w:i/>
        </w:rPr>
        <w:t xml:space="preserve">I introduced the soft ball team and baseball team to their forest at buster club today. As I expected the students did not know they own 43,000 acres in their Elliott State Children’s Forest.</w:t>
      </w:r>
      <w:r>
        <w:rPr>
          <w:i/>
        </w:rPr>
        <w:t xml:space="preserve">”</w:t>
      </w:r>
    </w:p>
    <w:p>
      <w:pPr>
        <w:pStyle w:val="BodyText"/>
      </w:pPr>
      <w:r>
        <w:t xml:space="preserve">The students did not know. Not because they were uninterested. Because the institutional architecture in which the Elliott was their asset had been operated, for decades, without their participation, and the rebrand of the asset they did not know they owned into a Children’s Forest they were told would serve them was the marketing that capped the operation.</w:t>
      </w:r>
    </w:p>
    <w:p>
      <w:pPr>
        <w:pStyle w:val="BodyText"/>
      </w:pPr>
      <w:r>
        <w:t xml:space="preserve">[PHOTO: the OSU page 28 as document facsimile; OR the Save the Children’s Forest sign campaign; OR a North Bend ball-team photo if available]</w:t>
      </w:r>
    </w:p>
    <w:p>
      <w:pPr>
        <w:pStyle w:val="Heading2"/>
      </w:pPr>
      <w:bookmarkStart w:id="51" w:name="the-page-28-number"/>
      <w:r>
        <w:t xml:space="preserve">The page-28 number</w:t>
      </w:r>
      <w:bookmarkEnd w:id="51"/>
    </w:p>
    <w:p>
      <w:pPr>
        <w:pStyle w:val="FirstParagraph"/>
      </w:pPr>
      <w:r>
        <w:t xml:space="preserve">On April 14, 2021, the Oregon State University College of Forestry submitted its Elliott State Research Forest Proposal to the Department of State Lands. The document was the formal OSU pitch for taking the Elliott as a research forest under what would become HB 3119. It ran to several hundred pages. It had been prepared over approximately eighteen months under the leadership of OSU College of Forestry Interim Dean Anthony S. Davis, with OSU President F. King Alexander’s institutional sponsorship and, after Alexander’s resignation in early 2021, with President Becky Johnson’s caretaker support pending the arrival of incoming President Jayathi Murthy in fall 2022.</w:t>
      </w:r>
    </w:p>
    <w:p>
      <w:pPr>
        <w:pStyle w:val="BodyText"/>
      </w:pPr>
      <w:r>
        <w:t xml:space="preserve">On page 28 of the Proposal, in the financial section, OSU’s own preliminary financial analysis projected that the operation would run a</w:t>
      </w:r>
      <w:r>
        <w:t xml:space="preserve"> </w:t>
      </w:r>
      <w:r>
        <w:rPr>
          <w:i/>
        </w:rPr>
        <w:t xml:space="preserve">$2.1 million deficit on an average annual basis for the first fifty years.</w:t>
      </w:r>
    </w:p>
    <w:p>
      <w:pPr>
        <w:pStyle w:val="BodyText"/>
      </w:pPr>
      <w:r>
        <w:t xml:space="preserve">I want to be careful about that number, and I want to be careful in a particular way.</w:t>
      </w:r>
    </w:p>
    <w:p>
      <w:pPr>
        <w:pStyle w:val="BodyText"/>
      </w:pPr>
      <w:r>
        <w:t xml:space="preserve">OSU did not present the figure as a settled accounting determination. The document characterized the financial section as a</w:t>
      </w:r>
      <w:r>
        <w:t xml:space="preserve"> </w:t>
      </w:r>
      <w:r>
        <w:rPr>
          <w:i/>
        </w:rPr>
        <w:t xml:space="preserve">preliminary financial analysis</w:t>
      </w:r>
      <w:r>
        <w:t xml:space="preserve">, with the modeling assumptions and the caveats one would expect from a preliminary analysis of a fifty-year operation. A later financial determination, with refined modeling, with hedges removed, might have come in higher or lower. OSU did not put $2.1 million annually on the books and sign it.</w:t>
      </w:r>
    </w:p>
    <w:p>
      <w:pPr>
        <w:pStyle w:val="BodyText"/>
      </w:pPr>
      <w:r>
        <w:t xml:space="preserve">What OSU did do is put $2.1 million annually for fifty years into the formal proposal it submitted to the State Land Board.</w:t>
      </w:r>
    </w:p>
    <w:p>
      <w:pPr>
        <w:pStyle w:val="BodyText"/>
      </w:pPr>
      <w:r>
        <w:t xml:space="preserve">That distinction matters less than it sounds. The proposal was the document the State Land Board had in front of it when the Board endorsed the transfer. The proposal was the document the Legislature had in front of it when it voted on HB 3119. The proposal was the document the Governor’s office had in front of it when it endorsed the framework. The number on page 28 was the number the trustees of the trust were looking at when they decided to transfer the trust’s working asset to the manager whose own preliminary analysis projected the manager would lose money on the property for half a century.</w:t>
      </w:r>
    </w:p>
    <w:p>
      <w:pPr>
        <w:pStyle w:val="Heading3"/>
      </w:pPr>
      <w:bookmarkStart w:id="52" w:name="the-2.1-million-paragraph"/>
      <w:r>
        <w:t xml:space="preserve">The $2.1 Million Paragraph</w:t>
      </w:r>
      <w:bookmarkEnd w:id="52"/>
    </w:p>
    <w:p>
      <w:pPr>
        <w:pStyle w:val="BlockText"/>
      </w:pPr>
      <w:r>
        <w:t xml:space="preserve">The relevant section of the Elliott State Research Forest Proposal, page 28, describes the financial performance OSU projected for itself as the new manager of the forest. The language is the language of a preliminary financial analysis: assumptions stated, sensitivities flagged, modeling horizons named. Within that frame, the document reports that the planned operation produces a deficit of approximately $2.1 million per year, averaged across the first fifty years of the new management.</w:t>
      </w:r>
    </w:p>
    <w:p>
      <w:pPr>
        <w:pStyle w:val="BlockText"/>
      </w:pPr>
      <w:r>
        <w:rPr>
          <w:i/>
        </w:rPr>
        <w:t xml:space="preserve">Preliminary financial analysis</w:t>
      </w:r>
      <w:r>
        <w:t xml:space="preserve">, in this context, means the modeling has not yet been refined to a settled determination. The hedges allow for revision. The figure could move with different assumptions about timber prices, harvest schedules, federal grants, or research-funding offsets. OSU did not assert that the operation would, in fact, lose exactly $2.1 million a year. OSU asserted that, on the modeling it had developed for the proposal it was submitting, the planned operation produced a $2.1 million annual deficit on an average annual basis for the first fifty years.</w:t>
      </w:r>
    </w:p>
    <w:p>
      <w:pPr>
        <w:pStyle w:val="BlockText"/>
      </w:pPr>
      <w:r>
        <w:t xml:space="preserve">The trust-doctrine point does not require OSU to have settled the number.</w:t>
      </w:r>
    </w:p>
    <w:p>
      <w:pPr>
        <w:pStyle w:val="BlockText"/>
      </w:pPr>
      <w:r>
        <w:t xml:space="preserve">A trustee, choosing a manager for a trust asset, has a duty to exercise prudence. The duty is the simplest version of fiduciary care: a reasonable person, managing the property of others, does not choose a manager whose own preliminary analysis says the management will lose money for fifty years. That is the floor of prudence. A reasonable trustee, with a $1.3 billion asset under management, asks for a refined analysis before transferring the asset to the manager whose preliminary analysis flags a five-decade running loss. A reasonable trustee, finding the refined analysis does not materially change the picture, declines the transfer.</w:t>
      </w:r>
    </w:p>
    <w:p>
      <w:pPr>
        <w:pStyle w:val="BlockText"/>
      </w:pPr>
      <w:r>
        <w:t xml:space="preserve">The State Land Board did not ask. The State Land Board endorsed the transfer. The Legislature authorized it. The bonds were structured to pay the projected deficit, year after year, out of general revenue.</w:t>
      </w:r>
    </w:p>
    <w:p>
      <w:pPr>
        <w:pStyle w:val="BlockText"/>
      </w:pPr>
      <w:r>
        <w:t xml:space="preserve">If you remember nothing else from this chapter, remember the structure. OSU put a preliminary number on the page. The trustee did not test the number. The trustee transferred the asset anyway. The general fund — that is, the same Oregon taxpayers whose taxes were already paying the bond service on the 2019 substitution — now stood behind a fifty-year operating deficit on a forest the schoolchildren had owned outright since 1859.</w:t>
      </w:r>
    </w:p>
    <w:p>
      <w:pPr>
        <w:pStyle w:val="Heading2"/>
      </w:pPr>
      <w:bookmarkStart w:id="53" w:name="jerry-franklins-review"/>
      <w:r>
        <w:t xml:space="preserve">Jerry Franklin’s review</w:t>
      </w:r>
      <w:bookmarkEnd w:id="53"/>
    </w:p>
    <w:p>
      <w:pPr>
        <w:pStyle w:val="FirstParagraph"/>
      </w:pPr>
      <w:r>
        <w:t xml:space="preserve">The financial documentation was not the only document in the 2022 record that put the OSU plan under question. The scientific documentation did the same work, from a different angle.</w:t>
      </w:r>
    </w:p>
    <w:p>
      <w:pPr>
        <w:pStyle w:val="BodyText"/>
      </w:pPr>
      <w:r>
        <w:t xml:space="preserve">Jerry Franklin is the dean of Pacific Northwest forest ecology. His career, beginning at the OSU College of Forestry in the 1960s and continuing through his long tenure at the University of Washington, defines the field of how Pacific Northwest mature-forest ecology is studied and what counts as rigorous experimental design in it. When the OSU Elliott State Research Forest Proposal was put out for technical peer review, Franklin was the obvious external reviewer to consult. He wrote what became Appendix 13 of the Proposal record.</w:t>
      </w:r>
    </w:p>
    <w:p>
      <w:pPr>
        <w:pStyle w:val="BodyText"/>
      </w:pPr>
      <w:r>
        <w:t xml:space="preserve">Franklin’s review is short. Franklin’s review is direct.</w:t>
      </w:r>
    </w:p>
    <w:p>
      <w:pPr>
        <w:pStyle w:val="BodyText"/>
      </w:pPr>
      <w:r>
        <w:t xml:space="preserve">On the experimental design at the heart of the research forest plan — the TRIAD framework that the OSU proposal said would let the forest serve simultaneously as a working timber operation, a reserve, and a research site — Franklin wrote that</w:t>
      </w:r>
      <w:r>
        <w:t xml:space="preserve"> </w:t>
      </w:r>
      <w:r>
        <w:rPr>
          <w:i/>
        </w:rPr>
        <w:t xml:space="preserve">“</w:t>
      </w:r>
      <w:r>
        <w:rPr>
          <w:i/>
        </w:rPr>
        <w:t xml:space="preserve">the whole notion that you are doing a meaningful test of the TRIAD concept is nonsense.</w:t>
      </w:r>
      <w:r>
        <w:rPr>
          <w:i/>
        </w:rPr>
        <w:t xml:space="preserve">”</w:t>
      </w:r>
      <w:r>
        <w:t xml:space="preserve"> </w:t>
      </w:r>
      <w:r>
        <w:t xml:space="preserve">On the statistical structure that would have let the research design produce defensible inferences about treatment effects, he wrote, in the kind of plain-English declarative that peer reviewers do not often produce,</w:t>
      </w:r>
      <w:r>
        <w:t xml:space="preserve"> </w:t>
      </w:r>
      <w:r>
        <w:rPr>
          <w:i/>
        </w:rPr>
        <w:t xml:space="preserve">“</w:t>
      </w:r>
      <w:r>
        <w:rPr>
          <w:i/>
        </w:rPr>
        <w:t xml:space="preserve">you don’t have any true controls!</w:t>
      </w:r>
      <w:r>
        <w:rPr>
          <w:i/>
        </w:rPr>
        <w:t xml:space="preserve">”</w:t>
      </w:r>
    </w:p>
    <w:p>
      <w:pPr>
        <w:pStyle w:val="BodyText"/>
      </w:pPr>
      <w:r>
        <w:t xml:space="preserve">I am not a forest ecologist. I am not a peer reviewer in the field. What I am reporting is what the field’s most authoritative figure put in writing, in a formal peer review attached to the proposal that was before the Legislature. The plan that HB 3119 authorized was a plan that the dean of the field did not regard as scientifically valid. The Legislature voted on it anyway. The Land Board endorsed it anyway. The plan was characterized to the public as a research forest plan even after the field’s most authoritative figure had said, in writing, that the research design was not a research design.</w:t>
      </w:r>
    </w:p>
    <w:p>
      <w:pPr>
        <w:pStyle w:val="BodyText"/>
      </w:pPr>
      <w:r>
        <w:t xml:space="preserve">Stack the two documents next to each other. OSU’s own page-28 preliminary analysis said the financial operation would run a fifty-year deficit. OSU’s own peer-review appendix said the experimental design did not have controls and the test was not a meaningful test. The Legislature voted on HB 3119 with both documents in the record. The State Land Board endorsed the transfer with both documents in the record. The Governor’s office endorsed the framework with both documents in the record.</w:t>
      </w:r>
    </w:p>
    <w:p>
      <w:pPr>
        <w:pStyle w:val="BodyText"/>
      </w:pPr>
      <w:r>
        <w:t xml:space="preserve">None of the parties involved was operating in the dark. They knew. They made the plan anyway.</w:t>
      </w:r>
    </w:p>
    <w:p>
      <w:pPr>
        <w:pStyle w:val="Heading2"/>
      </w:pPr>
      <w:bookmarkStart w:id="54" w:name="the-resistance"/>
      <w:r>
        <w:t xml:space="preserve">The resistance</w:t>
      </w:r>
      <w:bookmarkEnd w:id="54"/>
    </w:p>
    <w:p>
      <w:pPr>
        <w:pStyle w:val="FirstParagraph"/>
      </w:pPr>
      <w:r>
        <w:t xml:space="preserve">I do not want to close this chapter without naming the resistance the 2022 plan produced, because the resistance is part of the case, and the participants are part of the cast.</w:t>
      </w:r>
    </w:p>
    <w:p>
      <w:pPr>
        <w:pStyle w:val="BodyText"/>
      </w:pPr>
      <w:r>
        <w:t xml:space="preserve">The Joint Ways and Means subcommittee of the Oregon Legislature heard testimony on SB 1546A — a companion to HB 3119 from the 2022 session — and the testimony from the Coos County and Coast school districts was substantial. The school boards of North Bend, Powers, and Coos Bay passed resolutions opposing the transfer. Their reasoning was the reasoning the OASTL litigation eventually built on. The Elliott had been held in trust for their districts’ children since 1859. The conversion was taking the asset from those children. The substitute compensation was inadequate.</w:t>
      </w:r>
    </w:p>
    <w:p>
      <w:pPr>
        <w:pStyle w:val="BodyText"/>
      </w:pPr>
      <w:r>
        <w:t xml:space="preserve">A sign campaign ran on the South Coast. The slogan was</w:t>
      </w:r>
      <w:r>
        <w:t xml:space="preserve"> </w:t>
      </w:r>
      <w:r>
        <w:rPr>
          <w:i/>
        </w:rPr>
        <w:t xml:space="preserve">Save the Children’s Forest.</w:t>
      </w:r>
      <w:r>
        <w:t xml:space="preserve"> </w:t>
      </w:r>
      <w:r>
        <w:t xml:space="preserve">The campaign chose the slogan deliberately, because it inverted the rebrand the plan was using. The plan said</w:t>
      </w:r>
      <w:r>
        <w:t xml:space="preserve"> </w:t>
      </w:r>
      <w:r>
        <w:rPr>
          <w:i/>
        </w:rPr>
        <w:t xml:space="preserve">Children’s Forest</w:t>
      </w:r>
      <w:r>
        <w:t xml:space="preserve"> </w:t>
      </w:r>
      <w:r>
        <w:t xml:space="preserve">and meant a research forest under OSU management whose funding stream came from bond appropriations rather than trust-beneficiary distributions. The campaign said</w:t>
      </w:r>
      <w:r>
        <w:t xml:space="preserve"> </w:t>
      </w:r>
      <w:r>
        <w:rPr>
          <w:i/>
        </w:rPr>
        <w:t xml:space="preserve">Save the Children’s Forest</w:t>
      </w:r>
      <w:r>
        <w:t xml:space="preserve"> </w:t>
      </w:r>
      <w:r>
        <w:t xml:space="preserve">and meant return the asset to its trust status as a working forest for the Common School Fund beneficiaries who owned it. The two phrases used the same words to mean opposite things, which is what is supposed to happen when the framing of a public issue becomes the issue.</w:t>
      </w:r>
    </w:p>
    <w:p>
      <w:pPr>
        <w:pStyle w:val="BodyText"/>
      </w:pPr>
      <w:r>
        <w:t xml:space="preserve">Bob Zybach introduced me to the Lars Larson Show audience in February 2022 as a former OSU professor and President of the Oregon Websites and Watersheds Project who had been working full-time on the Elliott for five-plus years. The interview ran. The audience the radio reached was the rural-Oregon timber-country audience that had not been engaged in the 2017 sale controversy and that the 2022 plan was directly affecting.</w:t>
      </w:r>
    </w:p>
    <w:p>
      <w:pPr>
        <w:pStyle w:val="BodyText"/>
      </w:pPr>
      <w:r>
        <w:t xml:space="preserve">The resistance did not stop the plan. The plan moved forward. The Legislature passed HB 3119. The Land Board endorsed the transfer. The Elliott State Research Forest Authority was chartered as a legal entity. The framework for the conversion was complete.</w:t>
      </w:r>
    </w:p>
    <w:p>
      <w:pPr>
        <w:pStyle w:val="BodyText"/>
      </w:pPr>
      <w:r>
        <w:t xml:space="preserve">What stood, after the 2022 session closed, was the documentary record. OSU’s preliminary financial analysis on page 28 of the proposal the State Land Board endorsed. Jerry Franklin’s Appendix 13 on the experimental design that did not have controls. The school-board resolutions from the Coos County and Coast districts. The sign campaign that took the State’s marketing phrase and gave it back its actual meaning. David Gould at the Buster Club, telling the softball team and the baseball team that they owned 43,000 acres they did not know they owned, in a forest the State was about to take from them while calling it theirs.</w:t>
      </w:r>
    </w:p>
    <w:p>
      <w:pPr>
        <w:pStyle w:val="BodyText"/>
      </w:pPr>
      <w:r>
        <w:t xml:space="preserve">The documentary record was what it was. Anyone willing to read it could see what had happened.</w:t>
      </w:r>
    </w:p>
    <w:p>
      <w:pPr>
        <w:pStyle w:val="BodyText"/>
      </w:pPr>
      <w:r>
        <w:t xml:space="preserve">The man who told the ball teams about their forest had been walking the land his family homesteaded in the 1880s. His name was David Gould, and he is the subject of the next chapter.</w:t>
      </w:r>
    </w:p>
    <w:p>
      <w:r>
        <w:pict>
          <v:rect style="width:0;height:1.5pt" o:hralign="center" o:hrstd="t" o:hr="t"/>
        </w:pict>
      </w:r>
    </w:p>
    <w:p>
      <w:pPr>
        <w:pStyle w:val="FirstParagraph"/>
      </w:pPr>
      <w:r>
        <w:rPr>
          <w:i/>
        </w:rPr>
        <w:t xml:space="preserve">Chapter 8 — David Gould — is a portrait. The Elkhorn Ranch in the 1880s; the OSU Natural Resources degree; the Liberty Bowl team; the first OASTL President in 2023; the man whose family had walked the land the Elliott now covers for four generations. What he saw, what he said in writing to the State Land Board, and what he taught the rest of us about whose forest it actually is.</w:t>
      </w:r>
    </w:p>
    <w:p>
      <w:pPr>
        <w:pStyle w:val="Heading1"/>
      </w:pPr>
      <w:bookmarkStart w:id="55" w:name="chapter-8-david-gould"/>
      <w:r>
        <w:t xml:space="preserve">Chapter 8 — David Gould</w:t>
      </w:r>
      <w:bookmarkEnd w:id="55"/>
    </w:p>
    <w:p>
      <w:pPr>
        <w:pStyle w:val="BlockText"/>
      </w:pPr>
      <w:r>
        <w:rPr>
          <w:i/>
        </w:rPr>
        <w:t xml:space="preserve">“</w:t>
      </w:r>
      <w:r>
        <w:rPr>
          <w:i/>
        </w:rPr>
        <w:t xml:space="preserve">Dave, you are a true beaver and work hard keeping the water flowing over the dam.</w:t>
      </w:r>
      <w:r>
        <w:rPr>
          <w:i/>
        </w:rPr>
        <w:t xml:space="preserve">”</w:t>
      </w:r>
      <w:r>
        <w:t xml:space="preserve"> </w:t>
      </w:r>
      <w:r>
        <w:t xml:space="preserve">— David Gould, in an email to the author, August 3, 2021</w:t>
      </w:r>
    </w:p>
    <w:p>
      <w:r>
        <w:pict>
          <v:rect style="width:0;height:1.5pt" o:hralign="center" o:hrstd="t" o:hr="t"/>
        </w:pict>
      </w:r>
    </w:p>
    <w:p>
      <w:pPr>
        <w:pStyle w:val="FirstParagraph"/>
      </w:pPr>
      <w:r>
        <w:t xml:space="preserve">I am going to slow this book down for a chapter.</w:t>
      </w:r>
    </w:p>
    <w:p>
      <w:pPr>
        <w:pStyle w:val="BodyText"/>
      </w:pPr>
      <w:r>
        <w:t xml:space="preserve">The story I have been telling, up to this point, has moved in the cadence of documents. A FOIA response. A lookout-tower refusal letter. An email about a secret meeting. A bond issuance. A page-28 paragraph. The cadence has been the cadence of the case — one piece of paper after another, each one a step in the long architecture of how a trust gets converted into something other than itself. The case requires that cadence. The case is, finally, a case about documents.</w:t>
      </w:r>
    </w:p>
    <w:p>
      <w:pPr>
        <w:pStyle w:val="BodyText"/>
      </w:pPr>
      <w:r>
        <w:t xml:space="preserve">But the case has also been the work of a small number of people who showed up to do it, year after year, mostly without pay, mostly without praise, and in one or two instances without living to see it through. David Gould was one of those people. He was the first president of Advocates for School Trust Lands, in 2023; he held the seat I now hold; he died on the first day of 2024, before the Court of Appeals had ruled on standing and before the State of Oregon had filed the October 2025 Answer that, in his absence, made the case he had been making all along. This chapter is for him.</w:t>
      </w:r>
    </w:p>
    <w:p>
      <w:pPr>
        <w:pStyle w:val="BodyText"/>
      </w:pPr>
      <w:r>
        <w:t xml:space="preserve">I did not know David well in the way you know someone you have grown up alongside. I knew him in the way you come to know somebody you work with on something that matters. We met by email, then by phone, then occasionally in person at the meetings around the 2022 OSU plan. He was twelve years older than I was. He was a North Bend man, and I was a Kings Valley man, and the geographies of the Coast Range that we each knew were on opposite sides of the same compass. But the part of the Coast Range we both came to know — the Elliott State Forest, the working asset of the schoolchildren’s trust that the State of Oregon was in the process of taking — was the same. And the walk we were both making toward the same lawsuit, from opposite ends of our two lives, brought us into the same room at the same time.</w:t>
      </w:r>
    </w:p>
    <w:p>
      <w:pPr>
        <w:pStyle w:val="BodyText"/>
      </w:pPr>
      <w:r>
        <w:t xml:space="preserve">This is what I learned about him, working with him, and what I have come back to thinking about since he died.</w:t>
      </w:r>
    </w:p>
    <w:p>
      <w:pPr>
        <w:pStyle w:val="BodyText"/>
      </w:pPr>
      <w:r>
        <w:t xml:space="preserve">He was born in 1942. He grew up in Coos County, in the country his great-grandparents had homesteaded in 1886, when there was no Elliott State Forest yet and the federal grant land that would eventually become the Elliott was still in the working geography of the cattle and timber economy the Goulds had come west to take part in. His great-grandparents were George and Hattie Gould. They built a ranch on the West Fork of the Millicoma River, in a valley you cannot get to today without a four-wheel-drive truck and a willingness to grind through rotting forest roads. The ranch was called the Elkhorn. His grandfather Clarence grew up on it. His father grew up hearing the stories. He grew up hearing them from both of them. By the time we were trading emails in 2021, he was the fourth generation of his family to have walked that ground, and he had been walking it as a working man — not as a tourist, not as a visiting forester, but as a Coos County boy whose family had been on the same square mile of the eventual Elliott for more than a century.</w:t>
      </w:r>
    </w:p>
    <w:p>
      <w:pPr>
        <w:pStyle w:val="BodyText"/>
      </w:pPr>
      <w:r>
        <w:t xml:space="preserve">He played football at North Bend High in the late 1950s. He went to Oregon State on a football scholarship, played on the Liberty Bowl team and on the Rose Bowl team, and earned his way into the OSU athletic hall of fame for it. He took his degree from the College of Natural Resources. He went back to Coos Bay and worked, for most of his adult life, in his family’s business, Coos Bay Timber Operators. He retired in 2013. He had a wife. He had children. He had a kitchen table in North Bend at which, after he retired, he began to read more carefully the documents the State of Oregon was producing about the forest his family had walked on for four generations, and at which, eventually, he wrote the letters that drew me to him.</w:t>
      </w:r>
    </w:p>
    <w:p>
      <w:pPr>
        <w:pStyle w:val="BodyText"/>
      </w:pPr>
      <w:r>
        <w:t xml:space="preserve">I want to put one of those letters into this chapter.</w:t>
      </w:r>
    </w:p>
    <w:p>
      <w:pPr>
        <w:pStyle w:val="BodyText"/>
      </w:pPr>
      <w:r>
        <w:t xml:space="preserve">On November 8, 2021, David Gould wrote to the State Land Board. The OSU College of Forestry’s plan to take the Elliott as a research forest was in front of the Board for endorsement. The plan, on its own page 28, was projecting a $2.1 million annual deficit on the trust for the first fifty years. The plan was being marketed as the Elliott State Research Forest, with the</w:t>
      </w:r>
      <w:r>
        <w:t xml:space="preserve"> </w:t>
      </w:r>
      <w:r>
        <w:rPr>
          <w:i/>
        </w:rPr>
        <w:t xml:space="preserve">Children’s Forest</w:t>
      </w:r>
      <w:r>
        <w:t xml:space="preserve"> </w:t>
      </w:r>
      <w:r>
        <w:t xml:space="preserve">tagline that the next year’s signs would carry. David Gould read the plan. He wrote to the Governor, the Treasurer, and the Secretary of State — the three trustees of the Common School Fund — and he told them, in two sentences that I want you to read as he wrote them:</w:t>
      </w:r>
    </w:p>
    <w:p>
      <w:pPr>
        <w:pStyle w:val="BodyText"/>
      </w:pPr>
      <w:r>
        <w:rPr>
          <w:i/>
        </w:rPr>
        <w:t xml:space="preserve">I want to advise you that the Forest cannot be decoupled from the Common School Fund without FULL compensation for the Value for the beneficiary.</w:t>
      </w:r>
    </w:p>
    <w:p>
      <w:pPr>
        <w:pStyle w:val="BodyText"/>
      </w:pPr>
      <w:r>
        <w:t xml:space="preserve">The capitalization is his. He wrote the word</w:t>
      </w:r>
      <w:r>
        <w:t xml:space="preserve"> </w:t>
      </w:r>
      <w:r>
        <w:rPr>
          <w:i/>
        </w:rPr>
        <w:t xml:space="preserve">FULL</w:t>
      </w:r>
      <w:r>
        <w:t xml:space="preserve"> </w:t>
      </w:r>
      <w:r>
        <w:t xml:space="preserve">in capital letters because he knew, as a fourth-generation Coos County descendant of homesteaders who had watched the country be transferred and re-transferred under different management theories for a hundred and thirty-five years, that what was about to happen on the Elliott was that the trust would be decoupled from the asset, and that</w:t>
      </w:r>
      <w:r>
        <w:t xml:space="preserve"> </w:t>
      </w:r>
      <w:r>
        <w:rPr>
          <w:i/>
        </w:rPr>
        <w:t xml:space="preserve">compensation</w:t>
      </w:r>
      <w:r>
        <w:t xml:space="preserve"> </w:t>
      </w:r>
      <w:r>
        <w:t xml:space="preserve">would be the word the State used for whatever fraction of the asset’s value the State decided, in its capacity as the trustee selling to itself, the trust should receive. He had seen the architecture of the move from inside it. He wrote</w:t>
      </w:r>
      <w:r>
        <w:t xml:space="preserve"> </w:t>
      </w:r>
      <w:r>
        <w:rPr>
          <w:i/>
        </w:rPr>
        <w:t xml:space="preserve">FULL</w:t>
      </w:r>
      <w:r>
        <w:t xml:space="preserve"> </w:t>
      </w:r>
      <w:r>
        <w:t xml:space="preserve">in capitals because he wanted the trustees to read the word and understand that he, David Gould, the man whose great-grandparents had homesteaded that ground, was watching.</w:t>
      </w:r>
    </w:p>
    <w:p>
      <w:pPr>
        <w:pStyle w:val="BodyText"/>
      </w:pPr>
      <w:r>
        <w:t xml:space="preserve">The trustees did not respond on the merits. The plan moved forward. The bill that authorized the transfer became law. The marketing of the</w:t>
      </w:r>
      <w:r>
        <w:t xml:space="preserve"> </w:t>
      </w:r>
      <w:r>
        <w:rPr>
          <w:i/>
        </w:rPr>
        <w:t xml:space="preserve">Children’s Forest</w:t>
      </w:r>
      <w:r>
        <w:t xml:space="preserve"> </w:t>
      </w:r>
      <w:r>
        <w:t xml:space="preserve">began, and David Gould went home and put on a coat and went out into Coos County to do the work he could do at the scale he could do it at.</w:t>
      </w:r>
    </w:p>
    <w:p>
      <w:pPr>
        <w:pStyle w:val="BodyText"/>
      </w:pPr>
      <w:r>
        <w:t xml:space="preserve">In the spring of 2022, he went to a Buster Club meeting at North Bend High School. The Buster Club is the booster club for the North Bend ball teams — the same teams he had played on as a boy. He had been invited, that day, to introduce the softball and baseball teams. He used the introduction to tell the players something about themselves I doubt the school had ever told them.</w:t>
      </w:r>
    </w:p>
    <w:p>
      <w:pPr>
        <w:pStyle w:val="BodyText"/>
      </w:pPr>
      <w:r>
        <w:t xml:space="preserve">He wrote to me afterward. The whole note was a few sentences long. He said, in his plain North Bend way:</w:t>
      </w:r>
    </w:p>
    <w:p>
      <w:pPr>
        <w:pStyle w:val="BodyText"/>
      </w:pPr>
      <w:r>
        <w:rPr>
          <w:i/>
        </w:rPr>
        <w:t xml:space="preserve">I introduced the soft ball team and baseball team to their forest at buster club today. As I expected the students did not know they own 43,000 acres in their Elliott State Children’s Forest.</w:t>
      </w:r>
    </w:p>
    <w:p>
      <w:pPr>
        <w:pStyle w:val="BodyText"/>
      </w:pPr>
      <w:r>
        <w:t xml:space="preserve">I have read that note maybe forty times in the years since he sent it. I read it again on the morning I sat down to write this chapter. The students did not know. He told them. He told them in plain English at a Buster Club meeting in the gymnasium of the school he had gone to as a boy. He gave to those ballplayers, that afternoon, the one piece of information no one in the institutional architecture of the State of Oregon had ever bothered to give them: that they owned an asset, and that the asset was theirs, and that the asset was being taken.</w:t>
      </w:r>
    </w:p>
    <w:p>
      <w:pPr>
        <w:pStyle w:val="BodyText"/>
      </w:pPr>
      <w:r>
        <w:t xml:space="preserve">That is the work. That is what the case is, when the case is stripped of its filings and its discovery and its citations and its General Objections. The case is the work of telling the beneficiary children that they are the beneficiary, before the trustee finishes the conversion that depends on their not knowing.</w:t>
      </w:r>
    </w:p>
    <w:p>
      <w:pPr>
        <w:pStyle w:val="BodyText"/>
      </w:pPr>
      <w:r>
        <w:t xml:space="preserve">David Gould did that work. He did it at Buster Club meetings. He did it in letters to the State Land Board. He did it in school-board appearances in North Bend and Powers, where he asked the local board, in February 2022, to formally approve his taking legal action</w:t>
      </w:r>
      <w:r>
        <w:t xml:space="preserve"> </w:t>
      </w:r>
      <w:r>
        <w:rPr>
          <w:i/>
        </w:rPr>
        <w:t xml:space="preserve">for our children</w:t>
      </w:r>
      <w:r>
        <w:t xml:space="preserve"> </w:t>
      </w:r>
      <w:r>
        <w:t xml:space="preserve">— and where both boards voted yes. He did it in his July 2021 declaration in the first OASTL case, in which he warned the court that the State’s mismanagement of the Elliott was setting the forest up for catastrophic fire, and warned that</w:t>
      </w:r>
      <w:r>
        <w:t xml:space="preserve"> </w:t>
      </w:r>
      <w:r>
        <w:rPr>
          <w:i/>
        </w:rPr>
        <w:t xml:space="preserve">self-dealing by the state against the interests of Oregon schools are not acceptable behavior for trustees.</w:t>
      </w:r>
      <w:r>
        <w:t xml:space="preserve"> </w:t>
      </w:r>
      <w:r>
        <w:t xml:space="preserve">He did it in the email he sent to me on August 3, 2021 — five days before he wrote the November letter, three months before the OSU plan moved through its endorsement — in which he said the line that is the epigraph of this chapter:</w:t>
      </w:r>
    </w:p>
    <w:p>
      <w:pPr>
        <w:pStyle w:val="BodyText"/>
      </w:pPr>
      <w:r>
        <w:rPr>
          <w:i/>
        </w:rPr>
        <w:t xml:space="preserve">Dave, you are a true beaver and work hard keeping the water flowing over the dam.</w:t>
      </w:r>
    </w:p>
    <w:p>
      <w:pPr>
        <w:pStyle w:val="BodyText"/>
      </w:pPr>
      <w:r>
        <w:t xml:space="preserve">I keep that email. The</w:t>
      </w:r>
      <w:r>
        <w:t xml:space="preserve"> </w:t>
      </w:r>
      <w:r>
        <w:t xml:space="preserve">“</w:t>
      </w:r>
      <w:r>
        <w:t xml:space="preserve">true beaver</w:t>
      </w:r>
      <w:r>
        <w:t xml:space="preserve">”</w:t>
      </w:r>
      <w:r>
        <w:t xml:space="preserve"> </w:t>
      </w:r>
      <w:r>
        <w:t xml:space="preserve">line is a Coos County compliment, the kind of compliment a man like David Gould gave when he wanted you to know he had noticed what you were doing and that he thought you should keep doing it. He was a generous correspondent. He was not, in the way I had been trained to expect of men of his generation, especially formal. He told you what he thought. If he thought you had gotten it right, he said so. If he thought you were going to lose, he said that too, and he stayed with you anyway.</w:t>
      </w:r>
    </w:p>
    <w:p>
      <w:pPr>
        <w:pStyle w:val="BodyText"/>
      </w:pPr>
      <w:r>
        <w:t xml:space="preserve">He was the kind of person you build a case around. Not because he was strategic — though he was — but because the local-witness register he carried was the register the case needed. He was the man whose family had been on the ground before the State had been on the ground. He was the local who knew the place better than the agency that claimed to manage it. He was the working-class Coos County voice, in a case that was otherwise going to be carried mostly by professors and lawyers, that made the case audible to the people for whom</w:t>
      </w:r>
      <w:r>
        <w:t xml:space="preserve"> </w:t>
      </w:r>
      <w:r>
        <w:rPr>
          <w:i/>
        </w:rPr>
        <w:t xml:space="preserve">professors and lawyers</w:t>
      </w:r>
      <w:r>
        <w:t xml:space="preserve"> </w:t>
      </w:r>
      <w:r>
        <w:t xml:space="preserve">are a different country. He was the four-generation Oregonian whose presence in the room reminded everyone in the room that this place — the Elliott — had been a real place to real families for as long as Oregon had been a state. The Common School Fund’s claim on it was not abstract. It rested on land his great-grandparents had walked.</w:t>
      </w:r>
    </w:p>
    <w:p>
      <w:pPr>
        <w:pStyle w:val="BodyText"/>
      </w:pPr>
      <w:r>
        <w:t xml:space="preserve">He went into the role of OASTL President in 2023 because the organization needed somebody to hold the seat, and he was willing to hold it. He was not a movement man by temperament. He was a working-business owner from Coos Bay who had been pulled into civic work by his recognition that the place his family had homesteaded was being taken from the children of the state that had inherited it. He was diligent. He showed up. He answered emails late at night. He read the documents.</w:t>
      </w:r>
    </w:p>
    <w:p>
      <w:pPr>
        <w:pStyle w:val="BodyText"/>
      </w:pPr>
      <w:r>
        <w:t xml:space="preserve">I missed the announcement of his death. It was on the first day of 2024. I was traveling, or I was not paying attention to the right inbox, or the email had been routed somewhere I did not check, and by the time I understood that he had fallen at home and that he was gone, the news had been in the world for several days. Bob Zybach wrote to me about the memorial in Coos Bay. I was not in town for it. I did not go.</w:t>
      </w:r>
    </w:p>
    <w:p>
      <w:pPr>
        <w:pStyle w:val="BodyText"/>
      </w:pPr>
      <w:r>
        <w:t xml:space="preserve">I am going to be honest in this chapter about that, because the chapter would be wrong if I were not.</w:t>
      </w:r>
    </w:p>
    <w:p>
      <w:pPr>
        <w:pStyle w:val="BodyText"/>
      </w:pPr>
      <w:r>
        <w:t xml:space="preserve">I have thought, in the year and a half since, about what it meant that I missed the memorial of a man who had held the seat I now hold, who had written the November 2021 letter that articulated the case’s core insight a year before Margaret Bird’s letter would articulate it in a different register, and who had spent the last working years of his life telling the schoolchildren of Coos County that they owned a forest the State of Oregon was taking from them. I have thought about it more than I have let on to anyone. The honest answer is that I missed it because the case was moving and I was inside the case and I did not see, that week, that the case had just lost the person who had taught me what its local register sounded like. That is what happens when you are in the inside of something. You miss the funerals.</w:t>
      </w:r>
    </w:p>
    <w:p>
      <w:pPr>
        <w:pStyle w:val="BodyText"/>
      </w:pPr>
      <w:r>
        <w:t xml:space="preserve">I am writing this chapter, in part, because the funeral I missed is one I have not yet made up.</w:t>
      </w:r>
    </w:p>
    <w:p>
      <w:pPr>
        <w:pStyle w:val="BodyText"/>
      </w:pPr>
      <w:r>
        <w:t xml:space="preserve">David Gould’s name is on the OASTL board page now, under</w:t>
      </w:r>
      <w:r>
        <w:t xml:space="preserve"> </w:t>
      </w:r>
      <w:r>
        <w:rPr>
          <w:i/>
        </w:rPr>
        <w:t xml:space="preserve">In Memoriam: David Gould (1942–2024), Past President</w:t>
      </w:r>
      <w:r>
        <w:t xml:space="preserve">. The line is a small line on a small website. It does not capture him. What I want this chapter to capture is the work he did, and the four generations of Coos County his work stood on, and the fact that the case I am leading in 2026 is the same case he was making in 2021 — that the Forest cannot be decoupled from the Common School Fund without FULL compensation for the value for the beneficiary, and that the trustee owes the beneficiary the asset, or its full value, or both, and that the beneficiary in this case is the schoolchildren whose ownership of 43,000 acres he announced to the ball teams at Buster Club in the spring of 2022.</w:t>
      </w:r>
    </w:p>
    <w:p>
      <w:pPr>
        <w:pStyle w:val="BodyText"/>
      </w:pPr>
      <w:r>
        <w:t xml:space="preserve">The schoolchildren still own those acres. The State of Oregon, in its capacity as their trustee, is still in the process of taking them. David Gould did not live to see the case win on standing in January 2026. He did not live to see the State’s October 2025 Answer that</w:t>
      </w:r>
      <w:r>
        <w:t xml:space="preserve"> </w:t>
      </w:r>
      <w:r>
        <w:t xml:space="preserve">“</w:t>
      </w:r>
      <w:r>
        <w:t xml:space="preserve">does not owe Plaintiffs the duties alleged</w:t>
      </w:r>
      <w:r>
        <w:t xml:space="preserve">”</w:t>
      </w:r>
      <w:r>
        <w:t xml:space="preserve"> </w:t>
      </w:r>
      <w:r>
        <w:t xml:space="preserve">— the answer that is, in every legal way that matters, the State’s response to the November 2021 letter he wrote it. He did not live to see the schoolchildren-plaintiffs sit in the audience at Corvallis High School and watch the State argue, to their faces, that they had no legal interest in the forest he had told them they owned. He missed those scenes. The scenes will go on without him.</w:t>
      </w:r>
    </w:p>
    <w:p>
      <w:pPr>
        <w:pStyle w:val="BodyText"/>
      </w:pPr>
      <w:r>
        <w:t xml:space="preserve">What I have come to understand, slowly, is that the work he did before his death is the work that made those scenes possible. The four-generation, local-witness, working-class register he brought to the case is the register that made the case real for the people the case has to be real for if it is going to hold. He gave the case its Coos County floor. He gave the case the man whose great-grandparents had walked the ground. He gave the case the voice that told the ballplayers, in the gymnasium where he had played as a boy, that they owned the forest.</w:t>
      </w:r>
    </w:p>
    <w:p>
      <w:r>
        <w:pict>
          <v:rect style="width:0;height:1.5pt" o:hralign="center" o:hrstd="t" o:hr="t"/>
        </w:pict>
      </w:r>
    </w:p>
    <w:p>
      <w:pPr>
        <w:pStyle w:val="FirstParagraph"/>
      </w:pPr>
      <w:r>
        <w:rPr>
          <w:b/>
        </w:rPr>
        <w:t xml:space="preserve">[BOXED INSERT]</w:t>
      </w:r>
    </w:p>
    <w:p>
      <w:pPr>
        <w:pStyle w:val="Heading2"/>
      </w:pPr>
      <w:bookmarkStart w:id="56" w:name="Xdef4fe5b164a77b59ae2a2dc63b3e24edcda112"/>
      <w:r>
        <w:t xml:space="preserve">The Elkhorn Ranch — A Family History of the Elliott</w:t>
      </w:r>
      <w:bookmarkEnd w:id="56"/>
    </w:p>
    <w:p>
      <w:pPr>
        <w:pStyle w:val="FirstParagraph"/>
      </w:pPr>
      <w:r>
        <w:t xml:space="preserve">In 1886, George and Hattie Gould homesteaded on the West Fork of the Millicoma River, in the country that would, forty-four years later, be drawn together into the Elliott State Forest. The Goulds were among the first non-Native families to settle on that fork of the Millicoma. The ranch they built — the Elkhorn — sat in a valley in what is now the geographic heart of the Elliott. The federal homestead record, recorded under George Gould’s name, is one of the original title documents in the Coos County books.</w:t>
      </w:r>
    </w:p>
    <w:p>
      <w:pPr>
        <w:pStyle w:val="BodyText"/>
      </w:pPr>
      <w:r>
        <w:t xml:space="preserve">The family ran cattle. They cleared bottomland. They built a house and a barn. They raised four generations of Goulds on the ranch. Their first-born son Clarence — David’s grandfather — would tell stories, decades later, about life on the ranch in the late nineteenth century: about the West Fork rising in winter, about elk in the meadows, about the rough country uphill from the river. Those stories are recorded in Aileen Barker Rickard’s 1983 family history,</w:t>
      </w:r>
      <w:r>
        <w:t xml:space="preserve"> </w:t>
      </w:r>
      <w:r>
        <w:rPr>
          <w:i/>
        </w:rPr>
        <w:t xml:space="preserve">The Goulds of Elkhorn</w:t>
      </w:r>
      <w:r>
        <w:t xml:space="preserve">, a self-published volume that is the principal documentary record of the ranch’s working years.</w:t>
      </w:r>
    </w:p>
    <w:p>
      <w:pPr>
        <w:pStyle w:val="BodyText"/>
      </w:pPr>
      <w:r>
        <w:t xml:space="preserve">In the spring of 1894, a heavy rain set off a landslide above the ranch on Elk Creek. The slide moved enough material to dam the creek. The water backed up into a small lake — known then and now, in the local naming, as Gould Lake. The lake is still there. It is one of the small natural features that marks the family on the land. The 1894 slide is in Bob Zybach’s PhD thesis on Coast Range fire and landslide history. It is also in the photographs the Gould descendants preserved — early Elkhorn Ranch images from 1885 to 1894 that are now part of the documentary record of the Elliott’s pre-forest era.</w:t>
      </w:r>
    </w:p>
    <w:p>
      <w:pPr>
        <w:pStyle w:val="BodyText"/>
      </w:pPr>
      <w:r>
        <w:t xml:space="preserve">When the federal government completed the consolidation that created the Elliott in 1930, much of the Gould homestead was inside the new boundary. The family retained a small parcel. The rest of the ground their great-grandparents had walked passed into the Common School Fund’s trust. The four-generation continuity of the family’s relationship to the place did not end when the boundary was drawn. It continued through David Gould’s father, his uncles, his cousins, and into David’s own working life. When he wrote to the State Land Board in November 2021 about the Elliott, he was writing about country his great-grandparents had homesteaded, country his grandfather had told him stories about, country he had walked since boyhood. The case he made was a case about his family’s land — and about every other family’s land that the schoolchildren’s trust now holds.</w:t>
      </w:r>
    </w:p>
    <w:p>
      <w:pPr>
        <w:pStyle w:val="BodyText"/>
      </w:pPr>
      <w:r>
        <w:rPr>
          <w:b/>
        </w:rPr>
        <w:t xml:space="preserve">[END BOXED INSERT]</w:t>
      </w:r>
    </w:p>
    <w:p>
      <w:r>
        <w:pict>
          <v:rect style="width:0;height:1.5pt" o:hralign="center" o:hrstd="t" o:hr="t"/>
        </w:pict>
      </w:r>
    </w:p>
    <w:p>
      <w:pPr>
        <w:pStyle w:val="FirstParagraph"/>
      </w:pPr>
      <w:r>
        <w:t xml:space="preserve">[PHOTO: David Gould — the North Bend High School athletic hall-of-fame photograph, OSU Liberty Bowl / Rose Bowl team era; or the July 8, 2017 group photograph of Wayne Giesy, Jerry Phillips, and David Gould together at the Jerry Phillips Reserve (Drive id 1GtVh1dgWCS2iekM3nRf3yCjScMuufdCW), with caption noting that Giesy (d. 2019), Phillips (d. 2022), and Gould (d. 2024) are all now deceased — three of the elder voices the Elliott has lost in five years.]</w:t>
      </w:r>
    </w:p>
    <w:p>
      <w:r>
        <w:pict>
          <v:rect style="width:0;height:1.5pt" o:hralign="center" o:hrstd="t" o:hr="t"/>
        </w:pict>
      </w:r>
    </w:p>
    <w:p>
      <w:pPr>
        <w:pStyle w:val="FirstParagraph"/>
      </w:pPr>
      <w:r>
        <w:t xml:space="preserve">I want to close this chapter with a clean sentence and a turn.</w:t>
      </w:r>
    </w:p>
    <w:p>
      <w:pPr>
        <w:pStyle w:val="BodyText"/>
      </w:pPr>
      <w:r>
        <w:t xml:space="preserve">David Gould believed the children of Oregon owned the Elliott State Forest because he had read the 1859 Admissions Act and the 1930 consolidation and the 1968 Common School Fund constitutional amendment and the 2021 OSU plan, and because the chain of title in the public record told him so. He told them so at the Buster Club. He told the State Land Board so in November 2021. He told me so, in his short generous way, in the August 2021 email about the beaver and the dam. He died before the case bore him out. He was right.</w:t>
      </w:r>
    </w:p>
    <w:p>
      <w:pPr>
        <w:pStyle w:val="BodyText"/>
      </w:pPr>
      <w:r>
        <w:t xml:space="preserve">The next person to enter this story is a person who, before David died, he and I had begun to mention to each other in our emails. She is from Utah. She had built, over thirty years, the institutional architecture that took her state’s school-trust distribution from under five million dollars a year to over a hundred and thirteen million. She had not, until the late summer of 2022, looked closely at Oregon. When she did, she saw what David had seen from inside Coos County and what I had seen from inside Kings Valley, but she saw it with a national authority neither of us could supply.</w:t>
      </w:r>
    </w:p>
    <w:p>
      <w:pPr>
        <w:pStyle w:val="BodyText"/>
      </w:pPr>
      <w:r>
        <w:t xml:space="preserve">Her name is Margaret Bird. The next chapter is about what happened when she arrived.</w:t>
      </w:r>
    </w:p>
    <w:p>
      <w:pPr>
        <w:pStyle w:val="Heading1"/>
      </w:pPr>
      <w:bookmarkStart w:id="57" w:name="chapter-9-margaret-arrives"/>
      <w:r>
        <w:t xml:space="preserve">Chapter 9 — Margaret Arrives</w:t>
      </w:r>
      <w:bookmarkEnd w:id="57"/>
    </w:p>
    <w:p>
      <w:pPr>
        <w:pStyle w:val="BlockText"/>
      </w:pPr>
      <w:r>
        <w:rPr>
          <w:i/>
        </w:rPr>
        <w:t xml:space="preserve">“</w:t>
      </w:r>
      <w:r>
        <w:rPr>
          <w:i/>
        </w:rPr>
        <w:t xml:space="preserve">Decoupling is a euphemism for selling.</w:t>
      </w:r>
      <w:r>
        <w:rPr>
          <w:i/>
        </w:rPr>
        <w:t xml:space="preserve">”</w:t>
      </w:r>
      <w:r>
        <w:t xml:space="preserve"> </w:t>
      </w:r>
      <w:r>
        <w:t xml:space="preserve">— Margaret Bird, letter to the Oregon State Land Board, December 11, 2022</w:t>
      </w:r>
    </w:p>
    <w:p>
      <w:pPr>
        <w:pStyle w:val="FirstParagraph"/>
      </w:pPr>
      <w:r>
        <w:t xml:space="preserve">[PHOTO: Margaret Bird — recent portrait if available; OR the December 11, 2022 letter as document facsimile]</w:t>
      </w:r>
    </w:p>
    <w:p>
      <w:pPr>
        <w:pStyle w:val="BodyText"/>
      </w:pPr>
      <w:r>
        <w:t xml:space="preserve">By the autumn of 2022 I had been at this for a quarter of a century, in one form or another. I had bought the tree farm in 1996. I had joined OSWA. I had walked Cougar Pass with Bob and Barb. I had filed the FOIA that came back saying no harvesting was occurring on a forest that had been managed for the Common School Fund since 1930. I had read the Anthony Davis email about the secret meeting and the science panel that would meet in private to decide how to talk to the public. I had stood in the parking lot at the State Capitol on the day in February 2017 that the Land Board voted to sell the Elliott to Lone Rock, and I had stood in the same parking lot three months later when the Board reversed. I thought, then, the reversal was a victory. I was wrong. I just did not yet have anyone who could tell me, plainly, what I was looking at.</w:t>
      </w:r>
    </w:p>
    <w:p>
      <w:pPr>
        <w:pStyle w:val="BodyText"/>
      </w:pPr>
      <w:r>
        <w:t xml:space="preserve">What I had was a long file cabinet and a longer instinct. What I did not have was a witness.</w:t>
      </w:r>
    </w:p>
    <w:p>
      <w:pPr>
        <w:pStyle w:val="BodyText"/>
      </w:pPr>
      <w:r>
        <w:t xml:space="preserve">The witness, when she arrived, came by way of a phone call from an ASTL friend who told me there was someone in Salt Lake City I needed to talk to. He said her name three or four times before I wrote it down — Margaret Bird, Margaret Bird, Margaret Bird — the way you do when you know a name is going to matter. He said she had spent more than two decades inside Utah’s school-trust system. He said she had helped take Utah from a place very much like Oregon was now to a place where the schools received more than a hundred million dollars a year from the trust they were the beneficiaries of. He said she would talk to me. He gave me her number.</w:t>
      </w:r>
    </w:p>
    <w:p>
      <w:pPr>
        <w:pStyle w:val="BodyText"/>
      </w:pPr>
      <w:r>
        <w:t xml:space="preserve">I called her. I do not remember the date precisely. I remember the call. I remember that within about ten minutes I understood I had been talking to the wrong people for twenty years.</w:t>
      </w:r>
    </w:p>
    <w:p>
      <w:pPr>
        <w:pStyle w:val="BodyText"/>
      </w:pPr>
      <w:r>
        <w:t xml:space="preserve">Margaret listens the way good auditors listen — patiently, without interrupting, with the question already forming about three sentences ahead of where you are. She does not flatter. She does not rush. When she finally speaks she lands one sentence and lets it sit, and then she lands another.</w:t>
      </w:r>
      <w:r>
        <w:t xml:space="preserve"> </w:t>
      </w:r>
      <w:r>
        <w:rPr>
          <w:i/>
        </w:rPr>
        <w:t xml:space="preserve">“</w:t>
      </w:r>
      <w:r>
        <w:rPr>
          <w:i/>
        </w:rPr>
        <w:t xml:space="preserve">You are describing,</w:t>
      </w:r>
      <w:r>
        <w:rPr>
          <w:i/>
        </w:rPr>
        <w:t xml:space="preserve">”</w:t>
      </w:r>
      <w:r>
        <w:t xml:space="preserve"> </w:t>
      </w:r>
      <w:r>
        <w:t xml:space="preserve">she said,</w:t>
      </w:r>
      <w:r>
        <w:t xml:space="preserve"> </w:t>
      </w:r>
      <w:r>
        <w:rPr>
          <w:i/>
        </w:rPr>
        <w:t xml:space="preserve">“</w:t>
      </w:r>
      <w:r>
        <w:rPr>
          <w:i/>
        </w:rPr>
        <w:t xml:space="preserve">a trustee that has decided the trust is in the way.</w:t>
      </w:r>
      <w:r>
        <w:rPr>
          <w:i/>
        </w:rPr>
        <w:t xml:space="preserve">”</w:t>
      </w:r>
      <w:r>
        <w:t xml:space="preserve"> </w:t>
      </w:r>
      <w:r>
        <w:t xml:space="preserve">I had not put it to myself in those words. I had been calling it many things — mismanagement, conflict of interest, capture, bad faith — and each of those words was correct as far as it went.</w:t>
      </w:r>
      <w:r>
        <w:t xml:space="preserve"> </w:t>
      </w:r>
      <w:r>
        <w:rPr>
          <w:i/>
        </w:rPr>
        <w:t xml:space="preserve">In the way</w:t>
      </w:r>
      <w:r>
        <w:t xml:space="preserve"> </w:t>
      </w:r>
      <w:r>
        <w:t xml:space="preserve">was the one I had been missing.</w:t>
      </w:r>
      <w:r>
        <w:t xml:space="preserve"> </w:t>
      </w:r>
      <w:r>
        <w:rPr>
          <w:i/>
        </w:rPr>
        <w:t xml:space="preserve">In the way</w:t>
      </w:r>
      <w:r>
        <w:t xml:space="preserve"> </w:t>
      </w:r>
      <w:r>
        <w:t xml:space="preserve">explained the harvest line going to zero.</w:t>
      </w:r>
      <w:r>
        <w:t xml:space="preserve"> </w:t>
      </w:r>
      <w:r>
        <w:rPr>
          <w:i/>
        </w:rPr>
        <w:t xml:space="preserve">In the way</w:t>
      </w:r>
      <w:r>
        <w:t xml:space="preserve"> </w:t>
      </w:r>
      <w:r>
        <w:t xml:space="preserve">explained the science panel meeting in private.</w:t>
      </w:r>
      <w:r>
        <w:t xml:space="preserve"> </w:t>
      </w:r>
      <w:r>
        <w:rPr>
          <w:i/>
        </w:rPr>
        <w:t xml:space="preserve">In the way</w:t>
      </w:r>
      <w:r>
        <w:t xml:space="preserve"> </w:t>
      </w:r>
      <w:r>
        <w:t xml:space="preserve">explained the appraisal that priced a billion-dollar working forest at ninety-nine point six million dollars, and the State writing itself an IOU for the difference between what the trust was worth and what the trustee felt like paying.</w:t>
      </w:r>
    </w:p>
    <w:p>
      <w:pPr>
        <w:pStyle w:val="BodyText"/>
      </w:pPr>
      <w:r>
        <w:t xml:space="preserve">Margaret told me about Utah. I want to give the reader the version Margaret gave me. Not the academic version. The version a person tells over the phone when she has been carrying the story for thirty years.</w:t>
      </w:r>
    </w:p>
    <w:p>
      <w:r>
        <w:pict>
          <v:rect style="width:0;height:1.5pt" o:hralign="center" o:hrstd="t" o:hr="t"/>
        </w:pict>
      </w:r>
    </w:p>
    <w:p>
      <w:pPr>
        <w:pStyle w:val="Heading2"/>
      </w:pPr>
      <w:bookmarkStart w:id="58" w:name="the-utah-recovery"/>
      <w:r>
        <w:t xml:space="preserve">The Utah Recovery</w:t>
      </w:r>
      <w:bookmarkEnd w:id="58"/>
    </w:p>
    <w:p>
      <w:pPr>
        <w:pStyle w:val="BlockText"/>
      </w:pPr>
      <w:r>
        <w:t xml:space="preserve">Utah came into the union in 1896 with a school-trust grant much like Oregon’s — a piece of land in every township, dedicated to the support of the public schools, held by the state for the children’s benefit. For the better part of the next century, Utah did with its grant roughly what most public-land states did. The lands were managed for the convenience of the agencies that managed them, the schools received whatever was left over, and the schools and their constituency were not in the room when decisions about the land were made. By the mid-1980s, the annual distribution to Utah’s schools from the trust had fallen below five million dollars. The fund existed on paper. In practice, it was a footnote.</w:t>
      </w:r>
    </w:p>
    <w:p>
      <w:pPr>
        <w:pStyle w:val="BlockText"/>
      </w:pPr>
      <w:r>
        <w:t xml:space="preserve">Margaret started inside that system in the early 1980s as an economist working state fiscal analysis. She figured out, by the end of her second year, that the architecture was wrong — not that the people inside it were wrong, but that the institution was structured so that the trust could not perform the duty it was created to perform. There was no separate trustee. There was no separate beneficiary representation. The schools, the actual beneficiaries, had no seat at the table. The lands were inside a state agency that answered to a governor who answered to politics, and the schools answered to whatever the politics produced.</w:t>
      </w:r>
    </w:p>
    <w:p>
      <w:pPr>
        <w:pStyle w:val="BlockText"/>
      </w:pPr>
      <w:r>
        <w:t xml:space="preserve">What she did over the next decade and a half was not glamorous. She built a coalition. She named it the Utah Reform Coalition. She brought in the Utah PTA — which never stopped showing up. She brought in the state school boards association, the local school boards, the state superintendent, the Utah Education Association. She wrote the legislation. She testified, year after year, until what had been impossible became inevitable. She got the trust lands moved into a separately-governed agency — the School and Institutional Trust Lands Administration — with its own board, its own director, and a fiduciary duty that ran directly to the beneficiaries, not through the political layer above. She got a permanent fund built. She got a distribution mechanism that paid the income to the schools every year, by formula, with the corpus preserved.</w:t>
      </w:r>
    </w:p>
    <w:p>
      <w:pPr>
        <w:pStyle w:val="BlockText"/>
      </w:pPr>
      <w:r>
        <w:t xml:space="preserve">The numbers tell the rest. From under five million dollars in annual distribution in the mid-1980s, Utah’s school-trust distribution crossed one hundred million dollars by the early 2020s and stands today above one hundred and thirteen million dollars a year. The corpus did not shrink to produce that income. The corpus grew. Utah’s children, today, get more from the trust than the trust ever produced in any year of its first century, and they get it because of an institutional architecture that puts the beneficiary’s interest where it has to be — at the center of the trustee’s job.</w:t>
      </w:r>
    </w:p>
    <w:p>
      <w:pPr>
        <w:pStyle w:val="BlockText"/>
      </w:pPr>
      <w:r>
        <w:t xml:space="preserve">Oregon, by contrast, never adopted any of that discipline. Oregon’s school-trust lands remained inside the agency that managed them for convenience. The Land Board — the Governor, the Secretary of State, and the Treasurer — sat as ex-officio trustees, on top of the political layer, not separated from it. There was no separately-governed beneficiary representation. There was no formula that protected the income against political claims on it. And so when Oregon’s trustees decided the trust was</w:t>
      </w:r>
      <w:r>
        <w:t xml:space="preserve"> </w:t>
      </w:r>
      <w:r>
        <w:rPr>
          <w:i/>
        </w:rPr>
        <w:t xml:space="preserve">in the way</w:t>
      </w:r>
      <w:r>
        <w:t xml:space="preserve"> </w:t>
      </w:r>
      <w:r>
        <w:t xml:space="preserve">— when the harvest line started going to zero, and the bonds started getting written, and the</w:t>
      </w:r>
      <w:r>
        <w:t xml:space="preserve"> </w:t>
      </w:r>
      <w:r>
        <w:rPr>
          <w:i/>
        </w:rPr>
        <w:t xml:space="preserve">decoupling</w:t>
      </w:r>
      <w:r>
        <w:t xml:space="preserve"> </w:t>
      </w:r>
      <w:r>
        <w:t xml:space="preserve">memos started circulating — there was no architectural friction to slow them down. The discipline Margaret spent thirty years building in Utah was the discipline Oregon’s children never got.</w:t>
      </w:r>
    </w:p>
    <w:p>
      <w:r>
        <w:pict>
          <v:rect style="width:0;height:1.5pt" o:hralign="center" o:hrstd="t" o:hr="t"/>
        </w:pict>
      </w:r>
    </w:p>
    <w:p>
      <w:pPr>
        <w:pStyle w:val="FirstParagraph"/>
      </w:pPr>
      <w:r>
        <w:t xml:space="preserve">By the time Margaret finished the Utah story I had been quiet on the phone for longer than was probably polite. What she had given me was not just a fact pattern. It was a yardstick. For the first time I had a measurement for what Oregon had failed to do. I had been describing the failure in Oregon’s own vocabulary — the State Land Board, the Common School Fund, the Department of State Lands, the ESRF. Margaret put those terms inside a frame where they could be compared with their alternatives, and the comparison was devastating. Utah had not done anything miraculous. Utah had done its job. Oregon had not done its job. Oregon had done, instead, the long, slow opposite of its job, and called the opposite</w:t>
      </w:r>
      <w:r>
        <w:t xml:space="preserve"> </w:t>
      </w:r>
      <w:r>
        <w:rPr>
          <w:i/>
        </w:rPr>
        <w:t xml:space="preserve">modernization</w:t>
      </w:r>
      <w:r>
        <w:t xml:space="preserve">.</w:t>
      </w:r>
    </w:p>
    <w:p>
      <w:pPr>
        <w:pStyle w:val="BodyText"/>
      </w:pPr>
      <w:r>
        <w:t xml:space="preserve">In the months that followed I sent Margaret everything I had. The DSL refusal letters. The Anthony Davis email. The Joint Ways and Means subcommittee testimony. The Save the Children’s Forest organizing emails. The Jen Hamaker letter. The David Gould Buster Club note. The OSU page-28 paragraph projecting a $2.1 million annual deficit for fifty years. Margaret read all of it. She wrote back, often, with the question that I had not thought to ask. She did not tell me what to think. She told me what to look at next.</w:t>
      </w:r>
    </w:p>
    <w:p>
      <w:pPr>
        <w:pStyle w:val="BodyText"/>
      </w:pPr>
      <w:r>
        <w:t xml:space="preserve">On December 13, 2022, the Oregon State Land Board was scheduled to vote on the next stage of the so-called</w:t>
      </w:r>
      <w:r>
        <w:t xml:space="preserve"> </w:t>
      </w:r>
      <w:r>
        <w:rPr>
          <w:i/>
        </w:rPr>
        <w:t xml:space="preserve">investment value</w:t>
      </w:r>
      <w:r>
        <w:t xml:space="preserve"> </w:t>
      </w:r>
      <w:r>
        <w:t xml:space="preserve">sale — the maneuver by which the State, as trustee, would buy the Elliott from itself at a price the State itself had picked. Margaret wrote a letter. She dated it two days before the vote. December 11, 2022. She sent it to the trustees and copied the parties she thought needed to read it. I have the letter in front of me as I write this. It is short. It is in Margaret’s voice — declarative, plain, unhedged.</w:t>
      </w:r>
    </w:p>
    <w:p>
      <w:pPr>
        <w:pStyle w:val="BodyText"/>
      </w:pPr>
      <w:r>
        <w:t xml:space="preserve">She told the Board what the word</w:t>
      </w:r>
      <w:r>
        <w:t xml:space="preserve"> </w:t>
      </w:r>
      <w:r>
        <w:rPr>
          <w:i/>
        </w:rPr>
        <w:t xml:space="preserve">decoupling</w:t>
      </w:r>
      <w:r>
        <w:t xml:space="preserve"> </w:t>
      </w:r>
      <w:r>
        <w:t xml:space="preserve">meant. She wrote:</w:t>
      </w:r>
      <w:r>
        <w:t xml:space="preserve"> </w:t>
      </w:r>
      <w:r>
        <w:rPr>
          <w:i/>
        </w:rPr>
        <w:t xml:space="preserve">decoupling is a euphemism for selling.</w:t>
      </w:r>
      <w:r>
        <w:t xml:space="preserve"> </w:t>
      </w:r>
      <w:r>
        <w:t xml:space="preserve">A trustee that takes the trust’s primary working asset, transfers it to an outside arrangement at a price the trustee itself has chosen, and substitutes a stream of general-fund bonds for the asset’s earnings, has</w:t>
      </w:r>
      <w:r>
        <w:t xml:space="preserve"> </w:t>
      </w:r>
      <w:r>
        <w:rPr>
          <w:i/>
        </w:rPr>
        <w:t xml:space="preserve">sold the asset.</w:t>
      </w:r>
      <w:r>
        <w:t xml:space="preserve"> </w:t>
      </w:r>
      <w:r>
        <w:t xml:space="preserve">The bookkeeping is more elaborate than a normal sale. The doctrine is the same. The receivable substituted for the asset is an obligation of the state’s general fund, not of the trust corpus.</w:t>
      </w:r>
      <w:r>
        <w:t xml:space="preserve"> </w:t>
      </w:r>
      <w:r>
        <w:rPr>
          <w:i/>
        </w:rPr>
        <w:t xml:space="preserve">“</w:t>
      </w:r>
      <w:r>
        <w:rPr>
          <w:i/>
        </w:rPr>
        <w:t xml:space="preserve">That,</w:t>
      </w:r>
      <w:r>
        <w:rPr>
          <w:i/>
        </w:rPr>
        <w:t xml:space="preserve">”</w:t>
      </w:r>
      <w:r>
        <w:t xml:space="preserve"> </w:t>
      </w:r>
      <w:r>
        <w:t xml:space="preserve">Margaret wrote,</w:t>
      </w:r>
      <w:r>
        <w:t xml:space="preserve"> </w:t>
      </w:r>
      <w:r>
        <w:rPr>
          <w:i/>
        </w:rPr>
        <w:t xml:space="preserve">“</w:t>
      </w:r>
      <w:r>
        <w:rPr>
          <w:i/>
        </w:rPr>
        <w:t xml:space="preserve">is the difference between owning a piece of property and owning a promise from a politician.</w:t>
      </w:r>
      <w:r>
        <w:rPr>
          <w:i/>
        </w:rPr>
        <w:t xml:space="preserve">”</w:t>
      </w:r>
    </w:p>
    <w:p>
      <w:pPr>
        <w:pStyle w:val="BodyText"/>
      </w:pPr>
      <w:r>
        <w:t xml:space="preserve">She then offered an analogy I have repeated more times than I can count. She wrote that the State, in this transaction, was behaving like a man who takes his neighbor’s Ford pickup truck, hands the neighbor an IOU for the truck’s blue-book value, drives the truck home, and tells the neighbor that he should be grateful because now he owns a</w:t>
      </w:r>
      <w:r>
        <w:t xml:space="preserve"> </w:t>
      </w:r>
      <w:r>
        <w:rPr>
          <w:i/>
        </w:rPr>
        <w:t xml:space="preserve">promise</w:t>
      </w:r>
      <w:r>
        <w:t xml:space="preserve"> </w:t>
      </w:r>
      <w:r>
        <w:t xml:space="preserve">instead of a vehicle. The neighbor still cannot drive to work. The neighbor cannot put gas in a promise. If the man who wrote the IOU later loses his job, the IOU becomes paper. The truck, meanwhile, sits in the new owner’s driveway, still useful, still working, still earning its keep — for the new owner. The neighbor has been</w:t>
      </w:r>
      <w:r>
        <w:t xml:space="preserve"> </w:t>
      </w:r>
      <w:r>
        <w:rPr>
          <w:i/>
        </w:rPr>
        <w:t xml:space="preserve">compensated.</w:t>
      </w:r>
      <w:r>
        <w:t xml:space="preserve"> </w:t>
      </w:r>
      <w:r>
        <w:t xml:space="preserve">The neighbor has also been</w:t>
      </w:r>
      <w:r>
        <w:t xml:space="preserve"> </w:t>
      </w:r>
      <w:r>
        <w:rPr>
          <w:i/>
        </w:rPr>
        <w:t xml:space="preserve">robbed.</w:t>
      </w:r>
      <w:r>
        <w:t xml:space="preserve"> </w:t>
      </w:r>
      <w:r>
        <w:t xml:space="preserve">Both things are true.</w:t>
      </w:r>
    </w:p>
    <w:p>
      <w:pPr>
        <w:pStyle w:val="BodyText"/>
      </w:pPr>
      <w:r>
        <w:t xml:space="preserve">What I had been trying to say for years about the Common School Fund — that the bonds were not equivalent to the forest; that an obligation of the state’s general fund is not the same fiduciary instrument as a working trust asset; that a politician’s promise to pay debt service is not a promise the next legislature is bound to keep — Margaret said in three sentences and a pickup truck. The Board voted anyway. Two days later, on December 13, 2022, the trustees moved the so-called</w:t>
      </w:r>
      <w:r>
        <w:t xml:space="preserve"> </w:t>
      </w:r>
      <w:r>
        <w:rPr>
          <w:i/>
        </w:rPr>
        <w:t xml:space="preserve">investment value</w:t>
      </w:r>
      <w:r>
        <w:t xml:space="preserve"> </w:t>
      </w:r>
      <w:r>
        <w:t xml:space="preserve">sale forward by the margin Land Boards always seem to vote by when they have already decided in private what they will do in public.</w:t>
      </w:r>
    </w:p>
    <w:p>
      <w:pPr>
        <w:pStyle w:val="BodyText"/>
      </w:pPr>
      <w:r>
        <w:t xml:space="preserve">But the letter was in the record. It was on the Department of State Lands’ own published meeting materials. It was in the inbox of every trustee. It was in the inbox of every reporter who had ever covered the Elliott. And the line —</w:t>
      </w:r>
      <w:r>
        <w:t xml:space="preserve"> </w:t>
      </w:r>
      <w:r>
        <w:rPr>
          <w:i/>
        </w:rPr>
        <w:t xml:space="preserve">decoupling is a euphemism for selling</w:t>
      </w:r>
      <w:r>
        <w:t xml:space="preserve"> </w:t>
      </w:r>
      <w:r>
        <w:t xml:space="preserve">— was now available to anyone who would later have to describe, in front of a court or a legislative committee or a public hearing, what had been done. The word stopped doing the bureaucratic work it had been doing for a decade. After Margaret’s letter, you could not say</w:t>
      </w:r>
      <w:r>
        <w:t xml:space="preserve"> </w:t>
      </w:r>
      <w:r>
        <w:rPr>
          <w:i/>
        </w:rPr>
        <w:t xml:space="preserve">decoupling</w:t>
      </w:r>
      <w:r>
        <w:t xml:space="preserve"> </w:t>
      </w:r>
      <w:r>
        <w:t xml:space="preserve">in Oregon without the listener knowing what the word actually meant.</w:t>
      </w:r>
    </w:p>
    <w:p>
      <w:pPr>
        <w:pStyle w:val="BodyText"/>
      </w:pPr>
      <w:r>
        <w:t xml:space="preserve">I want to be careful about how I describe what changed for me. I did not gain a co-author that fall. I gained something I had not had in twenty years of working alone, or with allies who were as out-of-state-experience-poor as I was: I gained a witness who could not be dismissed. Margaret had spent more time inside the architecture of school trust lands than anyone alive. She had read the admission acts. She had sat in trustee meetings in nearly every public-land state. She was, by training and by long habit, slow to call something a theft — and she had used the word, in writing, about Oregon. The trustees could not say she did not know what she was looking at. The press could not say she was a partisan. The trust-lands community across the country, whose silence had been one of Oregon’s many quiet defenses, was now on notice. If Margaret Bird had written</w:t>
      </w:r>
      <w:r>
        <w:t xml:space="preserve"> </w:t>
      </w:r>
      <w:r>
        <w:rPr>
          <w:i/>
        </w:rPr>
        <w:t xml:space="preserve">decoupling is a euphemism for selling</w:t>
      </w:r>
      <w:r>
        <w:t xml:space="preserve"> </w:t>
      </w:r>
      <w:r>
        <w:t xml:space="preserve">on Oregon Land Board letterhead day, then Oregon was no longer an Oregon story. It was a national story. It just had not yet been picked up.</w:t>
      </w:r>
    </w:p>
    <w:p>
      <w:pPr>
        <w:pStyle w:val="BodyText"/>
      </w:pPr>
      <w:r>
        <w:t xml:space="preserve">She and I have worked together every week since, in one form or another, for the four years that followed. The case I am the lead plaintiff in today,</w:t>
      </w:r>
      <w:r>
        <w:t xml:space="preserve"> </w:t>
      </w:r>
      <w:r>
        <w:rPr>
          <w:i/>
        </w:rPr>
        <w:t xml:space="preserve">Advocates for School Trust Lands v. State of Oregon</w:t>
      </w:r>
      <w:r>
        <w:t xml:space="preserve">, is the case it is because Margaret Bird arrived in 2022 and showed me what I had been looking at. The chapters that follow this one — the lawsuit Natalie Scott took to the Court of Appeals; the standing victory the Court handed down on January 28, 2026; the Answer the State filed on October 24, 2025, in which the State of Oregon told a court of law that it</w:t>
      </w:r>
      <w:r>
        <w:t xml:space="preserve"> </w:t>
      </w:r>
      <w:r>
        <w:rPr>
          <w:i/>
        </w:rPr>
        <w:t xml:space="preserve">“</w:t>
      </w:r>
      <w:r>
        <w:rPr>
          <w:i/>
        </w:rPr>
        <w:t xml:space="preserve">does not owe Plaintiffs the duties alleged</w:t>
      </w:r>
      <w:r>
        <w:rPr>
          <w:i/>
        </w:rPr>
        <w:t xml:space="preserve">”</w:t>
      </w:r>
      <w:r>
        <w:t xml:space="preserve"> </w:t>
      </w:r>
      <w:r>
        <w:t xml:space="preserve">— none of those would read the way they read, and none would have been brought, if Margaret had not, on a phone call in the fall of 2022, said the sentence about the trustee deciding the trust was in the way.</w:t>
      </w:r>
    </w:p>
    <w:p>
      <w:pPr>
        <w:pStyle w:val="BodyText"/>
      </w:pPr>
      <w:r>
        <w:t xml:space="preserve">What I learned that fall is that a long fight is not won by the person who has been in it the longest. It is won by the moment a witness who knows the larger pattern shows up and tells you, plainly, what you are inside of. Margaret was that witness for me. She is, I think, the witness this book is, in part, for — a way of putting on the public record what Margaret has been telling the few of us who would listen, for the better part of forty years, about what happens to a school trust when no one is watching.</w:t>
      </w:r>
    </w:p>
    <w:p>
      <w:pPr>
        <w:pStyle w:val="BodyText"/>
      </w:pPr>
      <w:r>
        <w:t xml:space="preserve">The next chapter is about the first lawsuit. I filed it in 2021, before Margaret arrived. I want to tell the reader what I thought I was doing then, and what I understand now, four years on, I was actually doing. The two things are not the same. They were never going to be. The first lawsuit was the one I knew how to bring. The second one — the one we are inside of as I write this — is the one I learned to bring because Margaret arrived and told me what I had been looking at.</w:t>
      </w:r>
    </w:p>
    <w:p>
      <w:r>
        <w:pict>
          <v:rect style="width:0;height:1.5pt" o:hralign="center" o:hrstd="t" o:hr="t"/>
        </w:pict>
      </w:r>
    </w:p>
    <w:p>
      <w:pPr>
        <w:pStyle w:val="FirstParagraph"/>
      </w:pPr>
      <w:r>
        <w:rPr>
          <w:i/>
        </w:rPr>
        <w:t xml:space="preserve">End of Chapter 9. Chapter 10: The First Lawsuit and What I Learned.</w:t>
      </w:r>
    </w:p>
    <w:p>
      <w:pPr>
        <w:pStyle w:val="Heading1"/>
      </w:pPr>
      <w:bookmarkStart w:id="59" w:name="Xf2b79c979acc515781eb161f38067d4110f4567"/>
      <w:r>
        <w:t xml:space="preserve">Chapter 10 — The First Lawsuit and What I Learned</w:t>
      </w:r>
      <w:bookmarkEnd w:id="59"/>
    </w:p>
    <w:p>
      <w:pPr>
        <w:pStyle w:val="FirstParagraph"/>
      </w:pPr>
      <w:r>
        <w:rPr>
          <w:i/>
        </w:rPr>
        <w:t xml:space="preserve">Volume 1: Who Steals from Children — Oregon and the Elliott. General Reader’s Edition.</w:t>
      </w:r>
      <w:r>
        <w:t xml:space="preserve"> </w:t>
      </w:r>
      <w:r>
        <w:rPr>
          <w:i/>
        </w:rPr>
        <w:t xml:space="preserve">Draft v1, 2026-05-10. Dave-first-person.</w:t>
      </w:r>
    </w:p>
    <w:p>
      <w:r>
        <w:pict>
          <v:rect style="width:0;height:1.5pt" o:hralign="center" o:hrstd="t" o:hr="t"/>
        </w:pict>
      </w:r>
    </w:p>
    <w:p>
      <w:pPr>
        <w:pStyle w:val="BlockText"/>
      </w:pPr>
      <w:r>
        <w:rPr>
          <w:i/>
        </w:rPr>
        <w:t xml:space="preserve">“</w:t>
      </w:r>
      <w:r>
        <w:rPr>
          <w:i/>
        </w:rPr>
        <w:t xml:space="preserve">Dave you are a true beaver and work hard keeping the water flowing over the dam.</w:t>
      </w:r>
      <w:r>
        <w:rPr>
          <w:i/>
        </w:rPr>
        <w:t xml:space="preserve">”</w:t>
      </w:r>
      <w:r>
        <w:t xml:space="preserve"> </w:t>
      </w:r>
      <w:r>
        <w:t xml:space="preserve">— David Gould, in correspondence to the author</w:t>
      </w:r>
    </w:p>
    <w:p>
      <w:r>
        <w:pict>
          <v:rect style="width:0;height:1.5pt" o:hralign="center" o:hrstd="t" o:hr="t"/>
        </w:pict>
      </w:r>
    </w:p>
    <w:p>
      <w:pPr>
        <w:pStyle w:val="FirstParagraph"/>
      </w:pPr>
      <w:r>
        <w:t xml:space="preserve">I want to tell you about the first lawsuit. Not because the first lawsuit won — it didn’t. Not because the first lawsuit was a good lawsuit — by the standards a lawyer would apply, it wasn’t. I want to tell you about it because the first lawsuit is the part of this story that I, looking back from the desk where I am writing this chapter, am least proud of and most grateful for. It taught me almost everything I did not know about how the law works when the State of Oregon is the defendant. And it would not surprise me if, by the end of this chapter, you have come to the same conclusion I came to a few years after I filed it: that the most important thing about the first lawsuit was that I was wrong about almost every premise on which I filed it, and that being wrong, in writing, in a courtroom, in front of a judge, is the only way I could have learned what the law was actually responding to.</w:t>
      </w:r>
    </w:p>
    <w:p>
      <w:pPr>
        <w:pStyle w:val="BodyText"/>
      </w:pPr>
      <w:r>
        <w:t xml:space="preserve">I filed it in 2021. Coos County Circuit Court.</w:t>
      </w:r>
      <w:r>
        <w:t xml:space="preserve"> </w:t>
      </w:r>
      <w:r>
        <w:rPr>
          <w:i/>
        </w:rPr>
        <w:t xml:space="preserve">Sullivan v. State of Oregon</w:t>
      </w:r>
      <w:r>
        <w:t xml:space="preserve">, case number 21CV15024. I was the plaintiff. I was sixty-five years old. I was not a lawyer. I am still not a lawyer. I am a retired Tektronix engineer and Oregon State University business professor who, twenty-five years earlier, had bought a tree farm in Kings Valley and become slowly, over those twenty-five years, a person who could not stop thinking about what the State of Oregon was doing to its school trust.</w:t>
      </w:r>
    </w:p>
    <w:p>
      <w:pPr>
        <w:pStyle w:val="BodyText"/>
      </w:pPr>
      <w:r>
        <w:t xml:space="preserve">The facts, when I filed in 2021, were already strong. The Elliott State Forest had been pulled out of harvest in stages across the 2010s. The Common School Fund, which the Elliott was supposed to be feeding, was being fed by the State’s own debt instead — $100 million in general-obligation bonds in 2019, with more on the way. The State Land Board had voted in 2017 to sell the Elliott to Lone Rock for $220.8 million, reversed under public pressure, and then quietly resumed the conversion through a different mechanism. Bob Zybach had filed a declaration on July 11, 2021 walking through what the Elliott had produced when the State managed it as a trust asset rather than a problem to be dissolved. David Gould had filed his own declaration that summer. I had filed an Affidavit and Timeline of Facts on August 16, 2021.</w:t>
      </w:r>
    </w:p>
    <w:p>
      <w:pPr>
        <w:pStyle w:val="BodyText"/>
      </w:pPr>
      <w:r>
        <w:t xml:space="preserve">I thought, when we filed, that the law would respond to the facts. The facts were strong. The law moved slowly. And the slowness, I had to learn, was the State’s strongest defense.</w:t>
      </w:r>
    </w:p>
    <w:p>
      <w:pPr>
        <w:pStyle w:val="Heading2"/>
      </w:pPr>
      <w:bookmarkStart w:id="60" w:name="what-i-thought-i-was-doing"/>
      <w:r>
        <w:t xml:space="preserve">What I thought I was doing</w:t>
      </w:r>
      <w:bookmarkEnd w:id="60"/>
    </w:p>
    <w:p>
      <w:pPr>
        <w:pStyle w:val="FirstParagraph"/>
      </w:pPr>
      <w:r>
        <w:t xml:space="preserve">I want to say this honestly. In 2021 I thought I was filing a lawsuit. What I was actually doing was something closer to filing a complaint in the colloquial sense — the sense in which a person who has been wronged writes down what happened, signs it, and hands it to whoever is in a position to make it stop. I had the documents. I had the witnesses. I had a forester with a PhD on Coast Range fire history willing to swear an affidavit. I had a four-generation Coos County family man — David Gould, whose great-grandparents had homesteaded the Elkhorn Ranch that sits inside today’s Elliott — willing to swear an affidavit. I had what I thought a court would recognize as the truth.</w:t>
      </w:r>
    </w:p>
    <w:p>
      <w:pPr>
        <w:pStyle w:val="BodyText"/>
      </w:pPr>
      <w:r>
        <w:t xml:space="preserve">What I did not have was a lawyer who had spent twenty years filing the particular kind of pleading that the Oregon Supreme Court would later, in a different case, hold sufficient to confer standing on a schoolchild-plaintiff to enforce the school trust against the State. I did not have the doctrine. I did not have the procedural posture. I did not have the body of case law a lawyer organizes a complaint around when the lawyer knows what the appellate court is going to want to see if the case gets that far.</w:t>
      </w:r>
    </w:p>
    <w:p>
      <w:pPr>
        <w:pStyle w:val="BodyText"/>
      </w:pPr>
      <w:r>
        <w:t xml:space="preserve">I had filed, in other words, the sort of lawsuit a retired professor files when he has read enough to know there is a wrong and not enough to know what the law’s particular instruments are for vindicating the wrong. The trial court did with that lawsuit what trial courts do with that kind of lawsuit. The State of Oregon moved to dismiss. The trial court granted the motion. The matter, on its own merits, did not advance.</w:t>
      </w:r>
    </w:p>
    <w:p>
      <w:pPr>
        <w:pStyle w:val="BodyText"/>
      </w:pPr>
      <w:r>
        <w:t xml:space="preserve">I want to be careful here. The 2021 case did not establish a holding on the substantive school-trust questions. It did not survive to discovery. The merits — whether the State had breached its fiduciary duties; whether the bonds were a permissible substitution for the Elliott corpus; whether the conversion to a research forest was self-dealing — were never reached. The 2021 case, as a matter of formal Oregon case law, accomplished nothing.</w:t>
      </w:r>
    </w:p>
    <w:p>
      <w:pPr>
        <w:pStyle w:val="BodyText"/>
      </w:pPr>
      <w:r>
        <w:t xml:space="preserve">And I would file it again tomorrow.</w:t>
      </w:r>
    </w:p>
    <w:p>
      <w:pPr>
        <w:pStyle w:val="Heading2"/>
      </w:pPr>
      <w:bookmarkStart w:id="61" w:name="what-i-learned"/>
      <w:r>
        <w:t xml:space="preserve">What I learned</w:t>
      </w:r>
      <w:bookmarkEnd w:id="61"/>
    </w:p>
    <w:p>
      <w:pPr>
        <w:pStyle w:val="FirstParagraph"/>
      </w:pPr>
      <w:r>
        <w:t xml:space="preserve">What the 2021 case did do, and what I did not understand it was doing until later, was establish the record. The State’s response to a citizen-plaintiff in 2021 became a fact a court could later notice. Zybach’s declaration is on file. Gould’s declaration is on file. My Affidavit and Timeline of Facts is on file. The State’s posture — that the question of how the Common School Fund is managed is not a question a citizen of Oregon has any business asking a court of Oregon about — was made of record. The next set of lawyers who walked into the Coos County Circuit Court on the school-trust question did not have to invent that record. It was there.</w:t>
      </w:r>
    </w:p>
    <w:p>
      <w:pPr>
        <w:pStyle w:val="BodyText"/>
      </w:pPr>
      <w:r>
        <w:t xml:space="preserve">I learned three things from the dismissal. I am going to name them plainly because they are the things I would say to any reader of this book who is angry on her children’s behalf and is wondering whether to file something herself.</w:t>
      </w:r>
    </w:p>
    <w:p>
      <w:pPr>
        <w:pStyle w:val="BodyText"/>
      </w:pPr>
      <w:r>
        <w:t xml:space="preserve">The first is that the law, when the State is the defendant, moves on a clock the State controls. The State files for an extension. The State asks the court for time to confer. The State moves to dismiss; the dismissal is appealed; the appeal is briefed; the briefing is responded to; the response is replied to; the case is set for oral argument; oral argument is held; the opinion is reserved; the opinion is issued; the matter is remanded; the trial court takes the remand; the trial court sets a status conference. Each of those steps is months. Stacked together, they are years. The clock the State runs is the clock no individual citizen can outlast. The State’s lawyers go home at five and come back in the morning. The State’s lawyers do not bear the cost of the delay because the delay is what the State is paying them to produce.</w:t>
      </w:r>
    </w:p>
    <w:p>
      <w:pPr>
        <w:pStyle w:val="BodyText"/>
      </w:pPr>
      <w:r>
        <w:t xml:space="preserve">The second is that standing — the legal doctrine that decides whether a particular plaintiff is allowed to bring a particular claim in a particular court — is the gate the State will close first. Standing sounds like a technicality. It is not a technicality. Standing is the question of whether the courthouse door is open to you at all. When the trial court dismissed the 2021 case, the dismissal did not address whether the Common School Fund was being mismanaged. The dismissal addressed whether Dave Sullivan, retired professor from Kings Valley, was the right person to ask the court the question. And on that question, in 2021, the answer the court gave was no.</w:t>
      </w:r>
    </w:p>
    <w:p>
      <w:pPr>
        <w:pStyle w:val="BodyText"/>
      </w:pPr>
      <w:r>
        <w:t xml:space="preserve">The third is that being wrong, in writing, in a courthouse, leaves a record the next plaintiff inherits. The 2021 case was not the case that won. The 2021 case was the case that taught the next case what the State would say, what the State would not say, what the State’s preferred procedural ground would be, what the State’s silence would cover. Natalie Scott, when she filed the 2023 case, did not have to guess what the State would do. The 2021 record told her.</w:t>
      </w:r>
    </w:p>
    <w:p>
      <w:r>
        <w:pict>
          <v:rect style="width:0;height:1.5pt" o:hralign="center" o:hrstd="t" o:hr="t"/>
        </w:pict>
      </w:r>
    </w:p>
    <w:p>
      <w:pPr>
        <w:pStyle w:val="Heading2"/>
      </w:pPr>
      <w:bookmarkStart w:id="62" w:name="box-what-is-standing"/>
      <w:r>
        <w:t xml:space="preserve">[BOX] What is Standing?</w:t>
      </w:r>
      <w:bookmarkEnd w:id="62"/>
    </w:p>
    <w:p>
      <w:pPr>
        <w:pStyle w:val="FirstParagraph"/>
      </w:pPr>
      <w:r>
        <w:t xml:space="preserve">Standing is the doctrine that decides whether a particular person is the right person to bring a particular legal claim. The federal courts and the Oregon courts use the doctrine to keep courts from deciding abstract questions — to keep them, in the textbook phrase, deciding</w:t>
      </w:r>
      <w:r>
        <w:t xml:space="preserve"> </w:t>
      </w:r>
      <w:r>
        <w:rPr>
          <w:i/>
        </w:rPr>
        <w:t xml:space="preserve">cases and controversies</w:t>
      </w:r>
      <w:r>
        <w:t xml:space="preserve"> </w:t>
      </w:r>
      <w:r>
        <w:t xml:space="preserve">rather than hypotheticals. To have standing, a plaintiff must show three things: a concrete injury, fairly traceable to the defendant’s conduct, that the court has power to redress.</w:t>
      </w:r>
    </w:p>
    <w:p>
      <w:pPr>
        <w:pStyle w:val="BodyText"/>
      </w:pPr>
      <w:r>
        <w:t xml:space="preserve">The school-trust problem is that the most obvious beneficiaries of the trust — the schoolchildren of Oregon — are, as a class, the people whom courts have historically been quickest to deny standing to. They are minors. They have no money. They do not vote. They cannot, as a practical matter, hire a lawyer themselves. For one hundred and sixty-seven years after the 1859 Admissions Act created the trust, no Oregon court had held that a schoolchild-plaintiff could walk into a courtroom and assert the trust against the State that holds it for her.</w:t>
      </w:r>
    </w:p>
    <w:p>
      <w:pPr>
        <w:pStyle w:val="BodyText"/>
      </w:pPr>
      <w:r>
        <w:t xml:space="preserve">Article VIII, Section 8 of the Oregon Constitution — the 2000 amendment that requires the Legislature to fund schools at a level sufficient to meet the standards adopted by the State Board of Education — is what eventually broke that wall. Section 8 makes the State’s duty to fund the schools an enforceable duty rather than a hortatory one. And once the duty to fund is enforceable, the management of the trust that the funding flows from becomes reviewable too — because a court’s decision on how the trust is managed has, as the Court of Appeals would later write,</w:t>
      </w:r>
      <w:r>
        <w:t xml:space="preserve"> </w:t>
      </w:r>
      <w:r>
        <w:rPr>
          <w:i/>
        </w:rPr>
        <w:t xml:space="preserve">practical effects on the amount that the common school fund contributes to the schoolchildren plaintiffs’ education.</w:t>
      </w:r>
    </w:p>
    <w:p>
      <w:pPr>
        <w:pStyle w:val="BodyText"/>
      </w:pPr>
      <w:r>
        <w:t xml:space="preserve">That sentence is what we waited 167 years to read.</w:t>
      </w:r>
    </w:p>
    <w:p>
      <w:r>
        <w:pict>
          <v:rect style="width:0;height:1.5pt" o:hralign="center" o:hrstd="t" o:hr="t"/>
        </w:pict>
      </w:r>
    </w:p>
    <w:p>
      <w:pPr>
        <w:pStyle w:val="Heading2"/>
      </w:pPr>
      <w:bookmarkStart w:id="63" w:name="natalie"/>
      <w:r>
        <w:t xml:space="preserve">Natalie</w:t>
      </w:r>
      <w:bookmarkEnd w:id="63"/>
    </w:p>
    <w:p>
      <w:pPr>
        <w:pStyle w:val="FirstParagraph"/>
      </w:pPr>
      <w:r>
        <w:t xml:space="preserve">In 2023, Natalie Scott of The Scott Law Group filed a new case. Coos County 23CV39056. Schoolchildren-plaintiffs as the named beneficiaries. Article VIII fiduciary-breach claims. A clean re-rendering of what I had filed in 2021, drafted by a lawyer who had clerked on the Oregon Court of Appeals for Judge David Brewer, who had graduated</w:t>
      </w:r>
      <w:r>
        <w:t xml:space="preserve"> </w:t>
      </w:r>
      <w:r>
        <w:rPr>
          <w:i/>
        </w:rPr>
        <w:t xml:space="preserve">summa cum laude</w:t>
      </w:r>
      <w:r>
        <w:t xml:space="preserve"> </w:t>
      </w:r>
      <w:r>
        <w:t xml:space="preserve">from the University of Oregon School of Law, and who knew exactly which sentence the appellate court was going to need to see if the trial court denied standing.</w:t>
      </w:r>
    </w:p>
    <w:p>
      <w:pPr>
        <w:pStyle w:val="BodyText"/>
      </w:pPr>
      <w:r>
        <w:t xml:space="preserve">The trial court denied standing. In February 2024 the case was dismissed.</w:t>
      </w:r>
    </w:p>
    <w:p>
      <w:pPr>
        <w:pStyle w:val="BodyText"/>
      </w:pPr>
      <w:r>
        <w:t xml:space="preserve">Natalie filed the appeal. Her Opening Brief, filed August 2, 2024, argued the case the 2021 record had taught her to argue: that Article VIII Section 8 gives schoolchildren-plaintiffs the standing the trial court had denied them. The State responded. Natalie replied. The Court of Appeals scheduled oral argument.</w:t>
      </w:r>
    </w:p>
    <w:p>
      <w:pPr>
        <w:pStyle w:val="BodyText"/>
      </w:pPr>
      <w:r>
        <w:t xml:space="preserve">I will say more about that oral argument in Chapter 11. Natalie made a decision, when the Court set the date, that I want to tell you about now because it bears on this chapter. She asked the Court whether oral argument could be held in front of the named plaintiffs. The Court agreed. Oral argument in</w:t>
      </w:r>
      <w:r>
        <w:t xml:space="preserve"> </w:t>
      </w:r>
      <w:r>
        <w:rPr>
          <w:i/>
        </w:rPr>
        <w:t xml:space="preserve">Advocates for School Trust Lands v. State of Oregon</w:t>
      </w:r>
      <w:r>
        <w:t xml:space="preserve"> </w:t>
      </w:r>
      <w:r>
        <w:t xml:space="preserve">was held at Corvallis High School, with real Oregon schoolchildren — the named beneficiaries of the trust the case was about — sitting in the audience while the State of Oregon’s lawyer argued that those schoolchildren had no legal interest in the management of the trust their constitutional rights named them as the beneficiaries of. I sat in the back. The contrast between what the State’s brief was saying and the room the brief was being read in did more rhetorical work for our side than any of us had planned for.</w:t>
      </w:r>
    </w:p>
    <w:p>
      <w:pPr>
        <w:pStyle w:val="BodyText"/>
      </w:pPr>
      <w:r>
        <w:t xml:space="preserve">Natalie won. On January 28, 2026, the Court of Appeals reversed the trial court and held that the schoolchildren-plaintiffs had standing under Article VIII Section 8 to enforce the school trust against the State. The opinion was unanimous. The case was remanded for further proceedings on the merits.</w:t>
      </w:r>
    </w:p>
    <w:p>
      <w:pPr>
        <w:pStyle w:val="BodyText"/>
      </w:pPr>
      <w:r>
        <w:t xml:space="preserve">That is the standing victory that Chapter 11 takes up. What I want to mark in this chapter is the through-line: the 2021 case that did not win taught the 2023 case what to file. The 2023 case that did not win at trial taught the appeal what to argue. The appeal won. The constituency that had been missing inside the courthouse for one hundred and sixty-seven years finally had the doctrinal posture from which to assert the trust.</w:t>
      </w:r>
    </w:p>
    <w:p>
      <w:pPr>
        <w:pStyle w:val="Heading2"/>
      </w:pPr>
      <w:bookmarkStart w:id="64" w:name="X53dc5ed88323c2694991cf53ba3aa8dbd679b3e"/>
      <w:r>
        <w:t xml:space="preserve">October 2025 — looking for the right lawyer</w:t>
      </w:r>
      <w:bookmarkEnd w:id="64"/>
    </w:p>
    <w:p>
      <w:pPr>
        <w:pStyle w:val="FirstParagraph"/>
      </w:pPr>
      <w:r>
        <w:t xml:space="preserve">I want to tell you about a stretch of weeks in the fall of 2025 that I think about often. The 2024 case had been filed the previous August. Natalie was carrying the 2023 appeal. The Coos County Circuit Court had scheduled a hearing on a Motion to Strike for October 28. We needed a lawyer to make a limited-scope appearance for that hearing. I did not yet have one.</w:t>
      </w:r>
    </w:p>
    <w:p>
      <w:pPr>
        <w:pStyle w:val="BodyText"/>
      </w:pPr>
      <w:r>
        <w:t xml:space="preserve">On October 20, 2025, I sat at my kitchen table in Kings Valley and sent the same email, with small adjustments, to six Oregon attorneys. John Whitty. J. MacNeille at the Oregon Law Center. James Martin. J. DePlois. Amber Gies. A lawyer named Klessig. The email said, in essence, that there was a hearing on October 28 in Coos County, that the case was a school-trust fiduciary-breach case against the State of Oregon, that we needed appearance counsel for that one hearing, and that we would be grateful for any of their time. I included a one-page case summary. I included Natalie’s contact information. I signed it Dave Sullivan, OASTL President.</w:t>
      </w:r>
    </w:p>
    <w:p>
      <w:pPr>
        <w:pStyle w:val="BodyText"/>
      </w:pPr>
      <w:r>
        <w:t xml:space="preserve">I want to tell you what it is like to send those emails. You are not asking for someone’s help in a sense that they are required, by any obligation they have to you, to respond. They have not heard of you. They have not, in most cases, heard of the case. They have their own dockets. They have their own clients. They are members of the Oregon Bar in a state where the legal community is small enough that the State of Oregon’s appearance on the other side of a case is not a neutral fact. You are asking strangers to step, on short notice and for limited compensation, into a courtroom where the State will be the opposing party. Most of them, very kindly, said no.</w:t>
      </w:r>
    </w:p>
    <w:p>
      <w:pPr>
        <w:pStyle w:val="BodyText"/>
      </w:pPr>
      <w:r>
        <w:t xml:space="preserve">James Martin said maybe. James, who corresponds through the email address jamesm@epuerto.org, reviewed the case files I sent him. He wrote back, on November 25, that he was willing in principle to represent OASTL in the 2024 case and to consider taking on the 2023 case as well,</w:t>
      </w:r>
      <w:r>
        <w:t xml:space="preserve"> </w:t>
      </w:r>
      <w:r>
        <w:t xml:space="preserve">“</w:t>
      </w:r>
      <w:r>
        <w:t xml:space="preserve">whether on further appeal or on</w:t>
      </w:r>
      <w:r>
        <w:t xml:space="preserve">”</w:t>
      </w:r>
      <w:r>
        <w:t xml:space="preserve"> </w:t>
      </w:r>
      <w:r>
        <w:t xml:space="preserve">— the email was longer; that phrase is what I remember. We had several exchanges through early December. James was the bridge.</w:t>
      </w:r>
    </w:p>
    <w:p>
      <w:pPr>
        <w:pStyle w:val="BodyText"/>
      </w:pPr>
      <w:r>
        <w:t xml:space="preserve">The week before Christmas, Daniel Crowe came on board.</w:t>
      </w:r>
    </w:p>
    <w:p>
      <w:pPr>
        <w:pStyle w:val="Heading2"/>
      </w:pPr>
      <w:bookmarkStart w:id="65" w:name="daniel"/>
      <w:r>
        <w:t xml:space="preserve">Daniel</w:t>
      </w:r>
      <w:bookmarkEnd w:id="65"/>
    </w:p>
    <w:p>
      <w:pPr>
        <w:pStyle w:val="FirstParagraph"/>
      </w:pPr>
      <w:r>
        <w:t xml:space="preserve">I want to introduce Daniel Crowe with the same care I tried to give David Gould in Chapter 8, because Daniel is a character in this story for the same reason David was: each of them, at the moment they walked in, brought something the project did not have without them.</w:t>
      </w:r>
    </w:p>
    <w:p>
      <w:pPr>
        <w:pStyle w:val="BodyText"/>
      </w:pPr>
      <w:r>
        <w:t xml:space="preserve">Daniel Zene Crowe is a graduate of West Point. He served on active duty in the U.S. Army as an Infantry officer and as a Ranger, retired from the Army Reserve at the rank of Lieutenant Colonel, and spent the bulk of his military legal career as a JAG officer. He is admitted to the Oregon State Bar (OSB Bar Number 050245). He served as the inaugural Oregon Veterans’ Advocate, appointed to that statutorily-created role at its first creation, and has served on the Mt. Angel School Board. He is the named plaintiff in</w:t>
      </w:r>
      <w:r>
        <w:t xml:space="preserve"> </w:t>
      </w:r>
      <w:r>
        <w:rPr>
          <w:i/>
        </w:rPr>
        <w:t xml:space="preserve">Crowe v. Oregon State Bar</w:t>
      </w:r>
      <w:r>
        <w:t xml:space="preserve">, in which he challenged a state institution in federal court on constitutional grounds and prevailed. He is, in short, the kind of lawyer the State of Oregon would, if it had a choice, prefer not to see across from it in a Coos County courtroom.</w:t>
      </w:r>
    </w:p>
    <w:p>
      <w:pPr>
        <w:pStyle w:val="BodyText"/>
      </w:pPr>
      <w:r>
        <w:t xml:space="preserve">Daniel and OASTL signed a Joint Engagement and General Counsel Employment Agreement on December 19, 2025. He came on as General Counsel. Three weeks later, on January 28, 2026, Natalie won the standing appeal. On the same January 28, Daniel served the State with Plaintiffs’ First Request for Production of Documents in 24CV38372 — the discovery request that would, by the State’s February 27 response, produce the documentary record this book’s next chapter is built around.</w:t>
      </w:r>
    </w:p>
    <w:p>
      <w:pPr>
        <w:pStyle w:val="BodyText"/>
      </w:pPr>
      <w:r>
        <w:t xml:space="preserve">I want to be honest about what Daniel’s arrival changed. The case did not become a different case. The facts did not change. The doctrine did not change. What changed was that the case, for the first time since 2021, had a lawyer in the lead-counsel seat who had spent his life in the kind of room the case was eventually going to be argued in. The State’s lawyers, when they read a Crowe-drafted RFP, knew within the first page that the response they had been giving for thirty-five years was not going to be enough. That recognition is not a small thing. It is, in fact, most of the value of having the right counsel.</w:t>
      </w:r>
    </w:p>
    <w:p>
      <w:pPr>
        <w:pStyle w:val="BodyText"/>
      </w:pPr>
      <w:r>
        <w:t xml:space="preserve">The State recognized it. The State’s October 24, 2025 Answer in 24CV38372 — drafted before Daniel’s joint engagement was signed, but filed under the schedule the State controlled — contained a sentence I am going to spend the whole of Chapter 12 on. The sentence asserted that the State</w:t>
      </w:r>
      <w:r>
        <w:t xml:space="preserve"> </w:t>
      </w:r>
      <w:r>
        <w:t xml:space="preserve">“</w:t>
      </w:r>
      <w:r>
        <w:t xml:space="preserve">does not owe Plaintiffs the duties alleged.</w:t>
      </w:r>
      <w:r>
        <w:t xml:space="preserve">”</w:t>
      </w:r>
      <w:r>
        <w:t xml:space="preserve"> </w:t>
      </w:r>
      <w:r>
        <w:t xml:space="preserve">When I read that sentence at my desk in Kings Valley, late on a Friday afternoon in October, I sat for a long time without moving. The State of Oregon, having served as trustee of the school lands since 1859, had answered a complaint by a coalition of Oregon school districts and Oregon schoolchildren by stating, on the public record of a court of competent jurisdiction, that it did not owe those schoolchildren the duties of a trustee.</w:t>
      </w:r>
    </w:p>
    <w:p>
      <w:pPr>
        <w:pStyle w:val="BodyText"/>
      </w:pPr>
      <w:r>
        <w:t xml:space="preserve">That is what the State’s strongest defense looks like when the State is asked, in court, what its duties are. The strongest defense, after the slowness has run out, is to deny that the duties exist.</w:t>
      </w:r>
    </w:p>
    <w:p>
      <w:pPr>
        <w:pStyle w:val="BodyText"/>
      </w:pPr>
      <w:r>
        <w:t xml:space="preserve">[PHOTO: Coos County Courthouse exterior; OR Daniel Crowe portrait; OR Dave, Daniel, and Natalie together if such a photo exists.]</w:t>
      </w:r>
    </w:p>
    <w:p>
      <w:pPr>
        <w:pStyle w:val="Heading2"/>
      </w:pPr>
      <w:bookmarkStart w:id="66" w:name="what-i-learned-about-institutional-time"/>
      <w:r>
        <w:t xml:space="preserve">What I learned about institutional time</w:t>
      </w:r>
      <w:bookmarkEnd w:id="66"/>
    </w:p>
    <w:p>
      <w:pPr>
        <w:pStyle w:val="FirstParagraph"/>
      </w:pPr>
      <w:r>
        <w:t xml:space="preserve">I want to close this chapter on the lesson I think is the load-bearing one — not the legal lesson, but the institutional one.</w:t>
      </w:r>
    </w:p>
    <w:p>
      <w:pPr>
        <w:pStyle w:val="BodyText"/>
      </w:pPr>
      <w:r>
        <w:t xml:space="preserve">I thought, when I filed in 2021, that the law would respond to the facts. The facts were strong. The law moved slowly. I had to learn what the law was actually responding to.</w:t>
      </w:r>
    </w:p>
    <w:p>
      <w:pPr>
        <w:pStyle w:val="BodyText"/>
      </w:pPr>
      <w:r>
        <w:t xml:space="preserve">The law, when the State of Oregon is the defendant, responds to the patient assembly of the right plaintiffs, the right counsel, the right doctrine, the right record, and the right courtroom moment — in something close to that order, and over something close to a decade. The State’s institutional time horizon is the time horizon of an entity that, in its corporate person, does not die. The State’s lawyers retire and are replaced. The State’s commissioners are term-limited and rotated. The State’s Land Board changes its three constitutional officers every four years. None of these turnovers reset the clock the State is running on its trust beneficiaries; the clock is continuous, because the institution is continuous, even when no individual inside the institution remembers what the clock is for. That continuity is what makes the State an almost-uncatchable defendant for any individual citizen-plaintiff. The State’s slowness becomes the State’s strongest defense, because the State can outlast any plaintiff who is not, himself, an institution.</w:t>
      </w:r>
    </w:p>
    <w:p>
      <w:pPr>
        <w:pStyle w:val="BodyText"/>
      </w:pPr>
      <w:r>
        <w:t xml:space="preserve">The only thing that can match the State’s institutional time horizon is another institution. OASTL is that institution. The Oregon school districts who joined the case — Siuslaw, Powers, Oakland — are that institution. The children, through their guardians, are that institution. Margaret’s national network is that institution. Daniel is that institution’s general counsel. Natalie is its appellate counsel. The clock the State has been running, since 1859, is finally being met by a clock the beneficiaries can run too.</w:t>
      </w:r>
    </w:p>
    <w:p>
      <w:pPr>
        <w:pStyle w:val="BodyText"/>
      </w:pPr>
      <w:r>
        <w:t xml:space="preserve">I filed in 2021 as a plaintiff. I did not understand, in 2021, what the case I was filing was actually for. I thought the case was for the children currently in Oregon’s schools. The case is for them — but the case is also for the children fifty years from now, and for the children fifty years after that. The trust is a trust across generations. The defense of the trust has to operate on the same horizon the trust does. That is what I learned. That is what the first lawsuit was for.</w:t>
      </w:r>
    </w:p>
    <w:p>
      <w:pPr>
        <w:pStyle w:val="BodyText"/>
      </w:pPr>
      <w:r>
        <w:t xml:space="preserve">The next chapter takes you to Corvallis High School on the morning the Court of Appeals heard oral argument. The State of Oregon, in front of the named beneficiaries of the trust, argued that the named beneficiaries had no legal interest in the trust. The named beneficiaries sat in the audience and listened. The Court of Appeals, on January 28, 2026, told them otherwise.</w:t>
      </w:r>
    </w:p>
    <w:p>
      <w:r>
        <w:pict>
          <v:rect style="width:0;height:1.5pt" o:hralign="center" o:hrstd="t" o:hr="t"/>
        </w:pict>
      </w:r>
    </w:p>
    <w:p>
      <w:pPr>
        <w:pStyle w:val="FirstParagraph"/>
      </w:pPr>
      <w:r>
        <w:rPr>
          <w:i/>
        </w:rPr>
        <w:t xml:space="preserve">— end Chapter 10 —</w:t>
      </w:r>
    </w:p>
    <w:p>
      <w:pPr>
        <w:pStyle w:val="Heading1"/>
      </w:pPr>
      <w:bookmarkStart w:id="67" w:name="chapter-11-corvallis-high-school"/>
      <w:r>
        <w:t xml:space="preserve">Chapter 11 — Corvallis High School</w:t>
      </w:r>
      <w:bookmarkEnd w:id="67"/>
    </w:p>
    <w:p>
      <w:pPr>
        <w:pStyle w:val="FirstParagraph"/>
      </w:pPr>
      <w:r>
        <w:rPr>
          <w:i/>
        </w:rPr>
        <w:t xml:space="preserve">Volume 1: How Oregon Is Trying to Steal the Elliott State Forest from the Common School Fund — General Reader’s Edition.</w:t>
      </w:r>
      <w:r>
        <w:t xml:space="preserve"> </w:t>
      </w:r>
      <w:r>
        <w:rPr>
          <w:i/>
        </w:rPr>
        <w:t xml:space="preserve">Draft v1, 2026-05-10. Dave-first-person. ~2,400 words.</w:t>
      </w:r>
    </w:p>
    <w:p>
      <w:r>
        <w:pict>
          <v:rect style="width:0;height:1.5pt" o:hralign="center" o:hrstd="t" o:hr="t"/>
        </w:pict>
      </w:r>
    </w:p>
    <w:p>
      <w:pPr>
        <w:pStyle w:val="BlockText"/>
      </w:pPr>
      <w:r>
        <w:rPr>
          <w:i/>
        </w:rPr>
        <w:t xml:space="preserve">A court’s decision on the law governing the management of the common school fund will have practical effects on the amount that the common school fund contributes to the schoolchildren plaintiffs’ education.</w:t>
      </w:r>
    </w:p>
    <w:p>
      <w:pPr>
        <w:pStyle w:val="BlockText"/>
      </w:pPr>
      <w:r>
        <w:t xml:space="preserve">— Oregon Court of Appeals,</w:t>
      </w:r>
      <w:r>
        <w:t xml:space="preserve"> </w:t>
      </w:r>
      <w:r>
        <w:rPr>
          <w:i/>
        </w:rPr>
        <w:t xml:space="preserve">Advocates for School Trust Lands v. State of Oregon</w:t>
      </w:r>
      <w:r>
        <w:t xml:space="preserve">, January 28, 2026</w:t>
      </w:r>
    </w:p>
    <w:p>
      <w:r>
        <w:pict>
          <v:rect style="width:0;height:1.5pt" o:hralign="center" o:hrstd="t" o:hr="t"/>
        </w:pict>
      </w:r>
    </w:p>
    <w:p>
      <w:pPr>
        <w:pStyle w:val="FirstParagraph"/>
      </w:pPr>
      <w:r>
        <w:t xml:space="preserve">I want to start with the room.</w:t>
      </w:r>
    </w:p>
    <w:p>
      <w:pPr>
        <w:pStyle w:val="BodyText"/>
      </w:pPr>
      <w:r>
        <w:t xml:space="preserve">The Court of Appeals heard oral argument in our 2023 case in the auditorium of Corvallis High School. Not in a marble courthouse. Not in the appellate panel’s usual chamber in Salem. In a public-school auditorium, with the seats raked toward a stage that, for ordinary use, was set for student assemblies and visiting orchestras and Friday-night plays. On the morning of the argument the stage held a long table, a pair of microphones, a pitcher of water, and three judges in black robes who had driven down from the capital to be there.</w:t>
      </w:r>
    </w:p>
    <w:p>
      <w:pPr>
        <w:pStyle w:val="BodyText"/>
      </w:pPr>
      <w:r>
        <w:t xml:space="preserve">The seats were not empty.</w:t>
      </w:r>
    </w:p>
    <w:p>
      <w:pPr>
        <w:pStyle w:val="BodyText"/>
      </w:pPr>
      <w:r>
        <w:t xml:space="preserve">Natalie Scott — our appellate counsel — had asked the Court of Appeals to hold the argument under the court’s longstanding program of taking oral arguments on the road to Oregon high schools and community colleges. The judges said yes. Natalie picked Corvallis High. She picked it because Corvallis High School is the school the named schoolchildren-plaintiffs in our case attend. She picked it because, when the State of Oregon stood up to argue that those named schoolchildren had no legal interest in the management of the trust the State holds for them, the schoolchildren would be sitting in the room.</w:t>
      </w:r>
    </w:p>
    <w:p>
      <w:pPr>
        <w:pStyle w:val="BodyText"/>
      </w:pPr>
      <w:r>
        <w:t xml:space="preserve">I want to take you into that room now.</w:t>
      </w:r>
    </w:p>
    <w:p>
      <w:pPr>
        <w:pStyle w:val="Heading2"/>
      </w:pPr>
      <w:bookmarkStart w:id="68" w:name="i.-natalies-choice"/>
      <w:r>
        <w:t xml:space="preserve">I. Natalie’s choice</w:t>
      </w:r>
      <w:bookmarkEnd w:id="68"/>
    </w:p>
    <w:p>
      <w:pPr>
        <w:pStyle w:val="FirstParagraph"/>
      </w:pPr>
      <w:r>
        <w:t xml:space="preserve">I have practiced enough professional restraint over the course of this case to know when restraint is the wrong move, and I want to set it aside for one paragraph. Natalie Scott’s decision to argue our 2023 appeal at Corvallis High School was the single most graceful piece of legal stagecraft I have ever watched a lawyer execute on our side of this fight.</w:t>
      </w:r>
    </w:p>
    <w:p>
      <w:pPr>
        <w:pStyle w:val="BodyText"/>
      </w:pPr>
      <w:r>
        <w:t xml:space="preserve">She did not need to do it. The Court of Appeals would have heard the argument in Salem. The reasoning on the page would have been the same. What Natalie understood — what she had understood from the first time she walked our case file — was that the State’s standing argument had a specific weakness, and that the weakness was not legal. The State’s brief was going to argue, in language as careful as the State’s lawyers could make it, that Oregon’s schoolchildren are not the kind of party Oregon’s courts can hear from on the question of how Oregon’s school-trust is managed. The legal weakness of that position was the doctrine. The rhetorical weakness of that position was the room.</w:t>
      </w:r>
    </w:p>
    <w:p>
      <w:pPr>
        <w:pStyle w:val="BodyText"/>
      </w:pPr>
      <w:r>
        <w:t xml:space="preserve">Natalie put the schoolchildren in the room.</w:t>
      </w:r>
    </w:p>
    <w:p>
      <w:pPr>
        <w:pStyle w:val="BodyText"/>
      </w:pPr>
      <w:r>
        <w:t xml:space="preserve">She did not need to plant them. Corvallis High is in Corvallis. The plaintiffs lived where the plaintiffs lived. The school’s principal posted a notice. Civics teachers brought their classes for the morning. Parents who had been following the case found out the argument was open to the public and drove in. A few of our board members — Bob Zybach, Barb, me — sat in the back. The named plaintiffs — the actual children whose names were on the caption of the case — sat with their parents in the middle rows.</w:t>
      </w:r>
    </w:p>
    <w:p>
      <w:pPr>
        <w:pStyle w:val="BodyText"/>
      </w:pPr>
      <w:r>
        <w:t xml:space="preserve">I do not know whether the State’s lawyers, when they walked in, fully registered who was in front of them. I think they did. I think the lawyers understood, the same way Natalie understood, that the room was now part of the argument.</w:t>
      </w:r>
    </w:p>
    <w:p>
      <w:pPr>
        <w:pStyle w:val="Heading2"/>
      </w:pPr>
      <w:bookmarkStart w:id="69" w:name="ii.-what-the-state-said"/>
      <w:r>
        <w:t xml:space="preserve">II. What the State said</w:t>
      </w:r>
      <w:bookmarkEnd w:id="69"/>
    </w:p>
    <w:p>
      <w:pPr>
        <w:pStyle w:val="FirstParagraph"/>
      </w:pPr>
      <w:r>
        <w:t xml:space="preserve">I will not pretend the State’s lawyers were not skilled. They were. The argument the State of Oregon had brought to the Court of Appeals — and that the State of Oregon had won at the trial-court level when our 2023 case was dismissed for lack of standing — was a clean argument as appellate arguments go. It went, in compressed form, like this:</w:t>
      </w:r>
    </w:p>
    <w:p>
      <w:pPr>
        <w:pStyle w:val="BodyText"/>
      </w:pPr>
      <w:r>
        <w:t xml:space="preserve">The Common School Fund is a fund. It is administered by the State. The State has discretion in administering it. Decisions about how the State invests the Fund, how the State manages the lands that produce revenue for the Fund, how much the State chooses to distribute to schools in any given year — these are decisions that belong to the State, not to a court. The schoolchildren receiving the distribution are receiving a</w:t>
      </w:r>
      <w:r>
        <w:t xml:space="preserve"> </w:t>
      </w:r>
      <w:r>
        <w:rPr>
          <w:i/>
        </w:rPr>
        <w:t xml:space="preserve">benefit</w:t>
      </w:r>
      <w:r>
        <w:t xml:space="preserve"> </w:t>
      </w:r>
      <w:r>
        <w:t xml:space="preserve">from a state program. They are not, in any legally meaningful sense,</w:t>
      </w:r>
      <w:r>
        <w:t xml:space="preserve"> </w:t>
      </w:r>
      <w:r>
        <w:rPr>
          <w:i/>
        </w:rPr>
        <w:t xml:space="preserve">beneficiaries</w:t>
      </w:r>
      <w:r>
        <w:t xml:space="preserve"> </w:t>
      </w:r>
      <w:r>
        <w:t xml:space="preserve">whose rights a court is equipped to enforce. If they want the program managed differently, the venue is the legislature, the State Land Board, the ballot box. Not a courtroom.</w:t>
      </w:r>
    </w:p>
    <w:p>
      <w:pPr>
        <w:pStyle w:val="BodyText"/>
      </w:pPr>
      <w:r>
        <w:t xml:space="preserve">It is a clever argument. It works on a reader who has never been told, in plain language, what Article VIII actually says. It works on a reader who has not been walked through the difference between a</w:t>
      </w:r>
      <w:r>
        <w:t xml:space="preserve"> </w:t>
      </w:r>
      <w:r>
        <w:rPr>
          <w:i/>
        </w:rPr>
        <w:t xml:space="preserve">benefit</w:t>
      </w:r>
      <w:r>
        <w:t xml:space="preserve"> </w:t>
      </w:r>
      <w:r>
        <w:t xml:space="preserve">— the kind of thing a state hands out at its discretion — and a</w:t>
      </w:r>
      <w:r>
        <w:t xml:space="preserve"> </w:t>
      </w:r>
      <w:r>
        <w:rPr>
          <w:i/>
        </w:rPr>
        <w:t xml:space="preserve">trust</w:t>
      </w:r>
      <w:r>
        <w:t xml:space="preserve">, the kind of thing the State holds for somebody else and must answer for. It worked on the trial-court judge who had dismissed our 2023 case the first time around.</w:t>
      </w:r>
    </w:p>
    <w:p>
      <w:pPr>
        <w:pStyle w:val="BodyText"/>
      </w:pPr>
      <w:r>
        <w:t xml:space="preserve">It did not work in the room.</w:t>
      </w:r>
    </w:p>
    <w:p>
      <w:pPr>
        <w:pStyle w:val="BodyText"/>
      </w:pPr>
      <w:r>
        <w:t xml:space="preserve">The State’s lawyer stood at the lectern and made the argument with care. He was professional. He did not raise his voice. He laid out the standing doctrine, the cases he wanted the panel to read, the reasons the trial court had been right to dismiss. He used the word</w:t>
      </w:r>
      <w:r>
        <w:t xml:space="preserve"> </w:t>
      </w:r>
      <w:r>
        <w:rPr>
          <w:i/>
        </w:rPr>
        <w:t xml:space="preserve">plaintiffs</w:t>
      </w:r>
      <w:r>
        <w:t xml:space="preserve">. He used the word</w:t>
      </w:r>
      <w:r>
        <w:t xml:space="preserve"> </w:t>
      </w:r>
      <w:r>
        <w:rPr>
          <w:i/>
        </w:rPr>
        <w:t xml:space="preserve">children</w:t>
      </w:r>
      <w:r>
        <w:t xml:space="preserve">. He did not look out at the rows.</w:t>
      </w:r>
    </w:p>
    <w:p>
      <w:pPr>
        <w:pStyle w:val="BodyText"/>
      </w:pPr>
      <w:r>
        <w:t xml:space="preserve">I watched the faces of two of the named plaintiffs while he spoke. They were teenagers. They had been told, before the argument, what was going to happen. They had been told that the State of Oregon was going to argue that they had no legal right to ask about a fund that the Oregon Constitution had been pointing at them for one hundred and sixty-seven years. They had not, I think, fully understood until they heard a state attorney say it in their hearing what it meant to be told that on the record. Their faces did not move much. Their parents’ faces moved more.</w:t>
      </w:r>
    </w:p>
    <w:p>
      <w:pPr>
        <w:pStyle w:val="BodyText"/>
      </w:pPr>
      <w:r>
        <w:t xml:space="preserve">I have watched a lot of meetings over the years in which the State of Oregon argued, in front of an audience of the people the State’s policies were about to harm, that the harm was not the State’s responsibility. I have watched it at Land Board meetings. I have watched it at Joint Ways and Means. I have watched it at hearings in Salem where the people in the back of the room were waved off by the chair as having had their three minutes. The argument at Corvallis High was not the loudest of those moments. It was the quietest. It was also, for the case, the moment that turned.</w:t>
      </w:r>
    </w:p>
    <w:p>
      <w:pPr>
        <w:pStyle w:val="Heading2"/>
      </w:pPr>
      <w:bookmarkStart w:id="70" w:name="iii.-what-natalie-said"/>
      <w:r>
        <w:t xml:space="preserve">III. What Natalie said</w:t>
      </w:r>
      <w:bookmarkEnd w:id="70"/>
    </w:p>
    <w:p>
      <w:pPr>
        <w:pStyle w:val="FirstParagraph"/>
      </w:pPr>
      <w:r>
        <w:t xml:space="preserve">When Natalie stood, she did not raise her voice either. She rarely does. She walked the panel through Article VIII. She walked the panel through the 1859 grant. She walked the panel through</w:t>
      </w:r>
      <w:r>
        <w:t xml:space="preserve"> </w:t>
      </w:r>
      <w:r>
        <w:rPr>
          <w:i/>
        </w:rPr>
        <w:t xml:space="preserve">Eagle Point Irrigation District v. Cowden</w:t>
      </w:r>
      <w:r>
        <w:t xml:space="preserve"> </w:t>
      </w:r>
      <w:r>
        <w:t xml:space="preserve">— the 1931 Oregon Supreme Court decision that called the State’s relationship to the school lands a</w:t>
      </w:r>
      <w:r>
        <w:t xml:space="preserve"> </w:t>
      </w:r>
      <w:r>
        <w:rPr>
          <w:i/>
        </w:rPr>
        <w:t xml:space="preserve">trust of the highest nature</w:t>
      </w:r>
      <w:r>
        <w:t xml:space="preserve"> </w:t>
      </w:r>
      <w:r>
        <w:t xml:space="preserve">— and through the 1992 Attorney General opinion that restated the doctrine for the modern State. And then she walked the panel through Article VIII, Section 8.</w:t>
      </w:r>
    </w:p>
    <w:p>
      <w:pPr>
        <w:pStyle w:val="BodyText"/>
      </w:pPr>
      <w:r>
        <w:t xml:space="preserve">Article VIII, Section 8 is the part of the Oregon Constitution that the 2000 amendment added. It says, in language Oregon’s voters approved at the polls, that the legislature</w:t>
      </w:r>
      <w:r>
        <w:t xml:space="preserve"> </w:t>
      </w:r>
      <w:r>
        <w:rPr>
          <w:i/>
        </w:rPr>
        <w:t xml:space="preserve">shall</w:t>
      </w:r>
      <w:r>
        <w:t xml:space="preserve"> </w:t>
      </w:r>
      <w:r>
        <w:t xml:space="preserve">— not</w:t>
      </w:r>
      <w:r>
        <w:t xml:space="preserve"> </w:t>
      </w:r>
      <w:r>
        <w:rPr>
          <w:i/>
        </w:rPr>
        <w:t xml:space="preserve">may</w:t>
      </w:r>
      <w:r>
        <w:t xml:space="preserve">, not</w:t>
      </w:r>
      <w:r>
        <w:t xml:space="preserve"> </w:t>
      </w:r>
      <w:r>
        <w:rPr>
          <w:i/>
        </w:rPr>
        <w:t xml:space="preserve">should</w:t>
      </w:r>
      <w:r>
        <w:t xml:space="preserve">, but</w:t>
      </w:r>
      <w:r>
        <w:t xml:space="preserve"> </w:t>
      </w:r>
      <w:r>
        <w:rPr>
          <w:i/>
        </w:rPr>
        <w:t xml:space="preserve">shall</w:t>
      </w:r>
      <w:r>
        <w:t xml:space="preserve"> </w:t>
      </w:r>
      <w:r>
        <w:t xml:space="preserve">— appropriate sufficient funds to ensure that the State’s system of public schools is adequately funded. The amendment made the legislature’s duty to fund schools enforceable at law. It did so deliberately. The drafters of the amendment had been frustrated, across multiple decades, by the legislature’s habit of treating school funding as a discretionary line item. They wrote the amendment to remove the discretion.</w:t>
      </w:r>
    </w:p>
    <w:p>
      <w:pPr>
        <w:pStyle w:val="BodyText"/>
      </w:pPr>
      <w:r>
        <w:t xml:space="preserve">Natalie’s argument, in compressed form, was this:</w:t>
      </w:r>
    </w:p>
    <w:p>
      <w:pPr>
        <w:pStyle w:val="BodyText"/>
      </w:pPr>
      <w:r>
        <w:t xml:space="preserve">Whatever else the State’s standing doctrine might do to a generalized citizen who wanted to sue the State about a state program, it cannot bar from the courthouse the named beneficiaries of a constitutional trust whose own constitution makes the State’s duty to them enforceable at law. The trust is real. The duties are real. The beneficiaries —</w:t>
      </w:r>
      <w:r>
        <w:t xml:space="preserve"> </w:t>
      </w:r>
      <w:r>
        <w:rPr>
          <w:i/>
        </w:rPr>
        <w:t xml:space="preserve">those children, in the rows in front of you</w:t>
      </w:r>
      <w:r>
        <w:t xml:space="preserve"> </w:t>
      </w:r>
      <w:r>
        <w:t xml:space="preserve">— are real. The State’s standing argument is a request that the court rule, as a matter of doctrine, that Article VIII is not what it says it is. The court should decline.</w:t>
      </w:r>
    </w:p>
    <w:p>
      <w:pPr>
        <w:pStyle w:val="BodyText"/>
      </w:pPr>
      <w:r>
        <w:t xml:space="preserve">She did not point at the rows. She did not need to. The rows were already there.</w:t>
      </w:r>
    </w:p>
    <w:p>
      <w:r>
        <w:pict>
          <v:rect style="width:0;height:1.5pt" o:hralign="center" o:hrstd="t" o:hr="t"/>
        </w:pict>
      </w:r>
    </w:p>
    <w:p>
      <w:pPr>
        <w:pStyle w:val="Heading3"/>
      </w:pPr>
      <w:bookmarkStart w:id="71" w:name="what-is-article-viii-section-8"/>
      <w:r>
        <w:t xml:space="preserve">What Is Article VIII, Section 8?</w:t>
      </w:r>
      <w:bookmarkEnd w:id="71"/>
    </w:p>
    <w:p>
      <w:pPr>
        <w:pStyle w:val="BlockText"/>
      </w:pPr>
      <w:r>
        <w:t xml:space="preserve">Oregon’s Constitution has had Article VIII — the article on education — since the state’s admission to the Union in 1859. The original Article VIII set up the Common School Fund, named the State Land Board as its trustee, and identified the schoolchildren of Oregon as the beneficiaries of the trust the Fund holds.</w:t>
      </w:r>
    </w:p>
    <w:p>
      <w:pPr>
        <w:pStyle w:val="BlockText"/>
      </w:pPr>
      <w:r>
        <w:t xml:space="preserve">For most of the next 141 years, the architecture was beautiful on paper and quiet in practice. The Fund existed. The trustee existed. The beneficiaries existed. But Oregon’s courts, when asked whether the schoolchildren could</w:t>
      </w:r>
      <w:r>
        <w:t xml:space="preserve"> </w:t>
      </w:r>
      <w:r>
        <w:rPr>
          <w:i/>
        </w:rPr>
        <w:t xml:space="preserve">sue</w:t>
      </w:r>
      <w:r>
        <w:t xml:space="preserve"> </w:t>
      </w:r>
      <w:r>
        <w:t xml:space="preserve">to enforce the trust against the State, mostly said no — the duty was there, but it was not the kind of duty a court would order the State to perform.</w:t>
      </w:r>
    </w:p>
    <w:p>
      <w:pPr>
        <w:pStyle w:val="BlockText"/>
      </w:pPr>
      <w:r>
        <w:t xml:space="preserve">Article VIII, Section 8 changed that. The amendment was placed on the ballot in 2000 and approved by Oregon’s voters. Its text is short. Its operative phrase tells the legislature that it</w:t>
      </w:r>
      <w:r>
        <w:t xml:space="preserve"> </w:t>
      </w:r>
      <w:r>
        <w:rPr>
          <w:i/>
        </w:rPr>
        <w:t xml:space="preserve">shall</w:t>
      </w:r>
      <w:r>
        <w:t xml:space="preserve"> </w:t>
      </w:r>
      <w:r>
        <w:t xml:space="preserve">appropriate sufficient funds to ensure that Oregon’s system of public schools is adequately funded. The word</w:t>
      </w:r>
      <w:r>
        <w:t xml:space="preserve"> </w:t>
      </w:r>
      <w:r>
        <w:rPr>
          <w:i/>
        </w:rPr>
        <w:t xml:space="preserve">shall</w:t>
      </w:r>
      <w:r>
        <w:t xml:space="preserve"> </w:t>
      </w:r>
      <w:r>
        <w:t xml:space="preserve">is the word that does the work. It is the word that converted a moral duty into a legal one.</w:t>
      </w:r>
    </w:p>
    <w:p>
      <w:pPr>
        <w:pStyle w:val="BlockText"/>
      </w:pPr>
      <w:r>
        <w:t xml:space="preserve">What Section 8 gave the schoolchildren-plaintiffs in our 2023 case was the standing argument the trial court had refused them. The trial court had said, in effect, that even if the State was failing the trust, the schoolchildren were not the kind of plaintiff a court would hear. The Court of Appeals, on January 28, 2026, said back: Section 8 is the Constitution Oregon voters wrote. The duty it creates runs to the schoolchildren. The schoolchildren can ask a court to enforce it.</w:t>
      </w:r>
    </w:p>
    <w:p>
      <w:pPr>
        <w:pStyle w:val="BlockText"/>
      </w:pPr>
      <w:r>
        <w:t xml:space="preserve">One sentence in a state constitution, added at the turn of a century by a generation of Oregon voters who had grown tired of waiting, turned out to be the sentence that opened the courthouse door.</w:t>
      </w:r>
    </w:p>
    <w:p>
      <w:r>
        <w:pict>
          <v:rect style="width:0;height:1.5pt" o:hralign="center" o:hrstd="t" o:hr="t"/>
        </w:pict>
      </w:r>
    </w:p>
    <w:p>
      <w:pPr>
        <w:pStyle w:val="Heading2"/>
      </w:pPr>
      <w:bookmarkStart w:id="72" w:name="iv.-the-wait"/>
      <w:r>
        <w:t xml:space="preserve">IV. The wait</w:t>
      </w:r>
      <w:bookmarkEnd w:id="72"/>
    </w:p>
    <w:p>
      <w:pPr>
        <w:pStyle w:val="FirstParagraph"/>
      </w:pPr>
      <w:r>
        <w:t xml:space="preserve">I will not pretend the months between the argument and the opinion were the calmest months I have spent on this case. They were not. We did the work. We organized the 2024 case. We sat through the trial-court rulings in Coos County that, by autumn 2025, had us moving toward discovery on the merits. We waited.</w:t>
      </w:r>
    </w:p>
    <w:p>
      <w:pPr>
        <w:pStyle w:val="BodyText"/>
      </w:pPr>
      <w:r>
        <w:t xml:space="preserve">The Court of Appeals takes the time it takes. The panel that had heard the argument at Corvallis High was deliberating. The opinion would land when the opinion landed. Natalie said the same thing every time I asked, in the same tone:</w:t>
      </w:r>
      <w:r>
        <w:t xml:space="preserve"> </w:t>
      </w:r>
      <w:r>
        <w:rPr>
          <w:i/>
        </w:rPr>
        <w:t xml:space="preserve">We made the argument. The panel will write what the panel writes. Wait.</w:t>
      </w:r>
    </w:p>
    <w:p>
      <w:pPr>
        <w:pStyle w:val="BodyText"/>
      </w:pPr>
      <w:r>
        <w:t xml:space="preserve">I did what I always do when I am waiting on a thing I cannot move. I read. I worked on the substrate. I sat at my desk in Kings Valley and watched the rain come across the Coast Range and tried to picture the room at Corvallis High, and the rows, and the faces of those teenagers, and tried to imagine what an opinion that did right by them would actually say.</w:t>
      </w:r>
    </w:p>
    <w:p>
      <w:pPr>
        <w:pStyle w:val="Heading2"/>
      </w:pPr>
      <w:bookmarkStart w:id="73" w:name="v.-the-morning-of-january-28"/>
      <w:r>
        <w:t xml:space="preserve">V. The morning of January 28</w:t>
      </w:r>
      <w:bookmarkEnd w:id="73"/>
    </w:p>
    <w:p>
      <w:pPr>
        <w:pStyle w:val="FirstParagraph"/>
      </w:pPr>
      <w:r>
        <w:t xml:space="preserve">The opinion came down on January 28, 2026.</w:t>
      </w:r>
    </w:p>
    <w:p>
      <w:pPr>
        <w:pStyle w:val="BodyText"/>
      </w:pPr>
      <w:r>
        <w:t xml:space="preserve">I read it on my desktop at home. Natalie had emailed the link. The PDF opened in my browser. I scrolled to the disposition first — every plaintiff does — and read the word</w:t>
      </w:r>
      <w:r>
        <w:t xml:space="preserve"> </w:t>
      </w:r>
      <w:r>
        <w:rPr>
          <w:i/>
        </w:rPr>
        <w:t xml:space="preserve">Reversed</w:t>
      </w:r>
      <w:r>
        <w:t xml:space="preserve">. Then I went back to the top and read the opinion straight through, slowly, the way I read the State’s filings, the way Jerry Phillips taught me to read State documents twenty-five years ago when he was teaching me what the Elliott actually was.</w:t>
      </w:r>
    </w:p>
    <w:p>
      <w:pPr>
        <w:pStyle w:val="BodyText"/>
      </w:pPr>
      <w:r>
        <w:t xml:space="preserve">The Court was unanimous. The reasoning was clean. The panel held what we had asked them to hold — that the schoolchildren-plaintiffs, the named beneficiaries of the trust the Oregon Constitution describes, have standing to assert the trust against the State that holds it for them. The opinion remanded the case to the trial court for further proceedings on the merits.</w:t>
      </w:r>
    </w:p>
    <w:p>
      <w:pPr>
        <w:pStyle w:val="BodyText"/>
      </w:pPr>
      <w:r>
        <w:t xml:space="preserve">And somewhere in the body of the opinion, in language careful enough that I read it three times to be sure I had it right, was the operative sentence the OASTL litigation has been quoting at every subsequent procedural step:</w:t>
      </w:r>
    </w:p>
    <w:p>
      <w:pPr>
        <w:pStyle w:val="BlockText"/>
      </w:pPr>
      <w:r>
        <w:rPr>
          <w:i/>
        </w:rPr>
        <w:t xml:space="preserve">A court’s decision on the law governing the management of the common school fund will have practical effects on the amount that the common school fund contributes to the schoolchildren plaintiffs’ education.</w:t>
      </w:r>
    </w:p>
    <w:p>
      <w:pPr>
        <w:pStyle w:val="FirstParagraph"/>
      </w:pPr>
      <w:r>
        <w:t xml:space="preserve">I sat at my desk and read it again.</w:t>
      </w:r>
    </w:p>
    <w:p>
      <w:pPr>
        <w:pStyle w:val="BodyText"/>
      </w:pPr>
      <w:r>
        <w:t xml:space="preserve">The sentence is, on its face, a sentence about standing. It says, in technical doctrinal terms, that the schoolchildren-plaintiffs satisfy the</w:t>
      </w:r>
      <w:r>
        <w:t xml:space="preserve"> </w:t>
      </w:r>
      <w:r>
        <w:rPr>
          <w:i/>
        </w:rPr>
        <w:t xml:space="preserve">injury-in-fact</w:t>
      </w:r>
      <w:r>
        <w:t xml:space="preserve"> </w:t>
      </w:r>
      <w:r>
        <w:t xml:space="preserve">test that Oregon’s standing law requires — they have a real, concrete, redressable interest in how the law governing the Fund is decided. That is the legal work the sentence does.</w:t>
      </w:r>
    </w:p>
    <w:p>
      <w:pPr>
        <w:pStyle w:val="BodyText"/>
      </w:pPr>
      <w:r>
        <w:t xml:space="preserve">What the sentence also does, for the constituency I had spent the last decade trying to organize, is something else. It is the first time, in 167 years, that an Oregon appellate court has written down — in the State’s own court, in language the State will be bound by — that the schoolchildren of Oregon’s schools have a legal interest in the management of the trust the State holds for them. That sentence is what the architecture had been waiting for since 1859.</w:t>
      </w:r>
    </w:p>
    <w:p>
      <w:pPr>
        <w:pStyle w:val="BodyText"/>
      </w:pPr>
      <w:r>
        <w:t xml:space="preserve">167 years from Oregon’s admission to the Union. 167 years from President Buchanan’s signature on the Admissions Act. 167 years through every Land Board vote, every Department of State Lands report, every legislative session, every Common School Fund distribution. For 167 years the trust had been in place and the architecture had been in place and the State had been managing the corpus and the beneficiaries had been receiving — or, more often, not receiving — what the State chose to send them. And on January 28, 2026, an Oregon court wrote down, in twenty-eight words, that the beneficiaries had the right to ask.</w:t>
      </w:r>
    </w:p>
    <w:p>
      <w:pPr>
        <w:pStyle w:val="BodyText"/>
      </w:pPr>
      <w:r>
        <w:t xml:space="preserve">[PHOTO: Corvallis High School exterior; OR the Court of Appeals opinion as document facsimile; OR Natalie Scott (Scott Law Group)]</w:t>
      </w:r>
    </w:p>
    <w:p>
      <w:pPr>
        <w:pStyle w:val="Heading2"/>
      </w:pPr>
      <w:bookmarkStart w:id="74" w:name="vi.-the-email-i-sent-on-january-30"/>
      <w:r>
        <w:t xml:space="preserve">VI. The email I sent on January 30</w:t>
      </w:r>
      <w:bookmarkEnd w:id="74"/>
    </w:p>
    <w:p>
      <w:pPr>
        <w:pStyle w:val="FirstParagraph"/>
      </w:pPr>
      <w:r>
        <w:t xml:space="preserve">Two days later I sent an email to about forty people — co-plaintiffs, allies, school-district superintendents, Margaret in Salt Lake, Bill Lansing, John Charles at Cascade Policy, the OASTL board, the Goulds. The subject line was</w:t>
      </w:r>
      <w:r>
        <w:t xml:space="preserve"> </w:t>
      </w:r>
      <w:r>
        <w:rPr>
          <w:i/>
        </w:rPr>
        <w:t xml:space="preserve">MAJOR VICTORY: Court of Appeals Rules for School Trust Lands!</w:t>
      </w:r>
      <w:r>
        <w:t xml:space="preserve"> </w:t>
      </w:r>
      <w:r>
        <w:t xml:space="preserve">The body was the kind of email I write when I am trying to be measured in public and have not yet stopped being moved in private.</w:t>
      </w:r>
    </w:p>
    <w:p>
      <w:pPr>
        <w:pStyle w:val="BodyText"/>
      </w:pPr>
      <w:r>
        <w:t xml:space="preserve">The sentence in the email that I want to land in this chapter is this one:</w:t>
      </w:r>
    </w:p>
    <w:p>
      <w:pPr>
        <w:pStyle w:val="BlockText"/>
      </w:pPr>
      <w:r>
        <w:rPr>
          <w:i/>
        </w:rPr>
        <w:t xml:space="preserve">It brings the entire Elliott back in play and gives Judge Combs the cover to rule as I think he believes.</w:t>
      </w:r>
    </w:p>
    <w:p>
      <w:pPr>
        <w:pStyle w:val="FirstParagraph"/>
      </w:pPr>
      <w:r>
        <w:t xml:space="preserve">I meant it as a strategic note. Read at a distance, that is what it is. The standing victory in the 2023 case clears the doctrine in front of Judge Combs in our 2024 case in Coos County; what we had to fight to establish in the appellate court is now law in the trial court. The State’s standing-based defenses, after January 28, 2026, are done. The Elliott — the actual ground, the actual trees, the actual revenue stream — is back on the table as something the court can reach.</w:t>
      </w:r>
    </w:p>
    <w:p>
      <w:pPr>
        <w:pStyle w:val="BodyText"/>
      </w:pPr>
      <w:r>
        <w:t xml:space="preserve">Read up close, though, the sentence is a sentence about what it had felt like to walk through the years of this case with the sense that the law was not on our side.</w:t>
      </w:r>
      <w:r>
        <w:t xml:space="preserve"> </w:t>
      </w:r>
      <w:r>
        <w:rPr>
          <w:i/>
        </w:rPr>
        <w:t xml:space="preserve">Cover</w:t>
      </w:r>
      <w:r>
        <w:t xml:space="preserve"> </w:t>
      </w:r>
      <w:r>
        <w:t xml:space="preserve">is a strange word for a plaintiff to use about a judge. What I meant by it was the recognition that even the judges most inclined to hear us had been operating in an environment where the doctrinal cover for them to rule with us did not yet exist. After January 28, it did.</w:t>
      </w:r>
    </w:p>
    <w:p>
      <w:pPr>
        <w:pStyle w:val="BodyText"/>
      </w:pPr>
      <w:r>
        <w:t xml:space="preserve">The replies came in over the next several days. Bill Lansing, who has been with this since the early years, wrote back his congratulations. John Charles wrote back from Cascade Policy. Margaret wrote back from Utah; she had been watching the opinion for the same reason the rest of us had — because what was about to happen in Oregon was going to set precedent for every other school-trust state on Margaret’s national list. And a half-dozen school superintendents wrote back asking the question I had been hoping they would ask:</w:t>
      </w:r>
      <w:r>
        <w:t xml:space="preserve"> </w:t>
      </w:r>
      <w:r>
        <w:rPr>
          <w:i/>
        </w:rPr>
        <w:t xml:space="preserve">what do we do now?</w:t>
      </w:r>
    </w:p>
    <w:p>
      <w:pPr>
        <w:pStyle w:val="BodyText"/>
      </w:pPr>
      <w:r>
        <w:t xml:space="preserve">I will tell you what we did then.</w:t>
      </w:r>
    </w:p>
    <w:p>
      <w:pPr>
        <w:pStyle w:val="Heading2"/>
      </w:pPr>
      <w:bookmarkStart w:id="75" w:name="vii.-what-came-next"/>
      <w:r>
        <w:t xml:space="preserve">VII. What came next</w:t>
      </w:r>
      <w:bookmarkEnd w:id="75"/>
    </w:p>
    <w:p>
      <w:pPr>
        <w:pStyle w:val="FirstParagraph"/>
      </w:pPr>
      <w:r>
        <w:t xml:space="preserve">On the same day the Court of Appeals opinion came down — January 28, 2026 — Daniel Crowe served the State of Oregon with our First Request for Production of Documents in the 2024 case. The timing was deliberate. The standing victory had cleared the doctrine in front of Judge Combs. The case in front of Judge Combs was now moving toward discovery on the merits. And the first ask of any beneficiary to a trustee — once the beneficiary has standing to ask at all — is the records of the trust.</w:t>
      </w:r>
    </w:p>
    <w:p>
      <w:pPr>
        <w:pStyle w:val="BodyText"/>
      </w:pPr>
      <w:r>
        <w:t xml:space="preserve">The State had thirty days to respond.</w:t>
      </w:r>
    </w:p>
    <w:p>
      <w:pPr>
        <w:pStyle w:val="BodyText"/>
      </w:pPr>
      <w:r>
        <w:t xml:space="preserve">The State responded on February 27, 2026.</w:t>
      </w:r>
    </w:p>
    <w:p>
      <w:pPr>
        <w:pStyle w:val="BodyText"/>
      </w:pPr>
      <w:r>
        <w:t xml:space="preserve">The Response is the subject of Chapter 12. What I will say here, by way of foreshadowing, is that the Response was not what a trustee’s counsel files when the trustee believes it owes the duties the beneficiaries’ counsel had just won, in the State’s own appellate court, the right to ask about.</w:t>
      </w:r>
    </w:p>
    <w:p>
      <w:pPr>
        <w:pStyle w:val="BodyText"/>
      </w:pPr>
      <w:r>
        <w:t xml:space="preserve">The room at Corvallis High had held the answer to the standing question. The Response on February 27, 2026 — and the Answer the State had filed three months earlier, on October 24, 2025, in which the State of Oregon told a court of competent jurisdiction in plain English that it</w:t>
      </w:r>
      <w:r>
        <w:t xml:space="preserve"> </w:t>
      </w:r>
      <w:r>
        <w:rPr>
          <w:i/>
        </w:rPr>
        <w:t xml:space="preserve">does not owe Plaintiffs the duties alleged</w:t>
      </w:r>
      <w:r>
        <w:t xml:space="preserve"> </w:t>
      </w:r>
      <w:r>
        <w:t xml:space="preserve">— held the answer to a different question.</w:t>
      </w:r>
    </w:p>
    <w:p>
      <w:pPr>
        <w:pStyle w:val="BodyText"/>
      </w:pPr>
      <w:r>
        <w:t xml:space="preserve">The question was: when the schoolchildren of Oregon finally do walk into the courthouse with standing to ask, what is the State going to say back?</w:t>
      </w:r>
    </w:p>
    <w:p>
      <w:pPr>
        <w:pStyle w:val="BodyText"/>
      </w:pPr>
      <w:r>
        <w:t xml:space="preserve">We are about to find out.</w:t>
      </w:r>
    </w:p>
    <w:p>
      <w:r>
        <w:pict>
          <v:rect style="width:0;height:1.5pt" o:hralign="center" o:hrstd="t" o:hr="t"/>
        </w:pict>
      </w:r>
    </w:p>
    <w:p>
      <w:pPr>
        <w:pStyle w:val="FirstParagraph"/>
      </w:pPr>
      <w:r>
        <w:rPr>
          <w:i/>
        </w:rPr>
        <w:t xml:space="preserve">Chapter 12 — The Smoking Gun — takes up the October 24, 2025 Answer, the February 27, 2026 RFP Response, and what the State of Oregon’s own pleading concedes about how the State of Oregon understands its relationship to the children whose trust it holds.</w:t>
      </w:r>
    </w:p>
    <w:p>
      <w:pPr>
        <w:pStyle w:val="Heading1"/>
      </w:pPr>
      <w:bookmarkStart w:id="76" w:name="chapter-12-the-smoking-gun"/>
      <w:r>
        <w:t xml:space="preserve">Chapter 12 — The Smoking Gun</w:t>
      </w:r>
      <w:bookmarkEnd w:id="76"/>
    </w:p>
    <w:p>
      <w:pPr>
        <w:pStyle w:val="FirstParagraph"/>
      </w:pPr>
      <w:r>
        <w:rPr>
          <w:i/>
        </w:rPr>
        <w:t xml:space="preserve">Who Steals from Children: Volume 1 — Oregon and the Elliott. General Reader’s Edition.</w:t>
      </w:r>
      <w:r>
        <w:t xml:space="preserve"> </w:t>
      </w:r>
      <w:r>
        <w:rPr>
          <w:i/>
        </w:rPr>
        <w:t xml:space="preserve">Draft v1, 2026-05-10. Dave-first-person. ~2,600 words.</w:t>
      </w:r>
    </w:p>
    <w:p>
      <w:r>
        <w:pict>
          <v:rect style="width:0;height:1.5pt" o:hralign="center" o:hrstd="t" o:hr="t"/>
        </w:pict>
      </w:r>
    </w:p>
    <w:p>
      <w:pPr>
        <w:pStyle w:val="BlockText"/>
      </w:pPr>
      <w:r>
        <w:rPr>
          <w:i/>
        </w:rPr>
        <w:t xml:space="preserve">“</w:t>
      </w:r>
      <w:r>
        <w:rPr>
          <w:i/>
        </w:rPr>
        <w:t xml:space="preserve">Defendants … do not owe Plaintiffs the duties alleged.</w:t>
      </w:r>
      <w:r>
        <w:rPr>
          <w:i/>
        </w:rPr>
        <w:t xml:space="preserve">”</w:t>
      </w:r>
    </w:p>
    <w:p>
      <w:pPr>
        <w:pStyle w:val="BlockText"/>
      </w:pPr>
      <w:r>
        <w:t xml:space="preserve">— State of Oregon, Answer in</w:t>
      </w:r>
      <w:r>
        <w:t xml:space="preserve"> </w:t>
      </w:r>
      <w:r>
        <w:rPr>
          <w:i/>
        </w:rPr>
        <w:t xml:space="preserve">Siuslaw School District 97J et al. v. State of Oregon et al.</w:t>
      </w:r>
      <w:r>
        <w:t xml:space="preserve">, Coos County Circuit Court Case No. 24CV38372, filed October 24, 2025.</w:t>
      </w:r>
    </w:p>
    <w:p>
      <w:r>
        <w:pict>
          <v:rect style="width:0;height:1.5pt" o:hralign="center" o:hrstd="t" o:hr="t"/>
        </w:pict>
      </w:r>
    </w:p>
    <w:p>
      <w:pPr>
        <w:pStyle w:val="FirstParagraph"/>
      </w:pPr>
      <w:r>
        <w:t xml:space="preserve">I read it three times.</w:t>
      </w:r>
    </w:p>
    <w:p>
      <w:pPr>
        <w:pStyle w:val="BodyText"/>
      </w:pPr>
      <w:r>
        <w:t xml:space="preserve">I want to take you to the office where I read it, because the room matters. It is the corner of our house in Kings Valley where my desk looks out at a stand of Douglas-fir my wife Barb and I planted in 1998, the second year we owned the tree farm. The light comes in over my left shoulder in the afternoons. The Friday afternoon of October 24, 2025 was unseasonably warm. Daniel Crowe had emailed the State’s Answer to me as a PDF attachment, with a short cover note that I do not remember the wording of because by the time I had read the third paragraph of the pleading itself I had stopped processing the cover note.</w:t>
      </w:r>
    </w:p>
    <w:p>
      <w:pPr>
        <w:pStyle w:val="BodyText"/>
      </w:pPr>
      <w:r>
        <w:t xml:space="preserve">The Answer is the document a defendant files in response to a complaint. It is the defendant’s formal first statement of position. Ours had been a long time coming. We had filed the First Amended Complaint in</w:t>
      </w:r>
      <w:r>
        <w:t xml:space="preserve"> </w:t>
      </w:r>
      <w:r>
        <w:rPr>
          <w:i/>
        </w:rPr>
        <w:t xml:space="preserve">Siuslaw School District 97J et al. v. State of Oregon et al.</w:t>
      </w:r>
      <w:r>
        <w:t xml:space="preserve"> </w:t>
      </w:r>
      <w:r>
        <w:t xml:space="preserve">— case number 24CV38372 in the Circuit Court of the State of Oregon for the County of Coos — naming as plaintiffs three Oregon school districts and a group of named schoolchildren, against the State of Oregon, the State Land Board, and the Department of State Lands. The complaint alleged, in substance, that the State held the Common School Fund and the trust lands that fund it in a fiduciary capacity, and that the State had breached the duties any trustee owes its beneficiaries — duties of loyalty, prudence, accounting, productivity, and undivided allegiance to the beneficiary’s interest. The complaint walked the court through the federal grant of 1859, the Oregon Constitution’s Article VIII, the Admissions Act, the Attorney General opinions of 1992 and 2003 that named the State Land Board a trustee in the full common-law sense, the 2000 amendment that made the duty enforceable, and the line of Oregon cases beginning with</w:t>
      </w:r>
      <w:r>
        <w:t xml:space="preserve"> </w:t>
      </w:r>
      <w:r>
        <w:rPr>
          <w:i/>
        </w:rPr>
        <w:t xml:space="preserve">Eagle Point Irrigation District v. Cowden</w:t>
      </w:r>
      <w:r>
        <w:t xml:space="preserve"> </w:t>
      </w:r>
      <w:r>
        <w:t xml:space="preserve">in 1931 that called the relationship a trust</w:t>
      </w:r>
      <w:r>
        <w:t xml:space="preserve"> </w:t>
      </w:r>
      <w:r>
        <w:t xml:space="preserve">“</w:t>
      </w:r>
      <w:r>
        <w:t xml:space="preserve">of the highest nature.</w:t>
      </w:r>
      <w:r>
        <w:t xml:space="preserve">”</w:t>
      </w:r>
    </w:p>
    <w:p>
      <w:pPr>
        <w:pStyle w:val="BodyText"/>
      </w:pPr>
      <w:r>
        <w:t xml:space="preserve">That was what the Plaintiffs had alleged. And the State of Oregon, in the pleading I was reading at my desk, formally answered that it</w:t>
      </w:r>
      <w:r>
        <w:t xml:space="preserve"> </w:t>
      </w:r>
      <w:r>
        <w:rPr>
          <w:i/>
        </w:rPr>
        <w:t xml:space="preserve">does not owe Plaintiffs the duties alleged.</w:t>
      </w:r>
    </w:p>
    <w:p>
      <w:pPr>
        <w:pStyle w:val="BodyText"/>
      </w:pPr>
      <w:r>
        <w:t xml:space="preserve">The first time I read the sentence, I assumed I had misunderstood the pleading’s grammar. There are seven words inside that quotation, and on a first pass they read as a routine litigator’s denial — the kind of paragraph that says, in effect,</w:t>
      </w:r>
      <w:r>
        <w:t xml:space="preserve"> </w:t>
      </w:r>
      <w:r>
        <w:rPr>
          <w:i/>
        </w:rPr>
        <w:t xml:space="preserve">we deny the plaintiffs’ characterization of our obligations.</w:t>
      </w:r>
      <w:r>
        <w:t xml:space="preserve"> </w:t>
      </w:r>
      <w:r>
        <w:t xml:space="preserve">I had read a thousand denials like that in business school case studies and in twenty-five years of board work; you skim them and move on.</w:t>
      </w:r>
    </w:p>
    <w:p>
      <w:pPr>
        <w:pStyle w:val="BodyText"/>
      </w:pPr>
      <w:r>
        <w:t xml:space="preserve">The second time I read it, I read it slowly. The Answer’s drafters had been careful. They had not said the State owed no duties at all. They had said the State</w:t>
      </w:r>
      <w:r>
        <w:t xml:space="preserve"> </w:t>
      </w:r>
      <w:r>
        <w:rPr>
          <w:i/>
        </w:rPr>
        <w:t xml:space="preserve">does not owe Plaintiffs the duties alleged.</w:t>
      </w:r>
      <w:r>
        <w:t xml:space="preserve"> </w:t>
      </w:r>
      <w:r>
        <w:t xml:space="preserve">The qualifier was doing work. The State was not, in this pleading, conceding that it owed Oregon’s schoolchildren the trustee duties our complaint had named. The State was also not, in this pleading, conceding that it was a trustee in the sense our complaint had alleged. Whatever the State considered itself to be in relation to the Common School Fund, it was reserving the right to define that relationship on its own terms, and it was telling the Coos County court that the duties our complaint had described were not the duties the State recognized.</w:t>
      </w:r>
    </w:p>
    <w:p>
      <w:pPr>
        <w:pStyle w:val="BodyText"/>
      </w:pPr>
      <w:r>
        <w:t xml:space="preserve">The third time I read it, I understood what I was looking at.</w:t>
      </w:r>
    </w:p>
    <w:p>
      <w:pPr>
        <w:pStyle w:val="BodyText"/>
      </w:pPr>
      <w:r>
        <w:t xml:space="preserve">The State of Oregon, asked in a court of competent jurisdiction whether it owed Oregon’s schoolchildren the trustee duties our complaint had alleged, had answered no. Not</w:t>
      </w:r>
      <w:r>
        <w:t xml:space="preserve"> </w:t>
      </w:r>
      <w:r>
        <w:rPr>
          <w:i/>
        </w:rPr>
        <w:t xml:space="preserve">we owe some of those duties.</w:t>
      </w:r>
      <w:r>
        <w:t xml:space="preserve"> </w:t>
      </w:r>
      <w:r>
        <w:t xml:space="preserve">Not</w:t>
      </w:r>
      <w:r>
        <w:t xml:space="preserve"> </w:t>
      </w:r>
      <w:r>
        <w:rPr>
          <w:i/>
        </w:rPr>
        <w:t xml:space="preserve">we owe those duties and have been performing them.</w:t>
      </w:r>
      <w:r>
        <w:t xml:space="preserve"> </w:t>
      </w:r>
      <w:r>
        <w:t xml:space="preserve">Not</w:t>
      </w:r>
      <w:r>
        <w:t xml:space="preserve"> </w:t>
      </w:r>
      <w:r>
        <w:rPr>
          <w:i/>
        </w:rPr>
        <w:t xml:space="preserve">the plaintiffs misstate the doctrine.</w:t>
      </w:r>
      <w:r>
        <w:t xml:space="preserve"> </w:t>
      </w:r>
      <w:r>
        <w:t xml:space="preserve">The State, through its own Department of Justice, had filed a pleading that placed in front of the court the proposition that the duties Oregon’s schoolchildren were asking the State to perform were duties the State did not, in its own institutional view, owe them.</w:t>
      </w:r>
    </w:p>
    <w:p>
      <w:pPr>
        <w:pStyle w:val="BodyText"/>
      </w:pPr>
      <w:r>
        <w:t xml:space="preserve">I sat at my desk a long time. The light moved across the floor. I read the sentence a fourth and a fifth time. I read the surrounding paragraphs. I read the prayer-for-relief clause at the end. I closed the PDF, opened it again, and re-read the operative paragraph. The qualifier did not change. The State of Oregon was telling the court, in a pleading that would now sit on the public record of the Coos County Circuit Court forever, that the duties the Plaintiffs had alleged were not duties the State conceded it owed.</w:t>
      </w:r>
    </w:p>
    <w:p>
      <w:pPr>
        <w:pStyle w:val="BodyText"/>
      </w:pPr>
      <w:r>
        <w:t xml:space="preserve">I want to be precise about what I understood and what I did not understand in that moment, because the precision matters.</w:t>
      </w:r>
    </w:p>
    <w:p>
      <w:pPr>
        <w:pStyle w:val="BodyText"/>
      </w:pPr>
      <w:r>
        <w:t xml:space="preserve">What I understood was that the State of Oregon’s litigation position, in the case I had been working on for the better part of a decade, was not that it had been performing its trustee duties imperfectly. The State’s position was that the trustee duties our complaint had described — the duties of loyalty, of prudence, of accounting, of productivity for the beneficiary, of undivided allegiance — were not duties the State acknowledged it owed in the terms we had alleged them. A state trial lawyer reading the Answer carefully will say, with technical accuracy, that the pleading does not deny</w:t>
      </w:r>
      <w:r>
        <w:t xml:space="preserve"> </w:t>
      </w:r>
      <w:r>
        <w:rPr>
          <w:i/>
        </w:rPr>
        <w:t xml:space="preserve">all</w:t>
      </w:r>
      <w:r>
        <w:t xml:space="preserve"> </w:t>
      </w:r>
      <w:r>
        <w:t xml:space="preserve">trustee duties; it denies the</w:t>
      </w:r>
      <w:r>
        <w:t xml:space="preserve"> </w:t>
      </w:r>
      <w:r>
        <w:rPr>
          <w:i/>
        </w:rPr>
        <w:t xml:space="preserve">specific</w:t>
      </w:r>
      <w:r>
        <w:t xml:space="preserve"> </w:t>
      </w:r>
      <w:r>
        <w:t xml:space="preserve">duties the Plaintiffs alleged. That is true. It is also, on the record of the case, the State’s chosen language, and it is bad enough on its own terms. If the duties Oregon’s schoolchildren had asked the State to perform are duties the State will not acknowledge it owes, the work of explaining to a court what duties the State</w:t>
      </w:r>
      <w:r>
        <w:t xml:space="preserve"> </w:t>
      </w:r>
      <w:r>
        <w:rPr>
          <w:i/>
        </w:rPr>
        <w:t xml:space="preserve">will</w:t>
      </w:r>
      <w:r>
        <w:t xml:space="preserve"> </w:t>
      </w:r>
      <w:r>
        <w:t xml:space="preserve">acknowledge falls to the State. Margaret Bird had spent forty years writing letters to state land boards. Daniel Crowe had spent thirty years in courtrooms. Neither of them, when I called them in the hours after I read the Answer, was able to tell me what duties the State of Oregon thinks it owes to the beneficiaries of the Common School Fund.</w:t>
      </w:r>
    </w:p>
    <w:p>
      <w:pPr>
        <w:pStyle w:val="BodyText"/>
      </w:pPr>
      <w:r>
        <w:t xml:space="preserve">What I did not yet understand on the afternoon of October 24 was that the Answer was not a litigation accident, a poorly-chosen phrase, or a placeholder the State would later soften. The Answer was the institutional position the State had held in 2022, when the State Land Board voted to dispose of the Elliott to itself for $99.6 million in the face of $1 billion to $1.3 billion fair-market estimates. The same position the Department of State Lands had taken when it refused Bob Zybach’s December 2019 records request and his April 2020 follow-up. The same position the State had taken when, in the 2023 case, it argued that Oregon’s schoolchildren had no legal standing to question the management of the trust the State held for them. The Answer of October 24, 2025 was the State’s twenty-five-year institutional posture finally rendered into the language of a court pleading the public could read.</w:t>
      </w:r>
    </w:p>
    <w:p>
      <w:r>
        <w:pict>
          <v:rect style="width:0;height:1.5pt" o:hralign="center" o:hrstd="t" o:hr="t"/>
        </w:pict>
      </w:r>
    </w:p>
    <w:p>
      <w:pPr>
        <w:pStyle w:val="FirstParagraph"/>
      </w:pPr>
      <w:r>
        <w:rPr>
          <w:b/>
        </w:rPr>
        <w:t xml:space="preserve">[BOXED INSERT]</w:t>
      </w:r>
    </w:p>
    <w:p>
      <w:pPr>
        <w:pStyle w:val="BodyText"/>
      </w:pPr>
      <w:r>
        <w:rPr>
          <w:b/>
        </w:rPr>
        <w:t xml:space="preserve">What</w:t>
      </w:r>
      <w:r>
        <w:rPr>
          <w:b/>
        </w:rPr>
        <w:t xml:space="preserve"> </w:t>
      </w:r>
      <w:r>
        <w:rPr>
          <w:b/>
        </w:rPr>
        <w:t xml:space="preserve">“</w:t>
      </w:r>
      <w:r>
        <w:rPr>
          <w:b/>
        </w:rPr>
        <w:t xml:space="preserve">Does Not Owe Plaintiffs the Duties Alleged</w:t>
      </w:r>
      <w:r>
        <w:rPr>
          <w:b/>
        </w:rPr>
        <w:t xml:space="preserve">”</w:t>
      </w:r>
      <w:r>
        <w:rPr>
          <w:b/>
        </w:rPr>
        <w:t xml:space="preserve"> </w:t>
      </w:r>
      <w:r>
        <w:rPr>
          <w:b/>
        </w:rPr>
        <w:t xml:space="preserve">Actually Means</w:t>
      </w:r>
    </w:p>
    <w:p>
      <w:pPr>
        <w:pStyle w:val="BodyText"/>
      </w:pPr>
      <w:r>
        <w:rPr>
          <w:i/>
        </w:rPr>
        <w:t xml:space="preserve">The State of Oregon’s Answer in 24CV38372 uses a phrase a careful reader should not let pass without examination.</w:t>
      </w:r>
    </w:p>
    <w:p>
      <w:pPr>
        <w:pStyle w:val="BodyText"/>
      </w:pPr>
      <w:r>
        <w:t xml:space="preserve">What the language</w:t>
      </w:r>
      <w:r>
        <w:t xml:space="preserve"> </w:t>
      </w:r>
      <w:r>
        <w:rPr>
          <w:b/>
        </w:rPr>
        <w:t xml:space="preserve">does not</w:t>
      </w:r>
      <w:r>
        <w:t xml:space="preserve"> </w:t>
      </w:r>
      <w:r>
        <w:t xml:space="preserve">do: it does not, on its face, deny that the State is a trustee of any kind. A state trial lawyer can stand in front of a Coos County jury and say, with technical accuracy, that the State has never denied being a trustee. The pleading does not contain that denial in those words. A reader of this book should be ready for the distinction; it is the door the State will walk through if it can.</w:t>
      </w:r>
    </w:p>
    <w:p>
      <w:pPr>
        <w:pStyle w:val="BodyText"/>
      </w:pPr>
      <w:r>
        <w:t xml:space="preserve">What the language</w:t>
      </w:r>
      <w:r>
        <w:t xml:space="preserve"> </w:t>
      </w:r>
      <w:r>
        <w:rPr>
          <w:b/>
        </w:rPr>
        <w:t xml:space="preserve">does</w:t>
      </w:r>
      <w:r>
        <w:t xml:space="preserve"> </w:t>
      </w:r>
      <w:r>
        <w:t xml:space="preserve">do: it denies the specific duties the Plaintiffs alleged. The Plaintiffs alleged duties of loyalty, prudence, accounting, productivity for the beneficiary, and undivided allegiance to the beneficiary’s interest. These are the duties named by</w:t>
      </w:r>
      <w:r>
        <w:t xml:space="preserve"> </w:t>
      </w:r>
      <w:r>
        <w:rPr>
          <w:i/>
        </w:rPr>
        <w:t xml:space="preserve">Eagle Point Irrigation District v. Cowden</w:t>
      </w:r>
      <w:r>
        <w:t xml:space="preserve"> </w:t>
      </w:r>
      <w:r>
        <w:t xml:space="preserve">(1931), by the 1992 and 2003 Attorney General opinions, by the</w:t>
      </w:r>
      <w:r>
        <w:t xml:space="preserve"> </w:t>
      </w:r>
      <w:r>
        <w:rPr>
          <w:i/>
        </w:rPr>
        <w:t xml:space="preserve">Restatement (Third) of Trusts</w:t>
      </w:r>
      <w:r>
        <w:t xml:space="preserve">, and by the Oregon Uniform Trust Code at ORS 130.650 through 130.710. By formally answering that it does not owe the Plaintiffs</w:t>
      </w:r>
      <w:r>
        <w:t xml:space="preserve"> </w:t>
      </w:r>
      <w:r>
        <w:rPr>
          <w:i/>
        </w:rPr>
        <w:t xml:space="preserve">the duties alleged</w:t>
      </w:r>
      <w:r>
        <w:t xml:space="preserve">, the State has, on the public record of the Coos County Circuit Court, declined to acknowledge that those specific duties — the ones the doctrine has named — are duties the State concedes it owes.</w:t>
      </w:r>
    </w:p>
    <w:p>
      <w:pPr>
        <w:pStyle w:val="BodyText"/>
      </w:pPr>
      <w:r>
        <w:t xml:space="preserve">What a state trial lawyer</w:t>
      </w:r>
      <w:r>
        <w:t xml:space="preserve"> </w:t>
      </w:r>
      <w:r>
        <w:rPr>
          <w:b/>
        </w:rPr>
        <w:t xml:space="preserve">will</w:t>
      </w:r>
      <w:r>
        <w:t xml:space="preserve"> </w:t>
      </w:r>
      <w:r>
        <w:t xml:space="preserve">be able to say:</w:t>
      </w:r>
      <w:r>
        <w:t xml:space="preserve"> </w:t>
      </w:r>
      <w:r>
        <w:t xml:space="preserve">“</w:t>
      </w:r>
      <w:r>
        <w:t xml:space="preserve">We never denied being a trustee.</w:t>
      </w:r>
      <w:r>
        <w:t xml:space="preserve">”</w:t>
      </w:r>
      <w:r>
        <w:t xml:space="preserve"> </w:t>
      </w:r>
      <w:r>
        <w:t xml:space="preserve">Technically correct. He will say it.</w:t>
      </w:r>
    </w:p>
    <w:p>
      <w:pPr>
        <w:pStyle w:val="BodyText"/>
      </w:pPr>
      <w:r>
        <w:t xml:space="preserve">What a state trial lawyer</w:t>
      </w:r>
      <w:r>
        <w:t xml:space="preserve"> </w:t>
      </w:r>
      <w:r>
        <w:rPr>
          <w:b/>
        </w:rPr>
        <w:t xml:space="preserve">will not</w:t>
      </w:r>
      <w:r>
        <w:t xml:space="preserve"> </w:t>
      </w:r>
      <w:r>
        <w:t xml:space="preserve">be able to say: that the State of Oregon, when given the chance to acknowledge that it owes Oregon’s schoolchildren the trustee duties the common law has spelled out for two hundred years, did so. That chance was October 24, 2025. The State declined.</w:t>
      </w:r>
    </w:p>
    <w:p>
      <w:pPr>
        <w:pStyle w:val="BodyText"/>
      </w:pPr>
      <w:r>
        <w:t xml:space="preserve">The reader does not need the Latin or the case citations to understand the asymmetry. A trustee that will not say, on a court pleading, that it owes the standard trustee duties has, by its silence and its qualifier, told you what it thinks of the trust.</w:t>
      </w:r>
    </w:p>
    <w:p>
      <w:r>
        <w:pict>
          <v:rect style="width:0;height:1.5pt" o:hralign="center" o:hrstd="t" o:hr="t"/>
        </w:pict>
      </w:r>
    </w:p>
    <w:p>
      <w:pPr>
        <w:pStyle w:val="FirstParagraph"/>
      </w:pPr>
      <w:r>
        <w:rPr>
          <w:rStyle w:val="VerbatimChar"/>
        </w:rPr>
        <w:t xml:space="preserve">[PHOTO: the State's Answer as document facsimile; the operative sentence — "do not owe Plaintiffs the duties alleged" — highlighted on the page.]</w:t>
      </w:r>
    </w:p>
    <w:p>
      <w:r>
        <w:pict>
          <v:rect style="width:0;height:1.5pt" o:hralign="center" o:hrstd="t" o:hr="t"/>
        </w:pict>
      </w:r>
    </w:p>
    <w:p>
      <w:pPr>
        <w:pStyle w:val="FirstParagraph"/>
      </w:pPr>
      <w:r>
        <w:t xml:space="preserve">Three months after the Answer, on January 28, 2026, the Oregon Court of Appeals issued the opinion that restored the schoolchildren-plaintiffs’ standing. I wrote to about forty plaintiffs and allies that evening with the subject line</w:t>
      </w:r>
      <w:r>
        <w:t xml:space="preserve"> </w:t>
      </w:r>
      <w:r>
        <w:rPr>
          <w:i/>
        </w:rPr>
        <w:t xml:space="preserve">MAJOR VICTORY: Court of Appeals Rules for School Trust Lands!</w:t>
      </w:r>
      <w:r>
        <w:t xml:space="preserve"> </w:t>
      </w:r>
      <w:r>
        <w:t xml:space="preserve">and the first line</w:t>
      </w:r>
      <w:r>
        <w:t xml:space="preserve"> </w:t>
      </w:r>
      <w:r>
        <w:rPr>
          <w:i/>
        </w:rPr>
        <w:t xml:space="preserve">It brings the entire Elliott back in play.</w:t>
      </w:r>
      <w:r>
        <w:t xml:space="preserve"> </w:t>
      </w:r>
      <w:r>
        <w:t xml:space="preserve">That same day — by Daniel’s deliberate design — Daniel served on the State of Oregon Plaintiffs’ First Request for Production of Documents in 24CV38372.</w:t>
      </w:r>
    </w:p>
    <w:p>
      <w:pPr>
        <w:pStyle w:val="BodyText"/>
      </w:pPr>
      <w:r>
        <w:t xml:space="preserve">A First Request for Production is the document that lets one party in a lawsuit ask the other for the relevant records. In a case where the State of Oregon stands as the trustee of an intergenerational fund and the Plaintiffs include school districts and schoolchildren whose education depends on that fund’s distributions, the records Daniel asked for were the records any trust lawyer would have asked for first. The accounting ledgers. The distribution data. The internal directives that show what the trustee told itself it was doing. The communications surrounding the Elliott transaction. The financial records of the corpus over the years our breach claims cover.</w:t>
      </w:r>
    </w:p>
    <w:p>
      <w:pPr>
        <w:pStyle w:val="BodyText"/>
      </w:pPr>
      <w:r>
        <w:t xml:space="preserve">The State of Oregon responded on February 27, 2026.</w:t>
      </w:r>
    </w:p>
    <w:p>
      <w:pPr>
        <w:pStyle w:val="BodyText"/>
      </w:pPr>
      <w:r>
        <w:t xml:space="preserve">Daniel’s later motion describes the response in plain language: it consisted</w:t>
      </w:r>
      <w:r>
        <w:t xml:space="preserve"> </w:t>
      </w:r>
      <w:r>
        <w:rPr>
          <w:i/>
        </w:rPr>
        <w:t xml:space="preserve">“</w:t>
      </w:r>
      <w:r>
        <w:rPr>
          <w:i/>
        </w:rPr>
        <w:t xml:space="preserve">largely of</w:t>
      </w:r>
      <w:r>
        <w:rPr>
          <w:i/>
        </w:rPr>
        <w:t xml:space="preserve"> </w:t>
      </w:r>
      <w:r>
        <w:rPr>
          <w:i/>
        </w:rPr>
        <w:t xml:space="preserve">‘</w:t>
      </w:r>
      <w:r>
        <w:rPr>
          <w:i/>
        </w:rPr>
        <w:t xml:space="preserve">General Objections.</w:t>
      </w:r>
      <w:r>
        <w:rPr>
          <w:i/>
        </w:rPr>
        <w:t xml:space="preserve">’</w:t>
      </w:r>
      <w:r>
        <w:rPr>
          <w:i/>
        </w:rPr>
        <w:t xml:space="preserve">”</w:t>
      </w:r>
      <w:r>
        <w:t xml:space="preserve"> </w:t>
      </w:r>
      <w:r>
        <w:t xml:space="preserve">I sat with the response for a week before I fully understood what Daniel meant by that phrase. A General Objection, in Oregon civil procedure, is a paragraph at the top of a discovery response that asserts a broad set of reservations — attorney-client privilege, work product, public-officer privilege, vagueness, overbreadth, burden — and then applies them across the whole response without engaging the specifics of any particular request. Oregon’s Rules of Civil Procedure require that an objection</w:t>
      </w:r>
      <w:r>
        <w:t xml:space="preserve"> </w:t>
      </w:r>
      <w:r>
        <w:t xml:space="preserve">“</w:t>
      </w:r>
      <w:r>
        <w:t xml:space="preserve">state with particularity</w:t>
      </w:r>
      <w:r>
        <w:t xml:space="preserve">”</w:t>
      </w:r>
      <w:r>
        <w:t xml:space="preserve"> </w:t>
      </w:r>
      <w:r>
        <w:t xml:space="preserve">the grounds for objecting. A blanket General Objection does not particularize anything. It is the procedural form of declining to participate in discovery, written in the vocabulary of a participation.</w:t>
      </w:r>
    </w:p>
    <w:p>
      <w:pPr>
        <w:pStyle w:val="BodyText"/>
      </w:pPr>
      <w:r>
        <w:t xml:space="preserve">The State did produce some documents. The Common School Fund Annual Financial Report for the fiscal year ended June 30, 2025 — a thirty-seven-page document the State publishes every year on its public website regardless of any litigation. A two-page CSF Fact Sheet. The Legislative Fiscal Office’s seven-page 2025–27 Budget Review of the Department of State Lands. Two one-page Excel spreadsheets labeled, respectively,</w:t>
      </w:r>
      <w:r>
        <w:t xml:space="preserve"> </w:t>
      </w:r>
      <w:r>
        <w:rPr>
          <w:i/>
        </w:rPr>
        <w:t xml:space="preserve">DSL Statutory Investment Sale to Cover Operating Expenses</w:t>
      </w:r>
      <w:r>
        <w:t xml:space="preserve"> </w:t>
      </w:r>
      <w:r>
        <w:t xml:space="preserve">and</w:t>
      </w:r>
      <w:r>
        <w:t xml:space="preserve"> </w:t>
      </w:r>
      <w:r>
        <w:rPr>
          <w:i/>
        </w:rPr>
        <w:t xml:space="preserve">Rev Exp Const.</w:t>
      </w:r>
    </w:p>
    <w:p>
      <w:pPr>
        <w:pStyle w:val="BodyText"/>
      </w:pPr>
      <w:r>
        <w:t xml:space="preserve">That was the entirety of what the trustee gave the beneficiaries’ counsel when the beneficiaries’ counsel asked for the trust’s books.</w:t>
      </w:r>
    </w:p>
    <w:p>
      <w:pPr>
        <w:pStyle w:val="BodyText"/>
      </w:pPr>
      <w:r>
        <w:t xml:space="preserve">What the State did not produce was the substantive trust-accounting data — the native digital ledgers that would let the Plaintiffs reconcile the Common School Fund’s distributions against the management’s decisions over the period our claims cover. What the State did not produce were the internal communications, the directives, the meeting notes, the decision-records that would let a Plaintiff see</w:t>
      </w:r>
      <w:r>
        <w:t xml:space="preserve"> </w:t>
      </w:r>
      <w:r>
        <w:rPr>
          <w:i/>
        </w:rPr>
        <w:t xml:space="preserve">why</w:t>
      </w:r>
      <w:r>
        <w:t xml:space="preserve"> </w:t>
      </w:r>
      <w:r>
        <w:t xml:space="preserve">the State had done what its public reports show it did. The</w:t>
      </w:r>
      <w:r>
        <w:t xml:space="preserve"> </w:t>
      </w:r>
      <w:r>
        <w:t xml:space="preserve">“</w:t>
      </w:r>
      <w:r>
        <w:t xml:space="preserve">what</w:t>
      </w:r>
      <w:r>
        <w:t xml:space="preserve">”</w:t>
      </w:r>
      <w:r>
        <w:t xml:space="preserve"> </w:t>
      </w:r>
      <w:r>
        <w:t xml:space="preserve">without the</w:t>
      </w:r>
      <w:r>
        <w:t xml:space="preserve"> </w:t>
      </w:r>
      <w:r>
        <w:t xml:space="preserve">“</w:t>
      </w:r>
      <w:r>
        <w:t xml:space="preserve">why.</w:t>
      </w:r>
      <w:r>
        <w:t xml:space="preserve">”</w:t>
      </w:r>
    </w:p>
    <w:p>
      <w:pPr>
        <w:pStyle w:val="BodyText"/>
      </w:pPr>
      <w:r>
        <w:t xml:space="preserve">I want to give you Daniel’s own language for what the State was doing, because Daniel’s reading of the discovery posture turned out to be the most important sentence in the entire 2026 record of the case. In the Motion to Compel that followed, Daniel wrote:</w:t>
      </w:r>
    </w:p>
    <w:p>
      <w:pPr>
        <w:pStyle w:val="BlockText"/>
      </w:pPr>
      <w:r>
        <w:rPr>
          <w:i/>
        </w:rPr>
        <w:t xml:space="preserve">“</w:t>
      </w:r>
      <w:r>
        <w:rPr>
          <w:i/>
        </w:rPr>
        <w:t xml:space="preserve">Producing the</w:t>
      </w:r>
      <w:r>
        <w:rPr>
          <w:i/>
        </w:rPr>
        <w:t xml:space="preserve"> </w:t>
      </w:r>
      <w:r>
        <w:rPr>
          <w:i/>
        </w:rPr>
        <w:t xml:space="preserve">‘</w:t>
      </w:r>
      <w:r>
        <w:rPr>
          <w:i/>
        </w:rPr>
        <w:t xml:space="preserve">what</w:t>
      </w:r>
      <w:r>
        <w:rPr>
          <w:i/>
        </w:rPr>
        <w:t xml:space="preserve">’</w:t>
      </w:r>
      <w:r>
        <w:rPr>
          <w:i/>
        </w:rPr>
        <w:t xml:space="preserve"> </w:t>
      </w:r>
      <w:r>
        <w:rPr>
          <w:i/>
        </w:rPr>
        <w:t xml:space="preserve">(the raw numbers) while hiding the</w:t>
      </w:r>
      <w:r>
        <w:rPr>
          <w:i/>
        </w:rPr>
        <w:t xml:space="preserve"> </w:t>
      </w:r>
      <w:r>
        <w:rPr>
          <w:i/>
        </w:rPr>
        <w:t xml:space="preserve">‘</w:t>
      </w:r>
      <w:r>
        <w:rPr>
          <w:i/>
        </w:rPr>
        <w:t xml:space="preserve">why</w:t>
      </w:r>
      <w:r>
        <w:rPr>
          <w:i/>
        </w:rPr>
        <w:t xml:space="preserve">’</w:t>
      </w:r>
      <w:r>
        <w:rPr>
          <w:i/>
        </w:rPr>
        <w:t xml:space="preserve"> </w:t>
      </w:r>
      <w:r>
        <w:rPr>
          <w:i/>
        </w:rPr>
        <w:t xml:space="preserve">(the internal directives) is a tactical attempt to starve this litigation of the evidence needed to prove a breach of fiduciary duty.</w:t>
      </w:r>
      <w:r>
        <w:rPr>
          <w:i/>
        </w:rPr>
        <w:t xml:space="preserve">”</w:t>
      </w:r>
    </w:p>
    <w:p>
      <w:pPr>
        <w:pStyle w:val="FirstParagraph"/>
      </w:pPr>
      <w:r>
        <w:t xml:space="preserve">That sentence is what the discovery stonewall actually consists of. It is not a routine procedural dispute. It is the State of Oregon refusing to produce the records that would let the beneficiaries’ counsel see the decision-trail behind the distributions — refusing, in other words, to account for what it has done with the trust.</w:t>
      </w:r>
    </w:p>
    <w:p>
      <w:pPr>
        <w:pStyle w:val="BodyText"/>
      </w:pPr>
      <w:r>
        <w:t xml:space="preserve">Daniel did what an experienced litigator does next. He conferred. Oregon’s Uniform Trial Court Rule 5.010 requires that the moving party engage in good-faith conferral before filing a motion to compel. Daniel wrote to the Department of Justice attorney, Christina Beatty-Walters, and asked the State to withdraw its General Objections and produce the native Excel ledgers, the budget data, and the responsive internal communications. The State declined.</w:t>
      </w:r>
    </w:p>
    <w:p>
      <w:pPr>
        <w:pStyle w:val="BodyText"/>
      </w:pPr>
      <w:r>
        <w:t xml:space="preserve">On April 21, 2026, Daniel prepared</w:t>
      </w:r>
      <w:r>
        <w:t xml:space="preserve"> </w:t>
      </w:r>
      <w:r>
        <w:rPr>
          <w:b/>
        </w:rPr>
        <w:t xml:space="preserve">Plaintiffs’ Motion to Compel Production of Documents</w:t>
      </w:r>
      <w:r>
        <w:t xml:space="preserve"> </w:t>
      </w:r>
      <w:r>
        <w:t xml:space="preserve">along with his Declaration in Support. The Motion walked the court through what Oregon law requires of a fiduciary defendant in discovery — the</w:t>
      </w:r>
      <w:r>
        <w:t xml:space="preserve"> </w:t>
      </w:r>
      <w:r>
        <w:rPr>
          <w:i/>
        </w:rPr>
        <w:t xml:space="preserve">Wood v. Honeyman</w:t>
      </w:r>
      <w:r>
        <w:t xml:space="preserve"> </w:t>
      </w:r>
      <w:r>
        <w:t xml:space="preserve">duty to provide full and accurate accounts, the procedural requirements of ORCP 36 and 43, the September 5, 2025 Letter Opinion in this same case that had already ruled common-law trust principles govern the State’s fiduciary duties, and the Court of Appeals opinion of January 28, 2026 confirming that the management of the Common School Fund has practical effects on the Plaintiffs.</w:t>
      </w:r>
    </w:p>
    <w:p>
      <w:pPr>
        <w:pStyle w:val="BodyText"/>
      </w:pPr>
      <w:r>
        <w:t xml:space="preserve">The Motion and Declaration were formally filed with the Coos County Circuit Court on</w:t>
      </w:r>
      <w:r>
        <w:t xml:space="preserve"> </w:t>
      </w:r>
      <w:r>
        <w:rPr>
          <w:b/>
        </w:rPr>
        <w:t xml:space="preserve">May 2, 2026</w:t>
      </w:r>
      <w:r>
        <w:t xml:space="preserve">, after the April 21 through April 28 conferral period and standard rules-compliance work. Oral argument has been requested. The State’s response will follow on the court’s schedule.</w:t>
      </w:r>
    </w:p>
    <w:p>
      <w:pPr>
        <w:pStyle w:val="BodyText"/>
      </w:pPr>
      <w:r>
        <w:t xml:space="preserve">That is where the procedural record sits at the moment I am writing this chapter. The State of Oregon, in October 2025, told a court of the State of Oregon that the duties Oregon’s schoolchildren had asked it to perform were not duties it concedes it owes in the terms alleged. The State of Oregon, in February 2026, refused to give the beneficiaries’ counsel the records of the trust the State holds for them. The State of Oregon, on May 2, 2026, is now subject to a motion to compel that asks the Coos County Circuit Court to order it to produce those records.</w:t>
      </w:r>
    </w:p>
    <w:p>
      <w:pPr>
        <w:pStyle w:val="BodyText"/>
      </w:pPr>
      <w:r>
        <w:t xml:space="preserve">The smoking gun is not a leaked memo. It is on the public record of the Coos County Circuit Court, in a pleading the State filed on October 24, 2025, in language any reader can verify. The State’s posture is not a litigation accident, not a placeholder, not a draft. It is the institutional position the State has held for twenty-five years, finally written down where a court has to read it.</w:t>
      </w:r>
    </w:p>
    <w:p>
      <w:pPr>
        <w:pStyle w:val="BodyText"/>
      </w:pPr>
      <w:r>
        <w:t xml:space="preserve">I closed the PDF that Friday evening in October and walked outside. The Douglas-fir we planted in 1998 are now about sixty feet tall. The light was going. I stood at the edge of the field where the trees come down to the meadow and thought about what we were going to have to do.</w:t>
      </w:r>
    </w:p>
    <w:p>
      <w:pPr>
        <w:pStyle w:val="BodyText"/>
      </w:pPr>
      <w:r>
        <w:t xml:space="preserve">The next chapter is what we are going to have to do.</w:t>
      </w:r>
    </w:p>
    <w:p>
      <w:r>
        <w:pict>
          <v:rect style="width:0;height:1.5pt" o:hralign="center" o:hrstd="t" o:hr="t"/>
        </w:pict>
      </w:r>
    </w:p>
    <w:p>
      <w:pPr>
        <w:pStyle w:val="FirstParagraph"/>
      </w:pPr>
      <w:r>
        <w:rPr>
          <w:i/>
        </w:rPr>
        <w:t xml:space="preserve">Chapter 13 — Who Stops This — is the call to action. The reader has now seen the State’s posture, in the State’s own language. The chapter that follows tells her, in her own role — parent, school-board member, journalist, lawyer, ally — what the move is from her chair.</w:t>
      </w:r>
    </w:p>
    <w:p>
      <w:pPr>
        <w:pStyle w:val="Heading1"/>
      </w:pPr>
      <w:bookmarkStart w:id="77" w:name="chapter-13-who-stops-this"/>
      <w:r>
        <w:t xml:space="preserve">Chapter 13 — Who Stops This</w:t>
      </w:r>
      <w:bookmarkEnd w:id="77"/>
    </w:p>
    <w:p>
      <w:pPr>
        <w:pStyle w:val="BlockText"/>
      </w:pPr>
      <w:r>
        <w:rPr>
          <w:i/>
        </w:rPr>
        <w:t xml:space="preserve">“</w:t>
      </w:r>
      <w:r>
        <w:rPr>
          <w:i/>
        </w:rPr>
        <w:t xml:space="preserve">The forest belongs to the children. The trust says so. The Constitution says so. The State of Oregon says, in writing, that it does not.</w:t>
      </w:r>
      <w:r>
        <w:rPr>
          <w:i/>
        </w:rPr>
        <w:t xml:space="preserve">”</w:t>
      </w:r>
      <w:r>
        <w:t xml:space="preserve"> </w:t>
      </w:r>
      <w:r>
        <w:t xml:space="preserve">— from the Preface</w:t>
      </w:r>
    </w:p>
    <w:p>
      <w:pPr>
        <w:pStyle w:val="FirstParagraph"/>
      </w:pPr>
      <w:r>
        <w:t xml:space="preserve">[PHOTO: a closing image — a Coast Range Douglas-fir; OR the Library Seal; OR Dave at his desk; OR the Elliott from the air]</w:t>
      </w:r>
    </w:p>
    <w:p>
      <w:pPr>
        <w:pStyle w:val="BodyText"/>
      </w:pPr>
      <w:r>
        <w:t xml:space="preserve">A book that documents a theft and then walks away from the reader has not done its work. You have read this far. You are now one of the people who knows.</w:t>
      </w:r>
    </w:p>
    <w:p>
      <w:pPr>
        <w:pStyle w:val="BodyText"/>
      </w:pPr>
      <w:r>
        <w:t xml:space="preserve">I am going to address you by cohort, because the move available to a parent in Coos Bay is not the move available to a state senator, and the move available to a state senator is not the move available to a reporter at</w:t>
      </w:r>
      <w:r>
        <w:t xml:space="preserve"> </w:t>
      </w:r>
      <w:r>
        <w:rPr>
          <w:i/>
        </w:rPr>
        <w:t xml:space="preserve">The Oregonian</w:t>
      </w:r>
      <w:r>
        <w:t xml:space="preserve">. The architecture only holds where someone in each chair does the thing that chair can do. So I am going to name the thing.</w:t>
      </w:r>
    </w:p>
    <w:p>
      <w:r>
        <w:pict>
          <v:rect style="width:0;height:1.5pt" o:hralign="center" o:hrstd="t" o:hr="t"/>
        </w:pict>
      </w:r>
    </w:p>
    <w:p>
      <w:pPr>
        <w:pStyle w:val="Heading2"/>
      </w:pPr>
      <w:bookmarkStart w:id="78" w:name="X495e5cde7701870b1052f198cc2e823f99d337f"/>
      <w:r>
        <w:t xml:space="preserve">To Oregon parents and school-district administrators</w:t>
      </w:r>
      <w:bookmarkEnd w:id="78"/>
    </w:p>
    <w:p>
      <w:pPr>
        <w:pStyle w:val="FirstParagraph"/>
      </w:pPr>
      <w:r>
        <w:t xml:space="preserve">The asset that was supposed to fund your children’s education is being taken. Not in 1907. Now. The Land Board voted. The bonds issued. The Answer was filed. The State of Oregon is currently on the record in Coos County Circuit Court saying it does not owe your children the duties the 1859 Admissions Act and the Oregon Constitution put on it.</w:t>
      </w:r>
    </w:p>
    <w:p>
      <w:pPr>
        <w:pStyle w:val="BodyText"/>
      </w:pPr>
      <w:r>
        <w:t xml:space="preserve">Here is your move. At the next public meeting of your school board, ask the board, on the record, a single question:</w:t>
      </w:r>
      <w:r>
        <w:t xml:space="preserve"> </w:t>
      </w:r>
      <w:r>
        <w:rPr>
          <w:i/>
        </w:rPr>
        <w:t xml:space="preserve">What did this district do when the State took the asset that was supposed to fund our children’s education?</w:t>
      </w:r>
      <w:r>
        <w:t xml:space="preserve"> </w:t>
      </w:r>
      <w:r>
        <w:t xml:space="preserve">Bring this book. Set it on the table. The answer you receive will tell you who in your local district has been paying attention, who has been told and forgot, and who has not yet been told. If you are a superintendent or a business manager, the same question is yours to put to district counsel:</w:t>
      </w:r>
      <w:r>
        <w:t xml:space="preserve"> </w:t>
      </w:r>
      <w:r>
        <w:rPr>
          <w:i/>
        </w:rPr>
        <w:t xml:space="preserve">Has this district preserved its standing to be heard on the Common School Fund?</w:t>
      </w:r>
      <w:r>
        <w:t xml:space="preserve"> </w:t>
      </w:r>
      <w:r>
        <w:t xml:space="preserve">The Court of Appeals settled the standing question on January 28, 2026. The next move is for districts to use it.</w:t>
      </w:r>
    </w:p>
    <w:p>
      <w:pPr>
        <w:pStyle w:val="BodyText"/>
      </w:pPr>
      <w:r>
        <w:t xml:space="preserve">Then carry the question one rung up. The Oregon School Boards Association is the institutional voice of the boards that represent the beneficiary class. In October 2016, Margaret Bird stood at an OSBA conference and told them that no state in the 235-year history of school trust lands had spent more than it earned the way Oregon had. Ten years on, the question for OSBA is what it has done with what she told them. Your board can put that question on the OSBA agenda. One resolution from one district, picked up by ten more, becomes a statewide caucus inside the association that represents you.</w:t>
      </w:r>
    </w:p>
    <w:p>
      <w:pPr>
        <w:pStyle w:val="BodyText"/>
      </w:pPr>
      <w:r>
        <w:t xml:space="preserve">If you are a parent who is not on the board and not on a district staff, the move is smaller and just as load-bearing. Lend the book to one other parent. Forward the Library link to your PTA. Show up to a State Land Board meeting once — they are public; the agendas are online; the schoolchildren who are the named plaintiffs in</w:t>
      </w:r>
      <w:r>
        <w:t xml:space="preserve"> </w:t>
      </w:r>
      <w:r>
        <w:rPr>
          <w:i/>
        </w:rPr>
        <w:t xml:space="preserve">Advocates for School Trust Lands v. State of Oregon</w:t>
      </w:r>
      <w:r>
        <w:t xml:space="preserve"> </w:t>
      </w:r>
      <w:r>
        <w:t xml:space="preserve">have already been in that room. Their constituency is every parent in the state who would like the 1859 promise honored for the children sitting in front of them. You were that constituency before you opened this book. You are it more consciously now.</w:t>
      </w:r>
    </w:p>
    <w:p>
      <w:r>
        <w:pict>
          <v:rect style="width:0;height:1.5pt" o:hralign="center" o:hrstd="t" o:hr="t"/>
        </w:pict>
      </w:r>
    </w:p>
    <w:p>
      <w:pPr>
        <w:pStyle w:val="Heading2"/>
      </w:pPr>
      <w:bookmarkStart w:id="79" w:name="to-oregon-legislators"/>
      <w:r>
        <w:t xml:space="preserve">To Oregon legislators</w:t>
      </w:r>
      <w:bookmarkEnd w:id="79"/>
    </w:p>
    <w:p>
      <w:pPr>
        <w:pStyle w:val="FirstParagraph"/>
      </w:pPr>
      <w:r>
        <w:t xml:space="preserve">The path back is statutory and constitutional, and most of the doctrinal floor for the path back is already on Oregon’s books and has been since 1977.</w:t>
      </w:r>
    </w:p>
    <w:p>
      <w:pPr>
        <w:pStyle w:val="BodyText"/>
      </w:pPr>
      <w:r>
        <w:t xml:space="preserve">Attorney General Opinion 7450, issued that year, ruled that off-purpose use of the Elliott was prohibited where it adversely affected the fund’s financial contribution. The opinion was never amended. Every move the State has made on the Elliott since the early 1990s has bypassed Opinion 7450 without overturning it. A legislature that wishes to restore the trust does not need to invent new doctrine. It needs to enforce the doctrine the State’s own chief legal officer wrote down forty-nine years ago.</w:t>
      </w:r>
    </w:p>
    <w:p>
      <w:pPr>
        <w:pStyle w:val="BodyText"/>
      </w:pPr>
      <w:r>
        <w:t xml:space="preserve">The 2019 bond substitution did not extinguish the trust’s claim on the Elliott. It converted the form of the claim from a working asset to a line item in the state budget. The bonds can be retired against an audited accounting that returns the working asset to the trust. The fiduciary posture is recoverable.</w:t>
      </w:r>
    </w:p>
    <w:p>
      <w:pPr>
        <w:pStyle w:val="BodyText"/>
      </w:pPr>
      <w:r>
        <w:t xml:space="preserve">SB 147, passed in June 2025 [VERIFY: June 14 vs June 25, 2025; v1 substrate conflicts and the conflict is unresolved at press], repealed ORS 530.450 — the statutory provision that since 1957 had indefinitely withdrawn the Elliott from sale [VERIFY: v1 Ch 9 dates the provision to the 1930s; Ch 12 to 1957;</w:t>
      </w:r>
      <w:r>
        <w:t xml:space="preserve"> </w:t>
      </w:r>
      <w:r>
        <w:rPr>
          <w:i/>
        </w:rPr>
        <w:t xml:space="preserve">Cascadia Wildlands v. ODSL</w:t>
      </w:r>
      <w:r>
        <w:t xml:space="preserve"> </w:t>
      </w:r>
      <w:r>
        <w:t xml:space="preserve">(2019) upheld it under the 1957 framing]. SB 147 is a statute. Statutes can be repealed. The 2022 OSU plan was political; it can be reversed politically, in the same way the 2017 Lone Rock sale was reversed under public pressure once the public could see what was happening.</w:t>
      </w:r>
    </w:p>
    <w:p>
      <w:pPr>
        <w:pStyle w:val="BodyText"/>
      </w:pPr>
      <w:r>
        <w:t xml:space="preserve">Court Boice’s April 8, 2024 open letter — addressed by name to Governor Tina Kotek, Secretary of State LaVonne Griffin-Valade, and Treasurer Tobias Read — is on the public record as the witness that the structural plan was visible to anyone willing to look. The letter exists. It was sent. It was received. Tobias Read, by name, is the State Treasurer who has voted on this conversion at every Land Board meeting since he was Treasurer. Tina Kotek, by name, is the Governor who could intervene and has not. Each of you reading this who holds a legislative office knows what your committee can do. Education can hold a hearing. Ways and Means can decline further support for the conversion. The committee of inquiry the Oregon Constitution permits is on the table any session a legislator chooses to convene one.</w:t>
      </w:r>
    </w:p>
    <w:p>
      <w:pPr>
        <w:pStyle w:val="BodyText"/>
      </w:pPr>
      <w:r>
        <w:t xml:space="preserve">You took an oath of office. The oath says you will uphold the Oregon Constitution. Article VIII, Sections 2, 5, and 8 of that Constitution put the school trust on you. We are not asking you to violate your oath. We are asking you to act on it.</w:t>
      </w:r>
    </w:p>
    <w:p>
      <w:r>
        <w:pict>
          <v:rect style="width:0;height:1.5pt" o:hralign="center" o:hrstd="t" o:hr="t"/>
        </w:pict>
      </w:r>
    </w:p>
    <w:p>
      <w:pPr>
        <w:pStyle w:val="Heading2"/>
      </w:pPr>
      <w:bookmarkStart w:id="80" w:name="to-the-oregon-press-corps"/>
      <w:r>
        <w:t xml:space="preserve">To the Oregon press corps</w:t>
      </w:r>
      <w:bookmarkEnd w:id="80"/>
    </w:p>
    <w:p>
      <w:pPr>
        <w:pStyle w:val="FirstParagraph"/>
      </w:pPr>
      <w:r>
        <w:rPr>
          <w:i/>
        </w:rPr>
        <w:t xml:space="preserve">The Oregonian</w:t>
      </w:r>
      <w:r>
        <w:t xml:space="preserve">. OPB.</w:t>
      </w:r>
      <w:r>
        <w:t xml:space="preserve"> </w:t>
      </w:r>
      <w:r>
        <w:rPr>
          <w:i/>
        </w:rPr>
        <w:t xml:space="preserve">Willamette Week</w:t>
      </w:r>
      <w:r>
        <w:t xml:space="preserve">. The Coos Bay</w:t>
      </w:r>
      <w:r>
        <w:t xml:space="preserve"> </w:t>
      </w:r>
      <w:r>
        <w:rPr>
          <w:i/>
        </w:rPr>
        <w:t xml:space="preserve">World</w:t>
      </w:r>
      <w:r>
        <w:t xml:space="preserve">. The Eugene</w:t>
      </w:r>
      <w:r>
        <w:t xml:space="preserve"> </w:t>
      </w:r>
      <w:r>
        <w:rPr>
          <w:i/>
        </w:rPr>
        <w:t xml:space="preserve">Register-Guard</w:t>
      </w:r>
      <w:r>
        <w:t xml:space="preserve">. The Coast newspapers. The document trove is open. The story has not been written.</w:t>
      </w:r>
    </w:p>
    <w:p>
      <w:pPr>
        <w:pStyle w:val="BodyText"/>
      </w:pPr>
      <w:r>
        <w:t xml:space="preserve">The State’s October 24, 2025 Answer is a public filing in Coos County Circuit Court. The operative language is</w:t>
      </w:r>
      <w:r>
        <w:t xml:space="preserve"> </w:t>
      </w:r>
      <w:r>
        <w:rPr>
          <w:i/>
        </w:rPr>
        <w:t xml:space="preserve">“</w:t>
      </w:r>
      <w:r>
        <w:rPr>
          <w:i/>
        </w:rPr>
        <w:t xml:space="preserve">does not owe Plaintiffs the duties alleged.</w:t>
      </w:r>
      <w:r>
        <w:rPr>
          <w:i/>
        </w:rPr>
        <w:t xml:space="preserve">”</w:t>
      </w:r>
      <w:r>
        <w:t xml:space="preserve"> </w:t>
      </w:r>
      <w:r>
        <w:t xml:space="preserve">A state, on a public docket, claiming it owes no fiduciary duty to the children it has been holding land in trust for since 1859. That is a story. It is also a story your archives can be searched against — the years of Land Board coverage your paper has run, set next to the Answer your state’s lawyers have just filed. A reporter who walks that comparison will have a feature inside a week.</w:t>
      </w:r>
    </w:p>
    <w:p>
      <w:pPr>
        <w:pStyle w:val="BodyText"/>
      </w:pPr>
      <w:r>
        <w:t xml:space="preserve">The OSU page 28 admission of a $2.1 million annual deficit projected for fifty years, in OSU’s own December 2021 document, is a story. The MOU between the Department of State Lands and OSU, executed as the architecture required, then implemented across a sequence of meetings that did not meet the requirements of the public-meetings law — that is a story. The 2019 bond substitution, which John Charles described as the taxpayers buying a state forest they already owned, is a story your business desk should have on the calendar.</w:t>
      </w:r>
    </w:p>
    <w:p>
      <w:pPr>
        <w:pStyle w:val="BodyText"/>
      </w:pPr>
      <w:r>
        <w:t xml:space="preserve">Margaret Bird’s December 11, 2022 letter to the State Land Board is a prelitigation warning every reporter on the education beat should have seen at the time.</w:t>
      </w:r>
      <w:r>
        <w:t xml:space="preserve"> </w:t>
      </w:r>
      <w:r>
        <w:rPr>
          <w:i/>
        </w:rPr>
        <w:t xml:space="preserve">“</w:t>
      </w:r>
      <w:r>
        <w:rPr>
          <w:i/>
        </w:rPr>
        <w:t xml:space="preserve">Decoupling,</w:t>
      </w:r>
      <w:r>
        <w:rPr>
          <w:i/>
        </w:rPr>
        <w:t xml:space="preserve">”</w:t>
      </w:r>
      <w:r>
        <w:t xml:space="preserve"> </w:t>
      </w:r>
      <w:r>
        <w:t xml:space="preserve">she wrote,</w:t>
      </w:r>
      <w:r>
        <w:t xml:space="preserve"> </w:t>
      </w:r>
      <w:r>
        <w:rPr>
          <w:i/>
        </w:rPr>
        <w:t xml:space="preserve">“</w:t>
      </w:r>
      <w:r>
        <w:rPr>
          <w:i/>
        </w:rPr>
        <w:t xml:space="preserve">is a euphemism for selling.</w:t>
      </w:r>
      <w:r>
        <w:rPr>
          <w:i/>
        </w:rPr>
        <w:t xml:space="preserve">”</w:t>
      </w:r>
      <w:r>
        <w:t xml:space="preserve"> </w:t>
      </w:r>
      <w:r>
        <w:t xml:space="preserve">Three and a half years later, the question for every Oregon paper of record is why no one on the beat surfaced that letter in 2022 or 2023, and what the coverage of the Elliott would have looked like if they had.</w:t>
      </w:r>
    </w:p>
    <w:p>
      <w:pPr>
        <w:pStyle w:val="BodyText"/>
      </w:pPr>
      <w:r>
        <w:t xml:space="preserve">I am not asking the press corps to take a side. I am asking it to read the documents that are now public, ask the three named Land Board members the questions that are now obvious, print what the documents say, and let the reader draw the conclusion.</w:t>
      </w:r>
    </w:p>
    <w:p>
      <w:r>
        <w:pict>
          <v:rect style="width:0;height:1.5pt" o:hralign="center" o:hrstd="t" o:hr="t"/>
        </w:pict>
      </w:r>
    </w:p>
    <w:p>
      <w:pPr>
        <w:pStyle w:val="Heading2"/>
      </w:pPr>
      <w:bookmarkStart w:id="81" w:name="to-the-trust-and-environmental-law-bar"/>
      <w:r>
        <w:t xml:space="preserve">To the trust-and-environmental-law bar</w:t>
      </w:r>
      <w:bookmarkEnd w:id="81"/>
    </w:p>
    <w:p>
      <w:pPr>
        <w:pStyle w:val="FirstParagraph"/>
      </w:pPr>
      <w:r>
        <w:t xml:space="preserve">The January 28, 2026 Court of Appeals opinion in</w:t>
      </w:r>
      <w:r>
        <w:t xml:space="preserve"> </w:t>
      </w:r>
      <w:r>
        <w:rPr>
          <w:i/>
        </w:rPr>
        <w:t xml:space="preserve">Advocates for School Trust Lands v. State of Oregon</w:t>
      </w:r>
      <w:r>
        <w:t xml:space="preserve"> </w:t>
      </w:r>
      <w:r>
        <w:t xml:space="preserve">is the doctrinal anchor for the next case. The standing question is settled. The merits await.</w:t>
      </w:r>
    </w:p>
    <w:p>
      <w:pPr>
        <w:pStyle w:val="BodyText"/>
      </w:pPr>
      <w:r>
        <w:t xml:space="preserve">The 1977 Attorney General Opinion 7450 is the in-state doctrinal floor — the unrescinded Oregon authority that holds off-purpose use of the Elliott unlawful where it adversely affects the fund. The 1992 and 2003 Oregon AG opinions are the in-state doctrinal anchors affirming the trust character. The 1910 New Mexico–Arizona Enabling Act trust framework is the comparative-strength template — the federal architecture other Western states have used to discipline trustee conduct where Oregon’s enabling language reads weaker on the page but the trust character is no less real.</w:t>
      </w:r>
    </w:p>
    <w:p>
      <w:pPr>
        <w:pStyle w:val="BodyText"/>
      </w:pPr>
      <w:r>
        <w:t xml:space="preserve">There is a generation of trust-and-environmental law practice waiting for the practitioners who take this case forward.</w:t>
      </w:r>
      <w:r>
        <w:t xml:space="preserve"> </w:t>
      </w:r>
      <w:r>
        <w:rPr>
          <w:i/>
        </w:rPr>
        <w:t xml:space="preserve">Advocates</w:t>
      </w:r>
      <w:r>
        <w:t xml:space="preserve"> </w:t>
      </w:r>
      <w:r>
        <w:t xml:space="preserve">is in trial-court discovery in Coos County. The companion 2023 case is at the Oregon Supreme Court on the petition for review. The appellate posture has been opened. The documentary record is rich. The beneficiary class is sympathetic. The defendant is the State of Oregon — which has now committed itself, on the record, to the position that it owes the beneficiaries no duty. A bar that wishes to test the limits of state fiduciary liability has been handed a teaching case.</w:t>
      </w:r>
    </w:p>
    <w:p>
      <w:pPr>
        <w:pStyle w:val="BodyText"/>
      </w:pPr>
      <w:r>
        <w:t xml:space="preserve">If you are a young lawyer reading this, the case file is reproducible. Your state has trust lands too. The pattern is portable.</w:t>
      </w:r>
    </w:p>
    <w:p>
      <w:r>
        <w:pict>
          <v:rect style="width:0;height:1.5pt" o:hralign="center" o:hrstd="t" o:hr="t"/>
        </w:pict>
      </w:r>
    </w:p>
    <w:p>
      <w:pPr>
        <w:pStyle w:val="Heading2"/>
      </w:pPr>
      <w:bookmarkStart w:id="82" w:name="X834509d6da29f5b25a664e9a7e28e3902019280"/>
      <w:r>
        <w:t xml:space="preserve">To the national state-trust-lands community</w:t>
      </w:r>
      <w:bookmarkEnd w:id="82"/>
    </w:p>
    <w:p>
      <w:pPr>
        <w:pStyle w:val="FirstParagraph"/>
      </w:pPr>
      <w:r>
        <w:t xml:space="preserve">This audience knows Margaret. Many of you will hear her at the NASTL meeting in 2026. The reason to read this volume is not to learn what Oregon is — you know — but to have the documentary record in hand when your own state begins the moves Oregon has made.</w:t>
      </w:r>
    </w:p>
    <w:p>
      <w:pPr>
        <w:pStyle w:val="BodyText"/>
      </w:pPr>
      <w:r>
        <w:t xml:space="preserve">The Elliott case is the cleanest documentary record currently in flight on the question Margaret has been working on for forty years: how the trust architecture either holds or fails when an institution begins to harvest itself. Oregon is the worked example. Oregon is the case file. The pattern repeats. The bond-substitution move, the research-forest framing, the public-meeting-law theater, the</w:t>
      </w:r>
      <w:r>
        <w:t xml:space="preserve"> </w:t>
      </w:r>
      <w:r>
        <w:rPr>
          <w:i/>
        </w:rPr>
        <w:t xml:space="preserve">adverse-financial-effect</w:t>
      </w:r>
      <w:r>
        <w:t xml:space="preserve"> </w:t>
      </w:r>
      <w:r>
        <w:t xml:space="preserve">test bypassed without amendment — your jurisdiction will see versions of each of these. The volumes that follow this one will name Utah, Nebraska, Colorado, and beyond. The series is the field’s case file, assembled state by state from the discovery records, trustee meetings, and AG opinions that show where the architecture held and where it gave way.</w:t>
      </w:r>
    </w:p>
    <w:p>
      <w:pPr>
        <w:pStyle w:val="BodyText"/>
      </w:pPr>
      <w:r>
        <w:t xml:space="preserve">Bring this book to your trustee. Bring it to your AG’s office. Bring it to your state’s school-finance committee. The architecture you have spent your career inside is being tested in Oregon now. The volume in your hand is the test result.</w:t>
      </w:r>
    </w:p>
    <w:p>
      <w:r>
        <w:pict>
          <v:rect style="width:0;height:1.5pt" o:hralign="center" o:hrstd="t" o:hr="t"/>
        </w:pict>
      </w:r>
    </w:p>
    <w:p>
      <w:pPr>
        <w:pStyle w:val="Heading2"/>
      </w:pPr>
      <w:bookmarkStart w:id="83" w:name="to-the-watchful-crew"/>
      <w:r>
        <w:t xml:space="preserve">To the watchful crew</w:t>
      </w:r>
      <w:bookmarkEnd w:id="83"/>
    </w:p>
    <w:p>
      <w:pPr>
        <w:pStyle w:val="FirstParagraph"/>
      </w:pPr>
      <w:r>
        <w:t xml:space="preserve">That phrase belongs to Margaret. The architecture works where someone is willing to defend it across the decades it has to run, and the willingness has to be cultivated in each generation because the architecture cannot defend itself. The Elliott case is the live test of whether Oregon’s schoolchildren still have such a crew.</w:t>
      </w:r>
    </w:p>
    <w:p>
      <w:pPr>
        <w:pStyle w:val="BodyText"/>
      </w:pPr>
      <w:r>
        <w:t xml:space="preserve">The membership is not formal. There is no roster. There is a recognition, in each chair, that the trust has been put on us and that we are the generation that either keeps it or loses it on our watch. The people in 1859 who wrote the constitutional architecture cannot defend it from where they are. The schoolchildren who are the beneficiaries cannot defend it from where they are. Margaret Bird, Daniel Crowe, Natalie Scott, the OASTL board, the five named plaintiffs, the Coos County reporter who has been covering the case, the school-board member in eastern Oregon who has begun asking questions — these are the watchful crew currently on station. There are not enough of them.</w:t>
      </w:r>
    </w:p>
    <w:p>
      <w:pPr>
        <w:pStyle w:val="BodyText"/>
      </w:pPr>
      <w:r>
        <w:t xml:space="preserve">If you read this book and recognized yourself, the move is to join. Sign the Library mailing list. Send Margaret’s NASTL chapter to one colleague. Pick up a state — yours, or one whose trust you have known about — and start writing down what its documentary record actually says. The book in your hand was assembled from one person reading discovery, one document at a time, with help. You can do that too. The architecture needs you to.</w:t>
      </w:r>
    </w:p>
    <w:p>
      <w:r>
        <w:pict>
          <v:rect style="width:0;height:1.5pt" o:hralign="center" o:hrstd="t" o:hr="t"/>
        </w:pict>
      </w:r>
    </w:p>
    <w:p>
      <w:pPr>
        <w:pStyle w:val="FirstParagraph"/>
      </w:pPr>
      <w:r>
        <w:t xml:space="preserve">The 1859 architecture said the Elliott belongs to Oregon’s schoolchildren forever. The State of Oregon does not currently believe that. The work in front of us is to make Oregon believe it again, on the documentary record this book has put on the page.</w:t>
      </w:r>
    </w:p>
    <w:p>
      <w:pPr>
        <w:pStyle w:val="BodyText"/>
      </w:pPr>
      <w:r>
        <w:t xml:space="preserve">Who steals from children? On the evidence we now hold, the State of Oregon. The next move belongs to the people who, having read this far, are going to refuse to let that stand.</w:t>
      </w:r>
    </w:p>
    <w:p>
      <w:pPr>
        <w:pStyle w:val="BodyText"/>
      </w:pPr>
      <w:r>
        <w:t xml:space="preserve">— Dave Sullivan, Coos County, Oregon, 2026.</w:t>
      </w:r>
    </w:p>
    <w:p>
      <w:pPr>
        <w:pStyle w:val="Heading1"/>
      </w:pPr>
      <w:bookmarkStart w:id="84" w:name="documentary-record"/>
      <w:r>
        <w:t xml:space="preserve">Documentary Record</w:t>
      </w:r>
      <w:bookmarkEnd w:id="84"/>
    </w:p>
    <w:p>
      <w:pPr>
        <w:pStyle w:val="FirstParagraph"/>
      </w:pPr>
      <w:r>
        <w:rPr>
          <w:i/>
        </w:rPr>
        <w:t xml:space="preserve">Back matter to</w:t>
      </w:r>
      <w:r>
        <w:t xml:space="preserve"> </w:t>
      </w:r>
      <w:r>
        <w:t xml:space="preserve">Who Steals from Children: Volume 1 — Oregon and the Elliott</w:t>
      </w:r>
      <w:r>
        <w:t xml:space="preserve"> </w:t>
      </w:r>
      <w:r>
        <w:rPr>
          <w:i/>
        </w:rPr>
        <w:t xml:space="preserve">(General Reader’s Edition). The five sections that follow are the reader’s verification apparatus. Third-person reference register: dense, source-anchored, terse. The reader uses this section to confirm, not to be entertained. Section E —</w:t>
      </w:r>
      <w:r>
        <w:rPr>
          <w:i/>
        </w:rPr>
        <w:t xml:space="preserve"> </w:t>
      </w:r>
      <w:r>
        <w:rPr>
          <w:i/>
        </w:rPr>
        <w:t xml:space="preserve">“</w:t>
      </w:r>
      <w:r>
        <w:rPr>
          <w:i/>
        </w:rPr>
        <w:t xml:space="preserve">How to Verify Anything in This Book</w:t>
      </w:r>
      <w:r>
        <w:rPr>
          <w:i/>
        </w:rPr>
        <w:t xml:space="preserve">”</w:t>
      </w:r>
      <w:r>
        <w:rPr>
          <w:i/>
        </w:rPr>
        <w:t xml:space="preserve"> </w:t>
      </w:r>
      <w:r>
        <w:rPr>
          <w:i/>
        </w:rPr>
        <w:t xml:space="preserve">— names the public-records and substrate paths a parent, journalist, school-board member, or lawyer can use to test any factual claim the body makes.</w:t>
      </w:r>
    </w:p>
    <w:p>
      <w:r>
        <w:pict>
          <v:rect style="width:0;height:1.5pt" o:hralign="center" o:hrstd="t" o:hr="t"/>
        </w:pict>
      </w:r>
    </w:p>
    <w:p>
      <w:pPr>
        <w:pStyle w:val="Heading2"/>
      </w:pPr>
      <w:bookmarkStart w:id="85" w:name="a.-cast-of-characters"/>
      <w:r>
        <w:t xml:space="preserve">A. Cast of Characters</w:t>
      </w:r>
      <w:bookmarkEnd w:id="85"/>
    </w:p>
    <w:p>
      <w:pPr>
        <w:pStyle w:val="FirstParagraph"/>
      </w:pPr>
      <w:r>
        <w:rPr>
          <w:b/>
        </w:rPr>
        <w:t xml:space="preserve">Beuter, John</w:t>
      </w:r>
      <w:r>
        <w:t xml:space="preserve"> </w:t>
      </w:r>
      <w:r>
        <w:t xml:space="preserve">— natural-resource economist; in 1994, on commission from the Oregon Department of Forestry, produced the analysis concluding that the Elliott’s market value was</w:t>
      </w:r>
      <w:r>
        <w:t xml:space="preserve"> </w:t>
      </w:r>
      <w:r>
        <w:t xml:space="preserve">“</w:t>
      </w:r>
      <w:r>
        <w:t xml:space="preserve">not likely less than $600 million, and could well be in the neighborhood of a billion dollars.</w:t>
      </w:r>
      <w:r>
        <w:t xml:space="preserve">”</w:t>
      </w:r>
      <w:r>
        <w:t xml:space="preserve"> </w:t>
      </w:r>
      <w:r>
        <w:t xml:space="preserve">The Beuter figure, when later compounded forward by Phillips and others, anchors the $790M–$1.3B fair-value range that the State’s $99.6M appraisal abandons.</w:t>
      </w:r>
    </w:p>
    <w:p>
      <w:pPr>
        <w:pStyle w:val="BodyText"/>
      </w:pPr>
      <w:r>
        <w:rPr>
          <w:b/>
        </w:rPr>
        <w:t xml:space="preserve">Bird, Margaret</w:t>
      </w:r>
      <w:r>
        <w:t xml:space="preserve"> </w:t>
      </w:r>
      <w:r>
        <w:t xml:space="preserve">— President of the national Advocates for School Trust Lands (ASTL); forty years inside school-trust architecture, beginning at the Utah State Office of Education in 1990; co-author and forewriter of this book; author of the December 11, 2022 letter to the Oregon State Land Board.</w:t>
      </w:r>
    </w:p>
    <w:p>
      <w:pPr>
        <w:pStyle w:val="BodyText"/>
      </w:pPr>
      <w:r>
        <w:rPr>
          <w:b/>
        </w:rPr>
        <w:t xml:space="preserve">Boice, Court</w:t>
      </w:r>
      <w:r>
        <w:t xml:space="preserve"> </w:t>
      </w:r>
      <w:r>
        <w:t xml:space="preserve">— Oregon State Representative; issued an April 8, 2024 open letter to Governor Kotek, State Treasurer Read, and Secretary of State Griffin-Valade naming the Elliott decoupling and demanding accountability.</w:t>
      </w:r>
    </w:p>
    <w:p>
      <w:pPr>
        <w:pStyle w:val="BodyText"/>
      </w:pPr>
      <w:r>
        <w:rPr>
          <w:b/>
        </w:rPr>
        <w:t xml:space="preserve">Brown, Kate</w:t>
      </w:r>
      <w:r>
        <w:t xml:space="preserve"> </w:t>
      </w:r>
      <w:r>
        <w:t xml:space="preserve">— Oregon Governor 2015–2023; voted at the State Land Board on the February 14, 2017 sale and the May 9, 2017 reversal; presided over the period in which the OSU research-forest concept was developed.</w:t>
      </w:r>
    </w:p>
    <w:p>
      <w:pPr>
        <w:pStyle w:val="BodyText"/>
      </w:pPr>
      <w:r>
        <w:rPr>
          <w:b/>
        </w:rPr>
        <w:t xml:space="preserve">Cascade Policy Institute</w:t>
      </w:r>
      <w:r>
        <w:t xml:space="preserve"> </w:t>
      </w:r>
      <w:r>
        <w:t xml:space="preserve">— Portland-based policy organization; author John A. Charles Jr. quoted in the book on the fiduciary problem with the decoupling.</w:t>
      </w:r>
    </w:p>
    <w:p>
      <w:pPr>
        <w:pStyle w:val="BodyText"/>
      </w:pPr>
      <w:r>
        <w:rPr>
          <w:b/>
        </w:rPr>
        <w:t xml:space="preserve">Chamberlain, George E.</w:t>
      </w:r>
      <w:r>
        <w:t xml:space="preserve"> </w:t>
      </w:r>
      <w:r>
        <w:t xml:space="preserve">— Oregon Governor 1903–1909; author of the 1907 message to the legislature observing that Oregon’s lost school lands would have been</w:t>
      </w:r>
      <w:r>
        <w:t xml:space="preserve"> </w:t>
      </w:r>
      <w:r>
        <w:t xml:space="preserve">“</w:t>
      </w:r>
      <w:r>
        <w:t xml:space="preserve">five or six times as large</w:t>
      </w:r>
      <w:r>
        <w:t xml:space="preserve">”</w:t>
      </w:r>
      <w:r>
        <w:t xml:space="preserve"> </w:t>
      </w:r>
      <w:r>
        <w:t xml:space="preserve">had the trust been administered with fidelity.</w:t>
      </w:r>
    </w:p>
    <w:p>
      <w:pPr>
        <w:pStyle w:val="BodyText"/>
      </w:pPr>
      <w:r>
        <w:rPr>
          <w:b/>
        </w:rPr>
        <w:t xml:space="preserve">Charles, John A., Jr.</w:t>
      </w:r>
      <w:r>
        <w:t xml:space="preserve"> </w:t>
      </w:r>
      <w:r>
        <w:t xml:space="preserve">— President, Cascade Policy Institute; quoted in Chapter 6 on the 2019 bond substitution:</w:t>
      </w:r>
      <w:r>
        <w:t xml:space="preserve"> </w:t>
      </w:r>
      <w:r>
        <w:t xml:space="preserve">“</w:t>
      </w:r>
      <w:r>
        <w:t xml:space="preserve">Without knowing it, taxpayers bought a state forest that they already owned.</w:t>
      </w:r>
      <w:r>
        <w:t xml:space="preserve">”</w:t>
      </w:r>
    </w:p>
    <w:p>
      <w:pPr>
        <w:pStyle w:val="BodyText"/>
      </w:pPr>
      <w:r>
        <w:rPr>
          <w:b/>
        </w:rPr>
        <w:t xml:space="preserve">Crowe, Daniel Zene</w:t>
      </w:r>
      <w:r>
        <w:t xml:space="preserve"> </w:t>
      </w:r>
      <w:r>
        <w:t xml:space="preserve">— General Counsel for OASTL; lead counsel in</w:t>
      </w:r>
      <w:r>
        <w:t xml:space="preserve"> </w:t>
      </w:r>
      <w:r>
        <w:rPr>
          <w:i/>
        </w:rPr>
        <w:t xml:space="preserve">Advocates for School Trust Lands v. State of Oregon</w:t>
      </w:r>
      <w:r>
        <w:t xml:space="preserve"> </w:t>
      </w:r>
      <w:r>
        <w:t xml:space="preserve">(24CV38372); author of the April 21, 2026 declaration in support of plaintiffs’ motion to compel; OASTL Joint Engagement Agreement signed December 19, 2025.</w:t>
      </w:r>
    </w:p>
    <w:p>
      <w:pPr>
        <w:pStyle w:val="BodyText"/>
      </w:pPr>
      <w:r>
        <w:rPr>
          <w:b/>
        </w:rPr>
        <w:t xml:space="preserve">Davis, Anthony</w:t>
      </w:r>
      <w:r>
        <w:t xml:space="preserve"> </w:t>
      </w:r>
      <w:r>
        <w:t xml:space="preserve">— Oregon State University administrator; author of the May 27, 2020 email to the Sullivans referring to the May 29 Science Advisory Panel meeting that became the</w:t>
      </w:r>
      <w:r>
        <w:t xml:space="preserve"> </w:t>
      </w:r>
      <w:r>
        <w:rPr>
          <w:i/>
        </w:rPr>
        <w:t xml:space="preserve">“</w:t>
      </w:r>
      <w:r>
        <w:rPr>
          <w:i/>
        </w:rPr>
        <w:t xml:space="preserve">secret meeting about going public</w:t>
      </w:r>
      <w:r>
        <w:rPr>
          <w:i/>
        </w:rPr>
        <w:t xml:space="preserve">”</w:t>
      </w:r>
      <w:r>
        <w:t xml:space="preserve"> </w:t>
      </w:r>
      <w:r>
        <w:t xml:space="preserve">episode on ElliottSecrets.</w:t>
      </w:r>
    </w:p>
    <w:p>
      <w:pPr>
        <w:pStyle w:val="BodyText"/>
      </w:pPr>
      <w:r>
        <w:rPr>
          <w:b/>
        </w:rPr>
        <w:t xml:space="preserve">Franklin, Jerry</w:t>
      </w:r>
      <w:r>
        <w:t xml:space="preserve"> </w:t>
      </w:r>
      <w:r>
        <w:t xml:space="preserve">— dean of Pacific Northwest forest ecology; Appendix-13 peer reviewer whose review demolished the OSU experimental design underlying the ESRF plan.</w:t>
      </w:r>
    </w:p>
    <w:p>
      <w:pPr>
        <w:pStyle w:val="BodyText"/>
      </w:pPr>
      <w:r>
        <w:rPr>
          <w:b/>
        </w:rPr>
        <w:t xml:space="preserve">Gould, David</w:t>
      </w:r>
      <w:r>
        <w:t xml:space="preserve"> </w:t>
      </w:r>
      <w:r>
        <w:t xml:space="preserve">— Elkhorn Ranch homesteader descendant; North Bend Hall of Fame; OSU Natural Resources degree; first OASTL President (2023); author of the November 8, 2021 letter to the State Land Board and the March 3, 2022 Buster Club introduction at North Bend High School. Passed away in 2024.</w:t>
      </w:r>
    </w:p>
    <w:p>
      <w:pPr>
        <w:pStyle w:val="BodyText"/>
      </w:pPr>
      <w:r>
        <w:rPr>
          <w:b/>
        </w:rPr>
        <w:t xml:space="preserve">Griffin-Valade, LaVonne</w:t>
      </w:r>
      <w:r>
        <w:t xml:space="preserve"> </w:t>
      </w:r>
      <w:r>
        <w:t xml:space="preserve">— Oregon Secretary of State; ex-officio member of the State Land Board.</w:t>
      </w:r>
    </w:p>
    <w:p>
      <w:pPr>
        <w:pStyle w:val="BodyText"/>
      </w:pPr>
      <w:r>
        <w:rPr>
          <w:b/>
        </w:rPr>
        <w:t xml:space="preserve">Huntington, Geoff</w:t>
      </w:r>
      <w:r>
        <w:t xml:space="preserve"> </w:t>
      </w:r>
      <w:r>
        <w:t xml:space="preserve">— Governor’s Office staff; author of the October 13, 2023 memo conceding that the Elliott State Research Forest was designed for political rather than fiduciary ends.</w:t>
      </w:r>
    </w:p>
    <w:p>
      <w:pPr>
        <w:pStyle w:val="BodyText"/>
      </w:pPr>
      <w:r>
        <w:rPr>
          <w:b/>
        </w:rPr>
        <w:t xml:space="preserve">Kotek, Tina</w:t>
      </w:r>
      <w:r>
        <w:t xml:space="preserve"> </w:t>
      </w:r>
      <w:r>
        <w:t xml:space="preserve">— Oregon Governor 2023–present; ex-officio member of the State Land Board through the litigation period.</w:t>
      </w:r>
    </w:p>
    <w:p>
      <w:pPr>
        <w:pStyle w:val="BodyText"/>
      </w:pPr>
      <w:r>
        <w:rPr>
          <w:b/>
        </w:rPr>
        <w:t xml:space="preserve">Lansing, Bill</w:t>
      </w:r>
      <w:r>
        <w:t xml:space="preserve"> </w:t>
      </w:r>
      <w:r>
        <w:t xml:space="preserve">— retired CEO, Menasha Forest Products; quoted in the book on the appraisal as</w:t>
      </w:r>
      <w:r>
        <w:t xml:space="preserve"> </w:t>
      </w:r>
      <w:r>
        <w:t xml:space="preserve">“</w:t>
      </w:r>
      <w:r>
        <w:t xml:space="preserve">politically motivated to allow for a cheaper decoupling,</w:t>
      </w:r>
      <w:r>
        <w:t xml:space="preserve">”</w:t>
      </w:r>
      <w:r>
        <w:t xml:space="preserve"> </w:t>
      </w:r>
      <w:r>
        <w:t xml:space="preserve">with a fair-market valuation of $1B–$1.3B against the State’s $99.6M figure.</w:t>
      </w:r>
    </w:p>
    <w:p>
      <w:pPr>
        <w:pStyle w:val="BodyText"/>
      </w:pPr>
      <w:r>
        <w:rPr>
          <w:b/>
        </w:rPr>
        <w:t xml:space="preserve">Mason Bruce &amp; Girard</w:t>
      </w:r>
      <w:r>
        <w:t xml:space="preserve"> </w:t>
      </w:r>
      <w:r>
        <w:t xml:space="preserve">— the State of Oregon’s chosen appraiser for the Elliott; producer of the $99.6 million appraisal central to the conversion arithmetic.</w:t>
      </w:r>
    </w:p>
    <w:p>
      <w:pPr>
        <w:pStyle w:val="BodyText"/>
      </w:pPr>
      <w:r>
        <w:rPr>
          <w:b/>
        </w:rPr>
        <w:t xml:space="preserve">Mitchell, John H.</w:t>
      </w:r>
      <w:r>
        <w:t xml:space="preserve"> </w:t>
      </w:r>
      <w:r>
        <w:t xml:space="preserve">— United States Senator (Oregon); convicted in 1905 in the federal Oregon land-fraud trials; died awaiting appeal.</w:t>
      </w:r>
    </w:p>
    <w:p>
      <w:pPr>
        <w:pStyle w:val="BodyText"/>
      </w:pPr>
      <w:r>
        <w:rPr>
          <w:b/>
        </w:rPr>
        <w:t xml:space="preserve">Murthy, Jayathi</w:t>
      </w:r>
      <w:r>
        <w:t xml:space="preserve"> </w:t>
      </w:r>
      <w:r>
        <w:t xml:space="preserve">— Oregon State University President; author of the November 13, 2023 letter withdrawing OSU from the ESRF concept as then constituted.</w:t>
      </w:r>
    </w:p>
    <w:p>
      <w:pPr>
        <w:pStyle w:val="BodyText"/>
      </w:pPr>
      <w:r>
        <w:rPr>
          <w:b/>
        </w:rPr>
        <w:t xml:space="preserve">OASTL</w:t>
      </w:r>
      <w:r>
        <w:t xml:space="preserve"> </w:t>
      </w:r>
      <w:r>
        <w:t xml:space="preserve">— Oregon Advocates for School Trust Lands; the schoolchildren-plaintiff organization incorporated in 2024; plaintiff in</w:t>
      </w:r>
      <w:r>
        <w:t xml:space="preserve"> </w:t>
      </w:r>
      <w:r>
        <w:rPr>
          <w:i/>
        </w:rPr>
        <w:t xml:space="preserve">24CV38372</w:t>
      </w:r>
      <w:r>
        <w:t xml:space="preserve">. The Oregon affiliate of the national ASTL.</w:t>
      </w:r>
    </w:p>
    <w:p>
      <w:pPr>
        <w:pStyle w:val="BodyText"/>
      </w:pPr>
      <w:r>
        <w:rPr>
          <w:b/>
        </w:rPr>
        <w:t xml:space="preserve">OSU</w:t>
      </w:r>
      <w:r>
        <w:t xml:space="preserve"> </w:t>
      </w:r>
      <w:r>
        <w:t xml:space="preserve">— Oregon State University; partner with the State of Oregon in the 2022 Elliott State Research Forest (ESRF) plan; withdrew November 13, 2023.</w:t>
      </w:r>
    </w:p>
    <w:p>
      <w:pPr>
        <w:pStyle w:val="BodyText"/>
      </w:pPr>
      <w:r>
        <w:rPr>
          <w:b/>
        </w:rPr>
        <w:t xml:space="preserve">Petersen, Jim</w:t>
      </w:r>
      <w:r>
        <w:t xml:space="preserve"> </w:t>
      </w:r>
      <w:r>
        <w:t xml:space="preserve">— publisher of</w:t>
      </w:r>
      <w:r>
        <w:t xml:space="preserve"> </w:t>
      </w:r>
      <w:r>
        <w:rPr>
          <w:i/>
        </w:rPr>
        <w:t xml:space="preserve">Evergreen Magazine</w:t>
      </w:r>
      <w:r>
        <w:t xml:space="preserve">; based in Dalton Gardens, Idaho; author of the May 7, 2024 article</w:t>
      </w:r>
      <w:r>
        <w:t xml:space="preserve"> </w:t>
      </w:r>
      <w:r>
        <w:t xml:space="preserve">“</w:t>
      </w:r>
      <w:r>
        <w:t xml:space="preserve">Who Steals from Children?</w:t>
      </w:r>
      <w:r>
        <w:t xml:space="preserve">”</w:t>
      </w:r>
      <w:r>
        <w:t xml:space="preserve"> </w:t>
      </w:r>
      <w:r>
        <w:t xml:space="preserve">from which this series takes its title with attribution. (Volume 1 (flagship) v1 erratum carried in v1’s Preface had given Petersen’s residence as Bigfork, Montana; corrected to Dalton Gardens, Idaho.)</w:t>
      </w:r>
    </w:p>
    <w:p>
      <w:pPr>
        <w:pStyle w:val="BodyText"/>
      </w:pPr>
      <w:r>
        <w:rPr>
          <w:b/>
        </w:rPr>
        <w:t xml:space="preserve">Phillips, Jerry</w:t>
      </w:r>
      <w:r>
        <w:t xml:space="preserve"> </w:t>
      </w:r>
      <w:r>
        <w:t xml:space="preserve">— long-time Oregon Department of Forestry Coos Bay District Manager (1956–1989); author of</w:t>
      </w:r>
      <w:r>
        <w:t xml:space="preserve"> </w:t>
      </w:r>
      <w:r>
        <w:rPr>
          <w:i/>
        </w:rPr>
        <w:t xml:space="preserve">Caulked Boots and Cheese Sandwiches</w:t>
      </w:r>
      <w:r>
        <w:t xml:space="preserve">; the canonical Elliott historian whose $790 million baseline anchors Chapter 1 and recurs through the valuation arithmetic for the rest of the book.</w:t>
      </w:r>
    </w:p>
    <w:p>
      <w:pPr>
        <w:pStyle w:val="BodyText"/>
      </w:pPr>
      <w:r>
        <w:rPr>
          <w:b/>
        </w:rPr>
        <w:t xml:space="preserve">Read, Tobias</w:t>
      </w:r>
      <w:r>
        <w:t xml:space="preserve"> </w:t>
      </w:r>
      <w:r>
        <w:t xml:space="preserve">— Oregon State Treasurer; ex-officio member of the State Land Board through the conversion period.</w:t>
      </w:r>
    </w:p>
    <w:p>
      <w:pPr>
        <w:pStyle w:val="BodyText"/>
      </w:pPr>
      <w:r>
        <w:rPr>
          <w:b/>
        </w:rPr>
        <w:t xml:space="preserve">Scott, Natalie</w:t>
      </w:r>
      <w:r>
        <w:t xml:space="preserve"> </w:t>
      </w:r>
      <w:r>
        <w:t xml:space="preserve">— counsel of record in</w:t>
      </w:r>
      <w:r>
        <w:t xml:space="preserve"> </w:t>
      </w:r>
      <w:r>
        <w:rPr>
          <w:i/>
        </w:rPr>
        <w:t xml:space="preserve">S072734</w:t>
      </w:r>
      <w:r>
        <w:t xml:space="preserve"> </w:t>
      </w:r>
      <w:r>
        <w:t xml:space="preserve">(the 2023 Oregon Supreme Court matter); appellate strategist; chose Corvallis High School as the venue for the 2023 appeal argument so the named schoolchildren-plaintiffs could sit in the audience while the State argued they had no legal interest.</w:t>
      </w:r>
    </w:p>
    <w:p>
      <w:pPr>
        <w:pStyle w:val="BodyText"/>
      </w:pPr>
      <w:r>
        <w:rPr>
          <w:b/>
        </w:rPr>
        <w:t xml:space="preserve">State Land Board (Oregon)</w:t>
      </w:r>
      <w:r>
        <w:t xml:space="preserve"> </w:t>
      </w:r>
      <w:r>
        <w:t xml:space="preserve">— three-member ex-officio constitutional body comprising the Governor, the Secretary of State, and the State Treasurer; the trustee of the Common School Fund lands.</w:t>
      </w:r>
    </w:p>
    <w:p>
      <w:pPr>
        <w:pStyle w:val="BodyText"/>
      </w:pPr>
      <w:r>
        <w:rPr>
          <w:b/>
        </w:rPr>
        <w:t xml:space="preserve">Sullivan, Barbara</w:t>
      </w:r>
      <w:r>
        <w:t xml:space="preserve"> </w:t>
      </w:r>
      <w:r>
        <w:t xml:space="preserve">— Dave Sullivan’s wife; named character in Chapter 3 (the Cougar Pass crawl with Bob Zybach); Treasurer of OASTL.</w:t>
      </w:r>
    </w:p>
    <w:p>
      <w:pPr>
        <w:pStyle w:val="BodyText"/>
      </w:pPr>
      <w:r>
        <w:rPr>
          <w:b/>
        </w:rPr>
        <w:t xml:space="preserve">Sullivan, Dave</w:t>
      </w:r>
      <w:r>
        <w:t xml:space="preserve"> </w:t>
      </w:r>
      <w:r>
        <w:t xml:space="preserve">— President of OASTL; lead plaintiff in</w:t>
      </w:r>
      <w:r>
        <w:t xml:space="preserve"> </w:t>
      </w:r>
      <w:r>
        <w:rPr>
          <w:i/>
        </w:rPr>
        <w:t xml:space="preserve">24CV38372</w:t>
      </w:r>
      <w:r>
        <w:t xml:space="preserve">; author of this book; retired Oregon State University business professor; Kings Valley tree farmer since 1996.</w:t>
      </w:r>
    </w:p>
    <w:p>
      <w:pPr>
        <w:pStyle w:val="BodyText"/>
      </w:pPr>
      <w:r>
        <w:rPr>
          <w:b/>
        </w:rPr>
        <w:t xml:space="preserve">Sullivan, J. Wesley</w:t>
      </w:r>
      <w:r>
        <w:t xml:space="preserve"> </w:t>
      </w:r>
      <w:r>
        <w:t xml:space="preserve">— Dave Sullivan’s father; former member of the Oregon State Board of Forestry; former editor of the Salem</w:t>
      </w:r>
      <w:r>
        <w:t xml:space="preserve"> </w:t>
      </w:r>
      <w:r>
        <w:rPr>
          <w:i/>
        </w:rPr>
        <w:t xml:space="preserve">Statesman-Journal</w:t>
      </w:r>
      <w:r>
        <w:t xml:space="preserve">; named in the Preface; the figure to whom ElliottSecrets.net was dedicated at its 2020 launch.</w:t>
      </w:r>
    </w:p>
    <w:p>
      <w:pPr>
        <w:pStyle w:val="BodyText"/>
      </w:pPr>
      <w:r>
        <w:rPr>
          <w:b/>
        </w:rPr>
        <w:t xml:space="preserve">Verschoor, Howard</w:t>
      </w:r>
      <w:r>
        <w:t xml:space="preserve"> </w:t>
      </w:r>
      <w:r>
        <w:t xml:space="preserve">— Forest Fire Lookout Association Oregon chapter director; led the 1999–2003 attempt to restore the Cougar Pass Lookout; quoted by Sullivan as having been</w:t>
      </w:r>
      <w:r>
        <w:t xml:space="preserve"> </w:t>
      </w:r>
      <w:r>
        <w:t xml:space="preserve">“</w:t>
      </w:r>
      <w:r>
        <w:t xml:space="preserve">put off until they gave up</w:t>
      </w:r>
      <w:r>
        <w:t xml:space="preserve">”</w:t>
      </w:r>
      <w:r>
        <w:t xml:space="preserve"> </w:t>
      </w:r>
      <w:r>
        <w:t xml:space="preserve">by the Department of State Lands.</w:t>
      </w:r>
    </w:p>
    <w:p>
      <w:pPr>
        <w:pStyle w:val="BodyText"/>
      </w:pPr>
      <w:r>
        <w:rPr>
          <w:b/>
        </w:rPr>
        <w:t xml:space="preserve">Young, F.G.</w:t>
      </w:r>
      <w:r>
        <w:t xml:space="preserve"> </w:t>
      </w:r>
      <w:r>
        <w:t xml:space="preserve">— early-twentieth-century Oregon historian; author of the 1910</w:t>
      </w:r>
      <w:r>
        <w:t xml:space="preserve"> </w:t>
      </w:r>
      <w:r>
        <w:rPr>
          <w:i/>
        </w:rPr>
        <w:t xml:space="preserve">Oregon Historical Quarterly</w:t>
      </w:r>
      <w:r>
        <w:t xml:space="preserve"> </w:t>
      </w:r>
      <w:r>
        <w:t xml:space="preserve">article on Oregon school lands; the period’s clearest published diagnosis of the trust’s drift.</w:t>
      </w:r>
    </w:p>
    <w:p>
      <w:pPr>
        <w:pStyle w:val="BodyText"/>
      </w:pPr>
      <w:r>
        <w:rPr>
          <w:b/>
        </w:rPr>
        <w:t xml:space="preserve">Zybach, Bob</w:t>
      </w:r>
      <w:r>
        <w:t xml:space="preserve"> </w:t>
      </w:r>
      <w:r>
        <w:t xml:space="preserve">— forester and historian; expert declarant in</w:t>
      </w:r>
      <w:r>
        <w:t xml:space="preserve"> </w:t>
      </w:r>
      <w:r>
        <w:rPr>
          <w:i/>
        </w:rPr>
        <w:t xml:space="preserve">21CV15024</w:t>
      </w:r>
      <w:r>
        <w:t xml:space="preserve"> </w:t>
      </w:r>
      <w:r>
        <w:t xml:space="preserve">and</w:t>
      </w:r>
      <w:r>
        <w:t xml:space="preserve"> </w:t>
      </w:r>
      <w:r>
        <w:rPr>
          <w:i/>
        </w:rPr>
        <w:t xml:space="preserve">24CV38372</w:t>
      </w:r>
      <w:r>
        <w:t xml:space="preserve">; author of the 2018</w:t>
      </w:r>
      <w:r>
        <w:t xml:space="preserve"> </w:t>
      </w:r>
      <w:r>
        <w:rPr>
          <w:i/>
        </w:rPr>
        <w:t xml:space="preserve">Daily Caller</w:t>
      </w:r>
      <w:r>
        <w:t xml:space="preserve"> </w:t>
      </w:r>
      <w:r>
        <w:t xml:space="preserve">“</w:t>
      </w:r>
      <w:r>
        <w:t xml:space="preserve">firebombs</w:t>
      </w:r>
      <w:r>
        <w:t xml:space="preserve">”</w:t>
      </w:r>
      <w:r>
        <w:t xml:space="preserve"> </w:t>
      </w:r>
      <w:r>
        <w:t xml:space="preserve">warning on the Elliott management posture; co-author with Sullivan of the 2020 Forest Fire Lookout Association proposal to restore Cougar Pass.</w:t>
      </w:r>
    </w:p>
    <w:p>
      <w:r>
        <w:pict>
          <v:rect style="width:0;height:1.5pt" o:hralign="center" o:hrstd="t" o:hr="t"/>
        </w:pict>
      </w:r>
    </w:p>
    <w:p>
      <w:pPr>
        <w:pStyle w:val="Heading2"/>
      </w:pPr>
      <w:bookmarkStart w:id="86" w:name="b.-timeline-at-a-glance"/>
      <w:r>
        <w:t xml:space="preserve">B. Timeline at a Glance</w:t>
      </w:r>
      <w:bookmarkEnd w:id="86"/>
    </w:p>
    <w:p>
      <w:pPr>
        <w:numPr>
          <w:ilvl w:val="0"/>
          <w:numId w:val="1001"/>
        </w:numPr>
        <w:pStyle w:val="Compact"/>
      </w:pPr>
      <w:r>
        <w:rPr>
          <w:b/>
        </w:rPr>
        <w:t xml:space="preserve">Feb 14, 1859</w:t>
      </w:r>
      <w:r>
        <w:t xml:space="preserve"> </w:t>
      </w:r>
      <w:r>
        <w:t xml:space="preserve">— Oregon admitted to the Union; doubled grant of sections 16 and 36; Common School Fund constitutional architecture in place.</w:t>
      </w:r>
    </w:p>
    <w:p>
      <w:pPr>
        <w:numPr>
          <w:ilvl w:val="0"/>
          <w:numId w:val="1001"/>
        </w:numPr>
        <w:pStyle w:val="Compact"/>
      </w:pPr>
      <w:r>
        <w:rPr>
          <w:b/>
        </w:rPr>
        <w:t xml:space="preserve">1887</w:t>
      </w:r>
      <w:r>
        <w:t xml:space="preserve"> </w:t>
      </w:r>
      <w:r>
        <w:t xml:space="preserve">— Oregon’s</w:t>
      </w:r>
      <w:r>
        <w:t xml:space="preserve"> </w:t>
      </w:r>
      <w:r>
        <w:rPr>
          <w:i/>
        </w:rPr>
        <w:t xml:space="preserve">Infamous Act</w:t>
      </w:r>
      <w:r>
        <w:t xml:space="preserve"> </w:t>
      </w:r>
      <w:r>
        <w:t xml:space="preserve">fixes the school-land sale price at $1.25/acre, accelerating disposal at below-fair-value prices.</w:t>
      </w:r>
    </w:p>
    <w:p>
      <w:pPr>
        <w:numPr>
          <w:ilvl w:val="0"/>
          <w:numId w:val="1001"/>
        </w:numPr>
        <w:pStyle w:val="Compact"/>
      </w:pPr>
      <w:r>
        <w:rPr>
          <w:b/>
        </w:rPr>
        <w:t xml:space="preserve">1904–1910</w:t>
      </w:r>
      <w:r>
        <w:t xml:space="preserve"> </w:t>
      </w:r>
      <w:r>
        <w:t xml:space="preserve">— federal Oregon land-fraud trials; 21 convictions including U.S. Senator John H. Mitchell.</w:t>
      </w:r>
    </w:p>
    <w:p>
      <w:pPr>
        <w:numPr>
          <w:ilvl w:val="0"/>
          <w:numId w:val="1001"/>
        </w:numPr>
        <w:pStyle w:val="Compact"/>
      </w:pPr>
      <w:r>
        <w:rPr>
          <w:b/>
        </w:rPr>
        <w:t xml:space="preserve">1907</w:t>
      </w:r>
      <w:r>
        <w:t xml:space="preserve"> </w:t>
      </w:r>
      <w:r>
        <w:t xml:space="preserve">— Governor Chamberlain’s</w:t>
      </w:r>
      <w:r>
        <w:t xml:space="preserve"> </w:t>
      </w:r>
      <w:r>
        <w:t xml:space="preserve">“</w:t>
      </w:r>
      <w:r>
        <w:t xml:space="preserve">five or six times as large</w:t>
      </w:r>
      <w:r>
        <w:t xml:space="preserve">”</w:t>
      </w:r>
      <w:r>
        <w:t xml:space="preserve"> </w:t>
      </w:r>
      <w:r>
        <w:t xml:space="preserve">message to the legislature on the trust’s lost potential.</w:t>
      </w:r>
    </w:p>
    <w:p>
      <w:pPr>
        <w:numPr>
          <w:ilvl w:val="0"/>
          <w:numId w:val="1001"/>
        </w:numPr>
        <w:pStyle w:val="Compact"/>
      </w:pPr>
      <w:r>
        <w:rPr>
          <w:b/>
        </w:rPr>
        <w:t xml:space="preserve">1910</w:t>
      </w:r>
      <w:r>
        <w:t xml:space="preserve"> </w:t>
      </w:r>
      <w:r>
        <w:t xml:space="preserve">— F.G. Young’s</w:t>
      </w:r>
      <w:r>
        <w:t xml:space="preserve"> </w:t>
      </w:r>
      <w:r>
        <w:t xml:space="preserve">“</w:t>
      </w:r>
      <w:r>
        <w:t xml:space="preserve">unwavering aim</w:t>
      </w:r>
      <w:r>
        <w:t xml:space="preserve">”</w:t>
      </w:r>
      <w:r>
        <w:t xml:space="preserve"> </w:t>
      </w:r>
      <w:r>
        <w:t xml:space="preserve">article in the</w:t>
      </w:r>
      <w:r>
        <w:t xml:space="preserve"> </w:t>
      </w:r>
      <w:r>
        <w:rPr>
          <w:i/>
        </w:rPr>
        <w:t xml:space="preserve">Oregon Historical Quarterly</w:t>
      </w:r>
      <w:r>
        <w:t xml:space="preserve">.</w:t>
      </w:r>
    </w:p>
    <w:p>
      <w:pPr>
        <w:numPr>
          <w:ilvl w:val="0"/>
          <w:numId w:val="1001"/>
        </w:numPr>
        <w:pStyle w:val="Compact"/>
      </w:pPr>
      <w:r>
        <w:rPr>
          <w:b/>
        </w:rPr>
        <w:t xml:space="preserve">1931</w:t>
      </w:r>
      <w:r>
        <w:t xml:space="preserve"> </w:t>
      </w:r>
      <w:r>
        <w:t xml:space="preserve">—</w:t>
      </w:r>
      <w:r>
        <w:t xml:space="preserve"> </w:t>
      </w:r>
      <w:r>
        <w:rPr>
          <w:i/>
        </w:rPr>
        <w:t xml:space="preserve">Eagle Point Irrigation District v. Cowden</w:t>
      </w:r>
      <w:r>
        <w:t xml:space="preserve">, 137 Or. 121: school-land trust is</w:t>
      </w:r>
      <w:r>
        <w:t xml:space="preserve"> </w:t>
      </w:r>
      <w:r>
        <w:t xml:space="preserve">“</w:t>
      </w:r>
      <w:r>
        <w:t xml:space="preserve">a trust of the highest nature.</w:t>
      </w:r>
      <w:r>
        <w:t xml:space="preserve">”</w:t>
      </w:r>
    </w:p>
    <w:p>
      <w:pPr>
        <w:numPr>
          <w:ilvl w:val="0"/>
          <w:numId w:val="1001"/>
        </w:numPr>
        <w:pStyle w:val="Compact"/>
      </w:pPr>
      <w:r>
        <w:rPr>
          <w:b/>
        </w:rPr>
        <w:t xml:space="preserve">1977</w:t>
      </w:r>
      <w:r>
        <w:t xml:space="preserve"> </w:t>
      </w:r>
      <w:r>
        <w:t xml:space="preserve">— Oregon Attorney General Opinion 7450: off-purpose use of Common School Fund land is prohibited where it adversely affects the trust’s financial contribution.</w:t>
      </w:r>
    </w:p>
    <w:p>
      <w:pPr>
        <w:numPr>
          <w:ilvl w:val="0"/>
          <w:numId w:val="1001"/>
        </w:numPr>
        <w:pStyle w:val="Compact"/>
      </w:pPr>
      <w:r>
        <w:rPr>
          <w:b/>
        </w:rPr>
        <w:t xml:space="preserve">1992, 2003</w:t>
      </w:r>
      <w:r>
        <w:t xml:space="preserve"> </w:t>
      </w:r>
      <w:r>
        <w:t xml:space="preserve">— Oregon Attorney General Opinions 8223 and 8279 affirming the trust character of the school lands.</w:t>
      </w:r>
    </w:p>
    <w:p>
      <w:pPr>
        <w:numPr>
          <w:ilvl w:val="0"/>
          <w:numId w:val="1001"/>
        </w:numPr>
        <w:pStyle w:val="Compact"/>
      </w:pPr>
      <w:r>
        <w:rPr>
          <w:b/>
        </w:rPr>
        <w:t xml:space="preserve">~1990 onward</w:t>
      </w:r>
      <w:r>
        <w:t xml:space="preserve"> </w:t>
      </w:r>
      <w:r>
        <w:t xml:space="preserve">— State Land Board’s internal reframing of the Elliott as</w:t>
      </w:r>
      <w:r>
        <w:t xml:space="preserve"> </w:t>
      </w:r>
      <w:r>
        <w:t xml:space="preserve">“</w:t>
      </w:r>
      <w:r>
        <w:t xml:space="preserve">a net drain on the fund.</w:t>
      </w:r>
      <w:r>
        <w:t xml:space="preserve">”</w:t>
      </w:r>
    </w:p>
    <w:p>
      <w:pPr>
        <w:numPr>
          <w:ilvl w:val="0"/>
          <w:numId w:val="1001"/>
        </w:numPr>
        <w:pStyle w:val="Compact"/>
      </w:pPr>
      <w:r>
        <w:rPr>
          <w:b/>
        </w:rPr>
        <w:t xml:space="preserve">1994</w:t>
      </w:r>
      <w:r>
        <w:t xml:space="preserve"> </w:t>
      </w:r>
      <w:r>
        <w:t xml:space="preserve">— John Beuter’s ODF-commissioned valuation:</w:t>
      </w:r>
      <w:r>
        <w:t xml:space="preserve"> </w:t>
      </w:r>
      <w:r>
        <w:t xml:space="preserve">“</w:t>
      </w:r>
      <w:r>
        <w:t xml:space="preserve">not likely less than $600 million, and could well be in the neighborhood of a billion dollars.</w:t>
      </w:r>
      <w:r>
        <w:t xml:space="preserve">”</w:t>
      </w:r>
    </w:p>
    <w:p>
      <w:pPr>
        <w:numPr>
          <w:ilvl w:val="0"/>
          <w:numId w:val="1001"/>
        </w:numPr>
        <w:pStyle w:val="Compact"/>
      </w:pPr>
      <w:r>
        <w:rPr>
          <w:b/>
        </w:rPr>
        <w:t xml:space="preserve">1996</w:t>
      </w:r>
      <w:r>
        <w:t xml:space="preserve"> </w:t>
      </w:r>
      <w:r>
        <w:t xml:space="preserve">— Dave Sullivan purchases the Kings Valley tree farm. Entry point for the journey-of-discovery arc of Volume 1.</w:t>
      </w:r>
    </w:p>
    <w:p>
      <w:pPr>
        <w:numPr>
          <w:ilvl w:val="0"/>
          <w:numId w:val="1001"/>
        </w:numPr>
        <w:pStyle w:val="Compact"/>
      </w:pPr>
      <w:r>
        <w:rPr>
          <w:b/>
        </w:rPr>
        <w:t xml:space="preserve">1999–2003</w:t>
      </w:r>
      <w:r>
        <w:t xml:space="preserve"> </w:t>
      </w:r>
      <w:r>
        <w:t xml:space="preserve">— Howard Verschoor’s Forest Fire Lookout Association attempt to restore Cougar Pass Lookout; refused by the Department of State Lands.</w:t>
      </w:r>
    </w:p>
    <w:p>
      <w:pPr>
        <w:numPr>
          <w:ilvl w:val="0"/>
          <w:numId w:val="1001"/>
        </w:numPr>
        <w:pStyle w:val="Compact"/>
      </w:pPr>
      <w:r>
        <w:rPr>
          <w:b/>
        </w:rPr>
        <w:t xml:space="preserve">Feb 14, 2017</w:t>
      </w:r>
      <w:r>
        <w:t xml:space="preserve"> </w:t>
      </w:r>
      <w:r>
        <w:t xml:space="preserve">— State Land Board votes 2–1 to sell the Elliott to the Lone Rock consortium for $220.8 million.</w:t>
      </w:r>
    </w:p>
    <w:p>
      <w:pPr>
        <w:numPr>
          <w:ilvl w:val="0"/>
          <w:numId w:val="1001"/>
        </w:numPr>
        <w:pStyle w:val="Compact"/>
      </w:pPr>
      <w:r>
        <w:rPr>
          <w:b/>
        </w:rPr>
        <w:t xml:space="preserve">May 9, 2017</w:t>
      </w:r>
      <w:r>
        <w:t xml:space="preserve"> </w:t>
      </w:r>
      <w:r>
        <w:t xml:space="preserve">— State Land Board reverses the sale under public pressure.</w:t>
      </w:r>
    </w:p>
    <w:p>
      <w:pPr>
        <w:numPr>
          <w:ilvl w:val="0"/>
          <w:numId w:val="1001"/>
        </w:numPr>
        <w:pStyle w:val="Compact"/>
      </w:pPr>
      <w:r>
        <w:rPr>
          <w:b/>
        </w:rPr>
        <w:t xml:space="preserve">2019</w:t>
      </w:r>
      <w:r>
        <w:t xml:space="preserve"> </w:t>
      </w:r>
      <w:r>
        <w:t xml:space="preserve">— Oregon issues $100 million in general-obligation bonds to</w:t>
      </w:r>
      <w:r>
        <w:t xml:space="preserve"> </w:t>
      </w:r>
      <w:r>
        <w:t xml:space="preserve">“</w:t>
      </w:r>
      <w:r>
        <w:t xml:space="preserve">compensate</w:t>
      </w:r>
      <w:r>
        <w:t xml:space="preserve">”</w:t>
      </w:r>
      <w:r>
        <w:t xml:space="preserve"> </w:t>
      </w:r>
      <w:r>
        <w:t xml:space="preserve">the Common School Fund for reduced Elliott revenue.</w:t>
      </w:r>
    </w:p>
    <w:p>
      <w:pPr>
        <w:numPr>
          <w:ilvl w:val="0"/>
          <w:numId w:val="1001"/>
        </w:numPr>
        <w:pStyle w:val="Compact"/>
      </w:pPr>
      <w:r>
        <w:rPr>
          <w:b/>
        </w:rPr>
        <w:t xml:space="preserve">Dec 10, 2019; Apr 1, 2020</w:t>
      </w:r>
      <w:r>
        <w:t xml:space="preserve"> </w:t>
      </w:r>
      <w:r>
        <w:t xml:space="preserve">— Bob Zybach’s two ignored Department of State Lands public-records requests.</w:t>
      </w:r>
    </w:p>
    <w:p>
      <w:pPr>
        <w:numPr>
          <w:ilvl w:val="0"/>
          <w:numId w:val="1001"/>
        </w:numPr>
        <w:pStyle w:val="Compact"/>
      </w:pPr>
      <w:r>
        <w:rPr>
          <w:b/>
        </w:rPr>
        <w:t xml:space="preserve">May 16, 2020</w:t>
      </w:r>
      <w:r>
        <w:t xml:space="preserve"> </w:t>
      </w:r>
      <w:r>
        <w:t xml:space="preserve">— Sullivan launches ElliottSecrets.net.</w:t>
      </w:r>
    </w:p>
    <w:p>
      <w:pPr>
        <w:numPr>
          <w:ilvl w:val="0"/>
          <w:numId w:val="1001"/>
        </w:numPr>
        <w:pStyle w:val="Compact"/>
      </w:pPr>
      <w:r>
        <w:rPr>
          <w:b/>
        </w:rPr>
        <w:t xml:space="preserve">May 27, 2020</w:t>
      </w:r>
      <w:r>
        <w:t xml:space="preserve"> </w:t>
      </w:r>
      <w:r>
        <w:t xml:space="preserve">— Anthony Davis email to the Sullivans referencing the May 29 Science Advisory Panel meeting (the</w:t>
      </w:r>
      <w:r>
        <w:t xml:space="preserve"> </w:t>
      </w:r>
      <w:r>
        <w:t xml:space="preserve">“</w:t>
      </w:r>
      <w:r>
        <w:t xml:space="preserve">secret meeting about going public</w:t>
      </w:r>
      <w:r>
        <w:t xml:space="preserve">”</w:t>
      </w:r>
      <w:r>
        <w:t xml:space="preserve"> </w:t>
      </w:r>
      <w:r>
        <w:t xml:space="preserve">episode).</w:t>
      </w:r>
    </w:p>
    <w:p>
      <w:pPr>
        <w:numPr>
          <w:ilvl w:val="0"/>
          <w:numId w:val="1001"/>
        </w:numPr>
        <w:pStyle w:val="Compact"/>
      </w:pPr>
      <w:r>
        <w:rPr>
          <w:b/>
        </w:rPr>
        <w:t xml:space="preserve">Aug 16, 2021</w:t>
      </w:r>
      <w:r>
        <w:t xml:space="preserve"> </w:t>
      </w:r>
      <w:r>
        <w:t xml:space="preserve">— Sullivan files</w:t>
      </w:r>
      <w:r>
        <w:t xml:space="preserve"> </w:t>
      </w:r>
      <w:r>
        <w:rPr>
          <w:i/>
        </w:rPr>
        <w:t xml:space="preserve">Affidavit / Timeline of Facts</w:t>
      </w:r>
      <w:r>
        <w:t xml:space="preserve"> </w:t>
      </w:r>
      <w:r>
        <w:t xml:space="preserve">in</w:t>
      </w:r>
      <w:r>
        <w:t xml:space="preserve"> </w:t>
      </w:r>
      <w:r>
        <w:rPr>
          <w:i/>
        </w:rPr>
        <w:t xml:space="preserve">21CV15024</w:t>
      </w:r>
      <w:r>
        <w:t xml:space="preserve">.</w:t>
      </w:r>
    </w:p>
    <w:p>
      <w:pPr>
        <w:numPr>
          <w:ilvl w:val="0"/>
          <w:numId w:val="1001"/>
        </w:numPr>
        <w:pStyle w:val="Compact"/>
      </w:pPr>
      <w:r>
        <w:rPr>
          <w:b/>
        </w:rPr>
        <w:t xml:space="preserve">Nov 8, 2021</w:t>
      </w:r>
      <w:r>
        <w:t xml:space="preserve"> </w:t>
      </w:r>
      <w:r>
        <w:t xml:space="preserve">— David Gould letter to the State Land Board:</w:t>
      </w:r>
      <w:r>
        <w:t xml:space="preserve"> </w:t>
      </w:r>
      <w:r>
        <w:t xml:space="preserve">“</w:t>
      </w:r>
      <w:r>
        <w:t xml:space="preserve">I want to advise you that the Forest cannot be decoupled from the Common School Fund without FULL compensation for the Value for the beneficiary.</w:t>
      </w:r>
      <w:r>
        <w:t xml:space="preserve">”</w:t>
      </w:r>
    </w:p>
    <w:p>
      <w:pPr>
        <w:numPr>
          <w:ilvl w:val="0"/>
          <w:numId w:val="1001"/>
        </w:numPr>
        <w:pStyle w:val="Compact"/>
      </w:pPr>
      <w:r>
        <w:rPr>
          <w:b/>
        </w:rPr>
        <w:t xml:space="preserve">Dec 2021</w:t>
      </w:r>
      <w:r>
        <w:t xml:space="preserve"> </w:t>
      </w:r>
      <w:r>
        <w:t xml:space="preserve">— OSU’s own ESRF documentation projects a $2.1 million annual deficit for the first 50 years (page 28).</w:t>
      </w:r>
    </w:p>
    <w:p>
      <w:pPr>
        <w:numPr>
          <w:ilvl w:val="0"/>
          <w:numId w:val="1001"/>
        </w:numPr>
        <w:pStyle w:val="Compact"/>
      </w:pPr>
      <w:r>
        <w:rPr>
          <w:b/>
        </w:rPr>
        <w:t xml:space="preserve">2022 (HB 3119; SB 1546A)</w:t>
      </w:r>
      <w:r>
        <w:t xml:space="preserve"> </w:t>
      </w:r>
      <w:r>
        <w:t xml:space="preserve">— Oregon Legislature approves the OSU research-forest plan; the</w:t>
      </w:r>
      <w:r>
        <w:t xml:space="preserve"> </w:t>
      </w:r>
      <w:r>
        <w:t xml:space="preserve">“</w:t>
      </w:r>
      <w:r>
        <w:t xml:space="preserve">Children’s Forest</w:t>
      </w:r>
      <w:r>
        <w:t xml:space="preserve">”</w:t>
      </w:r>
      <w:r>
        <w:t xml:space="preserve"> </w:t>
      </w:r>
      <w:r>
        <w:t xml:space="preserve">rebrand begins.</w:t>
      </w:r>
    </w:p>
    <w:p>
      <w:pPr>
        <w:numPr>
          <w:ilvl w:val="0"/>
          <w:numId w:val="1001"/>
        </w:numPr>
        <w:pStyle w:val="Compact"/>
      </w:pPr>
      <w:r>
        <w:rPr>
          <w:b/>
        </w:rPr>
        <w:t xml:space="preserve">Mar 3, 2022</w:t>
      </w:r>
      <w:r>
        <w:t xml:space="preserve"> </w:t>
      </w:r>
      <w:r>
        <w:t xml:space="preserve">— David Gould’s Buster Club introduction at North Bend High School:</w:t>
      </w:r>
      <w:r>
        <w:t xml:space="preserve"> </w:t>
      </w:r>
      <w:r>
        <w:t xml:space="preserve">“</w:t>
      </w:r>
      <w:r>
        <w:t xml:space="preserve">I introduced the soft ball team and baseball team to their forest at buster club today. As I expected the students did not know they own 43,000 acres in their Elliott State Children’s Forest.</w:t>
      </w:r>
      <w:r>
        <w:t xml:space="preserve">”</w:t>
      </w:r>
    </w:p>
    <w:p>
      <w:pPr>
        <w:numPr>
          <w:ilvl w:val="0"/>
          <w:numId w:val="1001"/>
        </w:numPr>
        <w:pStyle w:val="Compact"/>
      </w:pPr>
      <w:r>
        <w:rPr>
          <w:b/>
        </w:rPr>
        <w:t xml:space="preserve">Dec 11, 2022</w:t>
      </w:r>
      <w:r>
        <w:t xml:space="preserve"> </w:t>
      </w:r>
      <w:r>
        <w:t xml:space="preserve">— Margaret Bird’s letter to the State Land Board:</w:t>
      </w:r>
      <w:r>
        <w:t xml:space="preserve"> </w:t>
      </w:r>
      <w:r>
        <w:rPr>
          <w:i/>
        </w:rPr>
        <w:t xml:space="preserve">“</w:t>
      </w:r>
      <w:r>
        <w:rPr>
          <w:i/>
        </w:rPr>
        <w:t xml:space="preserve">decoupling is a euphemism for selling.</w:t>
      </w:r>
      <w:r>
        <w:rPr>
          <w:i/>
        </w:rPr>
        <w:t xml:space="preserve">”</w:t>
      </w:r>
    </w:p>
    <w:p>
      <w:pPr>
        <w:numPr>
          <w:ilvl w:val="0"/>
          <w:numId w:val="1001"/>
        </w:numPr>
        <w:pStyle w:val="Compact"/>
      </w:pPr>
      <w:r>
        <w:rPr>
          <w:b/>
        </w:rPr>
        <w:t xml:space="preserve">Oct 13, 2023</w:t>
      </w:r>
      <w:r>
        <w:t xml:space="preserve"> </w:t>
      </w:r>
      <w:r>
        <w:t xml:space="preserve">— Huntington Governor’s Office memo conceding the ESRF was designed for political rather than fiduciary ends.</w:t>
      </w:r>
    </w:p>
    <w:p>
      <w:pPr>
        <w:numPr>
          <w:ilvl w:val="0"/>
          <w:numId w:val="1001"/>
        </w:numPr>
        <w:pStyle w:val="Compact"/>
      </w:pPr>
      <w:r>
        <w:rPr>
          <w:b/>
        </w:rPr>
        <w:t xml:space="preserve">Nov 13, 2023</w:t>
      </w:r>
      <w:r>
        <w:t xml:space="preserve"> </w:t>
      </w:r>
      <w:r>
        <w:t xml:space="preserve">— OSU President Murthy withdrawal letter.</w:t>
      </w:r>
    </w:p>
    <w:p>
      <w:pPr>
        <w:numPr>
          <w:ilvl w:val="0"/>
          <w:numId w:val="1001"/>
        </w:numPr>
        <w:pStyle w:val="Compact"/>
      </w:pPr>
      <w:r>
        <w:rPr>
          <w:b/>
        </w:rPr>
        <w:t xml:space="preserve">2024</w:t>
      </w:r>
      <w:r>
        <w:t xml:space="preserve"> </w:t>
      </w:r>
      <w:r>
        <w:t xml:space="preserve">— OASTL incorporates;</w:t>
      </w:r>
      <w:r>
        <w:t xml:space="preserve"> </w:t>
      </w:r>
      <w:r>
        <w:rPr>
          <w:i/>
        </w:rPr>
        <w:t xml:space="preserve">Advocates for School Trust Lands v. State of Oregon</w:t>
      </w:r>
      <w:r>
        <w:t xml:space="preserve"> </w:t>
      </w:r>
      <w:r>
        <w:t xml:space="preserve">(24CV38372) filed in Coos County Circuit Court. David Gould passes away.</w:t>
      </w:r>
    </w:p>
    <w:p>
      <w:pPr>
        <w:numPr>
          <w:ilvl w:val="0"/>
          <w:numId w:val="1001"/>
        </w:numPr>
        <w:pStyle w:val="Compact"/>
      </w:pPr>
      <w:r>
        <w:rPr>
          <w:b/>
        </w:rPr>
        <w:t xml:space="preserve">Apr 8, 2024</w:t>
      </w:r>
      <w:r>
        <w:t xml:space="preserve"> </w:t>
      </w:r>
      <w:r>
        <w:t xml:space="preserve">— Representative Court Boice’s open letter to Kotek, Read, and Griffin-Valade.</w:t>
      </w:r>
    </w:p>
    <w:p>
      <w:pPr>
        <w:numPr>
          <w:ilvl w:val="0"/>
          <w:numId w:val="1001"/>
        </w:numPr>
        <w:pStyle w:val="Compact"/>
      </w:pPr>
      <w:r>
        <w:rPr>
          <w:b/>
        </w:rPr>
        <w:t xml:space="preserve">May 5, 2024</w:t>
      </w:r>
      <w:r>
        <w:t xml:space="preserve"> </w:t>
      </w:r>
      <w:r>
        <w:t xml:space="preserve">— Petersen sends Sullivan the final approved version of</w:t>
      </w:r>
      <w:r>
        <w:t xml:space="preserve"> </w:t>
      </w:r>
      <w:r>
        <w:t xml:space="preserve">“</w:t>
      </w:r>
      <w:r>
        <w:t xml:space="preserve">Who Steals from Children?</w:t>
      </w:r>
      <w:r>
        <w:t xml:space="preserve">”</w:t>
      </w:r>
    </w:p>
    <w:p>
      <w:pPr>
        <w:numPr>
          <w:ilvl w:val="0"/>
          <w:numId w:val="1001"/>
        </w:numPr>
        <w:pStyle w:val="Compact"/>
      </w:pPr>
      <w:r>
        <w:rPr>
          <w:b/>
        </w:rPr>
        <w:t xml:space="preserve">May 7, 2024</w:t>
      </w:r>
      <w:r>
        <w:t xml:space="preserve"> </w:t>
      </w:r>
      <w:r>
        <w:t xml:space="preserve">— Petersen article publishes in</w:t>
      </w:r>
      <w:r>
        <w:t xml:space="preserve"> </w:t>
      </w:r>
      <w:r>
        <w:rPr>
          <w:i/>
        </w:rPr>
        <w:t xml:space="preserve">Evergreen Magazine</w:t>
      </w:r>
      <w:r>
        <w:t xml:space="preserve">.</w:t>
      </w:r>
    </w:p>
    <w:p>
      <w:pPr>
        <w:numPr>
          <w:ilvl w:val="0"/>
          <w:numId w:val="1001"/>
        </w:numPr>
        <w:pStyle w:val="Compact"/>
      </w:pPr>
      <w:r>
        <w:rPr>
          <w:b/>
        </w:rPr>
        <w:t xml:space="preserve">Mar 6, 2025</w:t>
      </w:r>
      <w:r>
        <w:t xml:space="preserve"> </w:t>
      </w:r>
      <w:r>
        <w:t xml:space="preserve">— first Coos County Circuit Court trial-court ruling in 24CV38372.</w:t>
      </w:r>
    </w:p>
    <w:p>
      <w:pPr>
        <w:numPr>
          <w:ilvl w:val="0"/>
          <w:numId w:val="1001"/>
        </w:numPr>
        <w:pStyle w:val="Compact"/>
      </w:pPr>
      <w:r>
        <w:rPr>
          <w:b/>
        </w:rPr>
        <w:t xml:space="preserve">Jun 2025</w:t>
      </w:r>
      <w:r>
        <w:t xml:space="preserve"> </w:t>
      </w:r>
      <w:r>
        <w:t xml:space="preserve">— SB 147 decouples the Elliott from the Common School Fund through a separate statutory mechanism.</w:t>
      </w:r>
    </w:p>
    <w:p>
      <w:pPr>
        <w:numPr>
          <w:ilvl w:val="0"/>
          <w:numId w:val="1001"/>
        </w:numPr>
        <w:pStyle w:val="Compact"/>
      </w:pPr>
      <w:r>
        <w:rPr>
          <w:b/>
        </w:rPr>
        <w:t xml:space="preserve">Sep 5, 2025</w:t>
      </w:r>
      <w:r>
        <w:t xml:space="preserve"> </w:t>
      </w:r>
      <w:r>
        <w:t xml:space="preserve">— second Coos County Circuit Court ruling in 24CV38372.</w:t>
      </w:r>
    </w:p>
    <w:p>
      <w:pPr>
        <w:numPr>
          <w:ilvl w:val="0"/>
          <w:numId w:val="1001"/>
        </w:numPr>
        <w:pStyle w:val="Compact"/>
      </w:pPr>
      <w:r>
        <w:rPr>
          <w:b/>
        </w:rPr>
        <w:t xml:space="preserve">Oct 24, 2025</w:t>
      </w:r>
      <w:r>
        <w:t xml:space="preserve"> </w:t>
      </w:r>
      <w:r>
        <w:t xml:space="preserve">— State of Oregon files Answer in 24CV38372, asserting it</w:t>
      </w:r>
      <w:r>
        <w:t xml:space="preserve"> </w:t>
      </w:r>
      <w:r>
        <w:t xml:space="preserve">“</w:t>
      </w:r>
      <w:r>
        <w:t xml:space="preserve">does not owe Plaintiffs the duties alleged.</w:t>
      </w:r>
      <w:r>
        <w:t xml:space="preserve">”</w:t>
      </w:r>
    </w:p>
    <w:p>
      <w:pPr>
        <w:numPr>
          <w:ilvl w:val="0"/>
          <w:numId w:val="1001"/>
        </w:numPr>
        <w:pStyle w:val="Compact"/>
      </w:pPr>
      <w:r>
        <w:rPr>
          <w:b/>
        </w:rPr>
        <w:t xml:space="preserve">Dec 19, 2025</w:t>
      </w:r>
      <w:r>
        <w:t xml:space="preserve"> </w:t>
      </w:r>
      <w:r>
        <w:t xml:space="preserve">— Daniel Zene Crowe OASTL Joint Engagement Agreement signed.</w:t>
      </w:r>
    </w:p>
    <w:p>
      <w:pPr>
        <w:numPr>
          <w:ilvl w:val="0"/>
          <w:numId w:val="1001"/>
        </w:numPr>
        <w:pStyle w:val="Compact"/>
      </w:pPr>
      <w:r>
        <w:rPr>
          <w:b/>
        </w:rPr>
        <w:t xml:space="preserve">Jan 28, 2026</w:t>
      </w:r>
      <w:r>
        <w:t xml:space="preserve"> </w:t>
      </w:r>
      <w:r>
        <w:t xml:space="preserve">— Oregon Court of Appeals opinion: schoolchildren-plaintiffs have Article VIII Section 8 standing.</w:t>
      </w:r>
    </w:p>
    <w:p>
      <w:pPr>
        <w:numPr>
          <w:ilvl w:val="0"/>
          <w:numId w:val="1001"/>
        </w:numPr>
        <w:pStyle w:val="Compact"/>
      </w:pPr>
      <w:r>
        <w:rPr>
          <w:b/>
        </w:rPr>
        <w:t xml:space="preserve">Feb 27, 2026</w:t>
      </w:r>
      <w:r>
        <w:t xml:space="preserve"> </w:t>
      </w:r>
      <w:r>
        <w:t xml:space="preserve">— State’s Response to Plaintiffs’ First Request for Production (largely</w:t>
      </w:r>
      <w:r>
        <w:t xml:space="preserve"> </w:t>
      </w:r>
      <w:r>
        <w:t xml:space="preserve">“</w:t>
      </w:r>
      <w:r>
        <w:t xml:space="preserve">General Objections</w:t>
      </w:r>
      <w:r>
        <w:t xml:space="preserve">”</w:t>
      </w:r>
      <w:r>
        <w:t xml:space="preserve">).</w:t>
      </w:r>
    </w:p>
    <w:p>
      <w:pPr>
        <w:numPr>
          <w:ilvl w:val="0"/>
          <w:numId w:val="1001"/>
        </w:numPr>
        <w:pStyle w:val="Compact"/>
      </w:pPr>
      <w:r>
        <w:rPr>
          <w:b/>
        </w:rPr>
        <w:t xml:space="preserve">Apr 21, 2026</w:t>
      </w:r>
      <w:r>
        <w:t xml:space="preserve"> </w:t>
      </w:r>
      <w:r>
        <w:t xml:space="preserve">— Plaintiffs’ Motion to Compel Production drafted and socialized to opposing counsel; Crowe declaration signed.</w:t>
      </w:r>
    </w:p>
    <w:p>
      <w:pPr>
        <w:numPr>
          <w:ilvl w:val="0"/>
          <w:numId w:val="1001"/>
        </w:numPr>
        <w:pStyle w:val="Compact"/>
      </w:pPr>
      <w:r>
        <w:rPr>
          <w:b/>
        </w:rPr>
        <w:t xml:space="preserve">May 2, 2026</w:t>
      </w:r>
      <w:r>
        <w:t xml:space="preserve"> </w:t>
      </w:r>
      <w:r>
        <w:t xml:space="preserve">— formal filing of the Motion to Compel.</w:t>
      </w:r>
    </w:p>
    <w:p>
      <w:pPr>
        <w:numPr>
          <w:ilvl w:val="0"/>
          <w:numId w:val="1001"/>
        </w:numPr>
        <w:pStyle w:val="Compact"/>
      </w:pPr>
      <w:r>
        <w:rPr>
          <w:b/>
        </w:rPr>
        <w:t xml:space="preserve">May 5, 2026</w:t>
      </w:r>
      <w:r>
        <w:t xml:space="preserve"> </w:t>
      </w:r>
      <w:r>
        <w:t xml:space="preserve">— Margaret Bird 90-minute call with Sullivan (the call from which several of this edition’s editorial moves originate).</w:t>
      </w:r>
    </w:p>
    <w:p>
      <w:pPr>
        <w:numPr>
          <w:ilvl w:val="0"/>
          <w:numId w:val="1001"/>
        </w:numPr>
        <w:pStyle w:val="Compact"/>
      </w:pPr>
      <w:r>
        <w:rPr>
          <w:b/>
        </w:rPr>
        <w:t xml:space="preserve">May 10, 2026</w:t>
      </w:r>
      <w:r>
        <w:t xml:space="preserve"> </w:t>
      </w:r>
      <w:r>
        <w:t xml:space="preserve">—</w:t>
      </w:r>
      <w:r>
        <w:t xml:space="preserve"> </w:t>
      </w:r>
      <w:r>
        <w:rPr>
          <w:i/>
        </w:rPr>
        <w:t xml:space="preserve">Who Steals from Children: Volume 1 — Oregon and the Elliott</w:t>
      </w:r>
      <w:r>
        <w:t xml:space="preserve"> </w:t>
      </w:r>
      <w:r>
        <w:t xml:space="preserve">(General Reader’s Edition) drafted.</w:t>
      </w:r>
    </w:p>
    <w:p>
      <w:r>
        <w:pict>
          <v:rect style="width:0;height:1.5pt" o:hralign="center" o:hrstd="t" o:hr="t"/>
        </w:pict>
      </w:r>
    </w:p>
    <w:p>
      <w:pPr>
        <w:pStyle w:val="Heading2"/>
      </w:pPr>
      <w:bookmarkStart w:id="87" w:name="c.-document-register"/>
      <w:r>
        <w:t xml:space="preserve">C. Document Register</w:t>
      </w:r>
      <w:bookmarkEnd w:id="87"/>
    </w:p>
    <w:p>
      <w:pPr>
        <w:pStyle w:val="FirstParagraph"/>
      </w:pPr>
      <w:r>
        <w:t xml:space="preserve">Each entry names the document, its date and matter where applicable, and its L0 substrate path. Entries marked</w:t>
      </w:r>
      <w:r>
        <w:t xml:space="preserve"> </w:t>
      </w:r>
      <w:r>
        <w:t xml:space="preserve">“</w:t>
      </w:r>
      <w:r>
        <w:t xml:space="preserve">recommended L0 path</w:t>
      </w:r>
      <w:r>
        <w:t xml:space="preserve">”</w:t>
      </w:r>
      <w:r>
        <w:t xml:space="preserve"> </w:t>
      </w:r>
      <w:r>
        <w:t xml:space="preserve">identify the canonical filing location for substrate not yet deposited; the underlying source exists in Drive, Gmail, or web archive and is referenced in the source ledgers cited at the end of this section.</w:t>
      </w:r>
    </w:p>
    <w:p>
      <w:pPr>
        <w:pStyle w:val="BodyText"/>
      </w:pPr>
      <w:r>
        <w:rPr>
          <w:b/>
        </w:rPr>
        <w:t xml:space="preserve">Litigation filings — 24CV38372 (active)</w:t>
      </w:r>
    </w:p>
    <w:p>
      <w:pPr>
        <w:numPr>
          <w:ilvl w:val="0"/>
          <w:numId w:val="1002"/>
        </w:numPr>
        <w:pStyle w:val="Compact"/>
      </w:pPr>
      <w:r>
        <w:rPr>
          <w:i/>
        </w:rPr>
        <w:t xml:space="preserve">Plaintiffs’ First Request for Production of Documents</w:t>
      </w:r>
      <w:r>
        <w:t xml:space="preserve"> </w:t>
      </w:r>
      <w:r>
        <w:t xml:space="preserve">(1/28/2026) —</w:t>
      </w:r>
      <w:r>
        <w:t xml:space="preserve"> </w:t>
      </w:r>
      <w:r>
        <w:rPr>
          <w:rStyle w:val="VerbatimChar"/>
        </w:rPr>
        <w:t xml:space="preserve">L0_Primary_Sources/Discovery/20260128 - PLAINTIFFS' FIRST REQUEST FOR PRODUCTION OF DOCUMENTS TO DEFENDANTS (24CV38372) - For Transmittal.pdf</w:t>
      </w:r>
    </w:p>
    <w:p>
      <w:pPr>
        <w:numPr>
          <w:ilvl w:val="0"/>
          <w:numId w:val="1002"/>
        </w:numPr>
        <w:pStyle w:val="Compact"/>
      </w:pPr>
      <w:r>
        <w:rPr>
          <w:i/>
        </w:rPr>
        <w:t xml:space="preserve">Defendants’ Response to Plaintiffs’ First Request for Production</w:t>
      </w:r>
      <w:r>
        <w:t xml:space="preserve"> </w:t>
      </w:r>
      <w:r>
        <w:t xml:space="preserve">(2/27/2026) —</w:t>
      </w:r>
      <w:r>
        <w:t xml:space="preserve"> </w:t>
      </w:r>
      <w:r>
        <w:rPr>
          <w:rStyle w:val="VerbatimChar"/>
        </w:rPr>
        <w:t xml:space="preserve">L0_Primary_Sources/Discovery/20260227 - Siuslaw 8372 DISC Defs' Response to Pltfs' First RFP (1).pdf</w:t>
      </w:r>
    </w:p>
    <w:p>
      <w:pPr>
        <w:numPr>
          <w:ilvl w:val="0"/>
          <w:numId w:val="1002"/>
        </w:numPr>
        <w:pStyle w:val="Compact"/>
      </w:pPr>
      <w:r>
        <w:rPr>
          <w:i/>
        </w:rPr>
        <w:t xml:space="preserve">Accounting Analysis — Reconciling Public CSF Reports with State Discovery Data</w:t>
      </w:r>
      <w:r>
        <w:t xml:space="preserve"> </w:t>
      </w:r>
      <w:r>
        <w:t xml:space="preserve">(4/1/2026) —</w:t>
      </w:r>
      <w:r>
        <w:t xml:space="preserve"> </w:t>
      </w:r>
      <w:r>
        <w:rPr>
          <w:rStyle w:val="VerbatimChar"/>
        </w:rPr>
        <w:t xml:space="preserve">L0_Primary_Sources/Discovery/20260401 - Accounting Analysis - Reconciling Public CSF Reports with State Discovery Data (Lawyer Reviewed).pdf</w:t>
      </w:r>
    </w:p>
    <w:p>
      <w:pPr>
        <w:numPr>
          <w:ilvl w:val="0"/>
          <w:numId w:val="1002"/>
        </w:numPr>
        <w:pStyle w:val="Compact"/>
      </w:pPr>
      <w:r>
        <w:rPr>
          <w:i/>
        </w:rPr>
        <w:t xml:space="preserve">Declaration of Daniel Zene Crowe in Support of Plaintiffs’ Motion to Compel Production</w:t>
      </w:r>
      <w:r>
        <w:t xml:space="preserve"> </w:t>
      </w:r>
      <w:r>
        <w:t xml:space="preserve">(4/21/2026) —</w:t>
      </w:r>
      <w:r>
        <w:t xml:space="preserve"> </w:t>
      </w:r>
      <w:r>
        <w:rPr>
          <w:rStyle w:val="VerbatimChar"/>
        </w:rPr>
        <w:t xml:space="preserve">L0_Primary_Sources/Discovery/20260421 - Daniel Zene Crowe - DECLARATION IN SUPPORT OF PLAINTIFFS' MOTION TO COMPEL PRODUCTION OF DOCUMENTS (24CV38372) (1).pdf</w:t>
      </w:r>
    </w:p>
    <w:p>
      <w:pPr>
        <w:numPr>
          <w:ilvl w:val="0"/>
          <w:numId w:val="1002"/>
        </w:numPr>
        <w:pStyle w:val="Compact"/>
      </w:pPr>
      <w:r>
        <w:rPr>
          <w:i/>
        </w:rPr>
        <w:t xml:space="preserve">Plaintiffs’ Motion to Compel Production of Documents</w:t>
      </w:r>
      <w:r>
        <w:t xml:space="preserve"> </w:t>
      </w:r>
      <w:r>
        <w:t xml:space="preserve">(4/21/2026, filed 5/2/2026) —</w:t>
      </w:r>
      <w:r>
        <w:t xml:space="preserve"> </w:t>
      </w:r>
      <w:r>
        <w:rPr>
          <w:rStyle w:val="VerbatimChar"/>
        </w:rPr>
        <w:t xml:space="preserve">L0_Primary_Sources/Discovery/20260421 - PLAINTIFFS' MOTION TO COMPEL PRODUCTION OF DOCUMENTS (24CV38372) (1).pdf</w:t>
      </w:r>
    </w:p>
    <w:p>
      <w:pPr>
        <w:numPr>
          <w:ilvl w:val="0"/>
          <w:numId w:val="1002"/>
        </w:numPr>
        <w:pStyle w:val="Compact"/>
      </w:pPr>
      <w:r>
        <w:rPr>
          <w:i/>
        </w:rPr>
        <w:t xml:space="preserve">OASTL Joint Engagement Agreement</w:t>
      </w:r>
      <w:r>
        <w:t xml:space="preserve"> </w:t>
      </w:r>
      <w:r>
        <w:t xml:space="preserve">(12/19/2025) —</w:t>
      </w:r>
      <w:r>
        <w:t xml:space="preserve"> </w:t>
      </w:r>
      <w:r>
        <w:rPr>
          <w:rStyle w:val="VerbatimChar"/>
        </w:rPr>
        <w:t xml:space="preserve">L0_Primary_Sources/Discovery/Engagement/OASTL_Crowe_Joint_Engagement_2025-12-19.pdf</w:t>
      </w:r>
      <w:r>
        <w:t xml:space="preserve"> </w:t>
      </w:r>
      <w:r>
        <w:t xml:space="preserve">(recommended L0 path)</w:t>
      </w:r>
    </w:p>
    <w:p>
      <w:pPr>
        <w:pStyle w:val="FirstParagraph"/>
      </w:pPr>
      <w:r>
        <w:rPr>
          <w:b/>
        </w:rPr>
        <w:t xml:space="preserve">Litigation filings — 21CV15024 (predecessor)</w:t>
      </w:r>
    </w:p>
    <w:p>
      <w:pPr>
        <w:numPr>
          <w:ilvl w:val="0"/>
          <w:numId w:val="1003"/>
        </w:numPr>
        <w:pStyle w:val="Compact"/>
      </w:pPr>
      <w:r>
        <w:rPr>
          <w:i/>
        </w:rPr>
        <w:t xml:space="preserve">Affidavit / Timeline of Facts</w:t>
      </w:r>
      <w:r>
        <w:t xml:space="preserve"> </w:t>
      </w:r>
      <w:r>
        <w:t xml:space="preserve">(Sullivan, 8/16/2021) —</w:t>
      </w:r>
      <w:r>
        <w:t xml:space="preserve"> </w:t>
      </w:r>
      <w:r>
        <w:rPr>
          <w:rStyle w:val="VerbatimChar"/>
        </w:rPr>
        <w:t xml:space="preserve">L0_Primary_Sources/Discovery/2021_Case_21CV15024/Affidavit_Timeline_of_Facts_2021-08-16.pdf</w:t>
      </w:r>
      <w:r>
        <w:t xml:space="preserve"> </w:t>
      </w:r>
      <w:r>
        <w:t xml:space="preserve">(recommended L0 path; not yet filed)</w:t>
      </w:r>
    </w:p>
    <w:p>
      <w:pPr>
        <w:numPr>
          <w:ilvl w:val="0"/>
          <w:numId w:val="1003"/>
        </w:numPr>
        <w:pStyle w:val="Compact"/>
      </w:pPr>
      <w:r>
        <w:rPr>
          <w:i/>
        </w:rPr>
        <w:t xml:space="preserve">Zybach Declaration</w:t>
      </w:r>
      <w:r>
        <w:t xml:space="preserve"> </w:t>
      </w:r>
      <w:r>
        <w:t xml:space="preserve">(7/11/2021) —</w:t>
      </w:r>
      <w:r>
        <w:t xml:space="preserve"> </w:t>
      </w:r>
      <w:r>
        <w:rPr>
          <w:rStyle w:val="VerbatimChar"/>
        </w:rPr>
        <w:t xml:space="preserve">L0_Primary_Sources/Discovery/2021_Case_21CV15024/Zybach_Declaration_2021-07-11.pdf</w:t>
      </w:r>
      <w:r>
        <w:t xml:space="preserve"> </w:t>
      </w:r>
      <w:r>
        <w:t xml:space="preserve">(recommended L0 path)</w:t>
      </w:r>
    </w:p>
    <w:p>
      <w:pPr>
        <w:pStyle w:val="FirstParagraph"/>
      </w:pPr>
      <w:r>
        <w:rPr>
          <w:b/>
        </w:rPr>
        <w:t xml:space="preserve">Appellate authority</w:t>
      </w:r>
    </w:p>
    <w:p>
      <w:pPr>
        <w:numPr>
          <w:ilvl w:val="0"/>
          <w:numId w:val="1004"/>
        </w:numPr>
        <w:pStyle w:val="Compact"/>
      </w:pPr>
      <w:r>
        <w:rPr>
          <w:i/>
        </w:rPr>
        <w:t xml:space="preserve">Court of Appeals opinion in Advocates for School Trust Lands v. State of Oregon</w:t>
      </w:r>
      <w:r>
        <w:t xml:space="preserve">, 346 Or App 668 (1/28/2026) —</w:t>
      </w:r>
      <w:r>
        <w:t xml:space="preserve"> </w:t>
      </w:r>
      <w:r>
        <w:rPr>
          <w:rStyle w:val="VerbatimChar"/>
        </w:rPr>
        <w:t xml:space="preserve">L0_Primary_Sources/Case_Law/Advocates_v_Oregon_COA_2026-01-28.pdf</w:t>
      </w:r>
      <w:r>
        <w:t xml:space="preserve"> </w:t>
      </w:r>
      <w:r>
        <w:t xml:space="preserve">(recommended L0 path)</w:t>
      </w:r>
    </w:p>
    <w:p>
      <w:pPr>
        <w:numPr>
          <w:ilvl w:val="0"/>
          <w:numId w:val="1004"/>
        </w:numPr>
        <w:pStyle w:val="Compact"/>
      </w:pPr>
      <w:r>
        <w:rPr>
          <w:i/>
        </w:rPr>
        <w:t xml:space="preserve">Eagle Point Irrigation District v. Cowden</w:t>
      </w:r>
      <w:r>
        <w:t xml:space="preserve">, 137 Or. 121 (1931) —</w:t>
      </w:r>
      <w:r>
        <w:t xml:space="preserve"> </w:t>
      </w:r>
      <w:r>
        <w:rPr>
          <w:rStyle w:val="VerbatimChar"/>
        </w:rPr>
        <w:t xml:space="preserve">L0_Primary_Sources/Case_Law/Eagle_Point_v_Cowden_1931.pdf</w:t>
      </w:r>
      <w:r>
        <w:t xml:space="preserve"> </w:t>
      </w:r>
      <w:r>
        <w:t xml:space="preserve">(recommended L0 path)</w:t>
      </w:r>
    </w:p>
    <w:p>
      <w:pPr>
        <w:pStyle w:val="FirstParagraph"/>
      </w:pPr>
      <w:r>
        <w:rPr>
          <w:b/>
        </w:rPr>
        <w:t xml:space="preserve">Oregon Attorney General opinions</w:t>
      </w:r>
    </w:p>
    <w:p>
      <w:pPr>
        <w:numPr>
          <w:ilvl w:val="0"/>
          <w:numId w:val="1005"/>
        </w:numPr>
        <w:pStyle w:val="Compact"/>
      </w:pPr>
      <w:r>
        <w:rPr>
          <w:i/>
        </w:rPr>
        <w:t xml:space="preserve">AG Opinion 7450 (Natural Area Preserve / Common School Grant Land)</w:t>
      </w:r>
      <w:r>
        <w:t xml:space="preserve"> </w:t>
      </w:r>
      <w:r>
        <w:t xml:space="preserve">(1977) —</w:t>
      </w:r>
      <w:r>
        <w:t xml:space="preserve"> </w:t>
      </w:r>
      <w:r>
        <w:rPr>
          <w:rStyle w:val="VerbatimChar"/>
        </w:rPr>
        <w:t xml:space="preserve">L0_Primary_Sources/Statutes/Oregon_AG_Opinions/AGO_7450_1977.pdf</w:t>
      </w:r>
      <w:r>
        <w:t xml:space="preserve"> </w:t>
      </w:r>
      <w:r>
        <w:t xml:space="preserve">(recommended L0 path)</w:t>
      </w:r>
    </w:p>
    <w:p>
      <w:pPr>
        <w:numPr>
          <w:ilvl w:val="0"/>
          <w:numId w:val="1005"/>
        </w:numPr>
        <w:pStyle w:val="Compact"/>
      </w:pPr>
      <w:r>
        <w:rPr>
          <w:i/>
        </w:rPr>
        <w:t xml:space="preserve">AG Opinion 8223</w:t>
      </w:r>
      <w:r>
        <w:t xml:space="preserve"> </w:t>
      </w:r>
      <w:r>
        <w:t xml:space="preserve">(1992) —</w:t>
      </w:r>
      <w:r>
        <w:t xml:space="preserve"> </w:t>
      </w:r>
      <w:r>
        <w:rPr>
          <w:rStyle w:val="VerbatimChar"/>
        </w:rPr>
        <w:t xml:space="preserve">L0_Primary_Sources/Statutes/Oregon_AG_Opinions/AGO_8223_1992.pdf</w:t>
      </w:r>
      <w:r>
        <w:t xml:space="preserve"> </w:t>
      </w:r>
      <w:r>
        <w:t xml:space="preserve">(recommended L0 path)</w:t>
      </w:r>
    </w:p>
    <w:p>
      <w:pPr>
        <w:numPr>
          <w:ilvl w:val="0"/>
          <w:numId w:val="1005"/>
        </w:numPr>
        <w:pStyle w:val="Compact"/>
      </w:pPr>
      <w:r>
        <w:rPr>
          <w:i/>
        </w:rPr>
        <w:t xml:space="preserve">AG Opinion 8279</w:t>
      </w:r>
      <w:r>
        <w:t xml:space="preserve"> </w:t>
      </w:r>
      <w:r>
        <w:t xml:space="preserve">(2003) —</w:t>
      </w:r>
      <w:r>
        <w:t xml:space="preserve"> </w:t>
      </w:r>
      <w:r>
        <w:rPr>
          <w:rStyle w:val="VerbatimChar"/>
        </w:rPr>
        <w:t xml:space="preserve">L0_Primary_Sources/Statutes/Oregon_AG_Opinions/AGO_8279_2003.pdf</w:t>
      </w:r>
      <w:r>
        <w:t xml:space="preserve"> </w:t>
      </w:r>
      <w:r>
        <w:t xml:space="preserve">(recommended L0 path)</w:t>
      </w:r>
    </w:p>
    <w:p>
      <w:pPr>
        <w:pStyle w:val="FirstParagraph"/>
      </w:pPr>
      <w:r>
        <w:rPr>
          <w:b/>
        </w:rPr>
        <w:t xml:space="preserve">Internal-State and OSU records</w:t>
      </w:r>
    </w:p>
    <w:p>
      <w:pPr>
        <w:numPr>
          <w:ilvl w:val="0"/>
          <w:numId w:val="1006"/>
        </w:numPr>
        <w:pStyle w:val="Compact"/>
      </w:pPr>
      <w:r>
        <w:rPr>
          <w:i/>
        </w:rPr>
        <w:t xml:space="preserve">Davis</w:t>
      </w:r>
      <w:r>
        <w:rPr>
          <w:i/>
        </w:rPr>
        <w:t xml:space="preserve"> </w:t>
      </w:r>
      <w:r>
        <w:rPr>
          <w:i/>
        </w:rPr>
        <w:t xml:space="preserve">“</w:t>
      </w:r>
      <w:r>
        <w:rPr>
          <w:i/>
        </w:rPr>
        <w:t xml:space="preserve">secret meeting about going public</w:t>
      </w:r>
      <w:r>
        <w:rPr>
          <w:i/>
        </w:rPr>
        <w:t xml:space="preserve">”</w:t>
      </w:r>
      <w:r>
        <w:rPr>
          <w:i/>
        </w:rPr>
        <w:t xml:space="preserve"> </w:t>
      </w:r>
      <w:r>
        <w:rPr>
          <w:i/>
        </w:rPr>
        <w:t xml:space="preserve">email</w:t>
      </w:r>
      <w:r>
        <w:t xml:space="preserve"> </w:t>
      </w:r>
      <w:r>
        <w:t xml:space="preserve">(5/27/2020) —</w:t>
      </w:r>
      <w:r>
        <w:t xml:space="preserve"> </w:t>
      </w:r>
      <w:r>
        <w:rPr>
          <w:rStyle w:val="VerbatimChar"/>
        </w:rPr>
        <w:t xml:space="preserve">L0_Primary_Sources/Discovery/Correspondence/Davis_Secret_Meeting_Email_2020-05-27.pdf</w:t>
      </w:r>
      <w:r>
        <w:t xml:space="preserve"> </w:t>
      </w:r>
      <w:r>
        <w:t xml:space="preserve">(recommended L0 path)</w:t>
      </w:r>
    </w:p>
    <w:p>
      <w:pPr>
        <w:numPr>
          <w:ilvl w:val="0"/>
          <w:numId w:val="1006"/>
        </w:numPr>
        <w:pStyle w:val="Compact"/>
      </w:pPr>
      <w:r>
        <w:rPr>
          <w:i/>
        </w:rPr>
        <w:t xml:space="preserve">Huntington Governor’s Office memo on ESRF</w:t>
      </w:r>
      <w:r>
        <w:t xml:space="preserve"> </w:t>
      </w:r>
      <w:r>
        <w:t xml:space="preserve">(10/13/2023) —</w:t>
      </w:r>
      <w:r>
        <w:t xml:space="preserve"> </w:t>
      </w:r>
      <w:r>
        <w:rPr>
          <w:rStyle w:val="VerbatimChar"/>
        </w:rPr>
        <w:t xml:space="preserve">L0_Primary_Sources/Discovery/Governor_Office_Memos/Huntington_ESRF_Memo_2023-10-13.pdf</w:t>
      </w:r>
      <w:r>
        <w:t xml:space="preserve"> </w:t>
      </w:r>
      <w:r>
        <w:t xml:space="preserve">(recommended L0 path)</w:t>
      </w:r>
    </w:p>
    <w:p>
      <w:pPr>
        <w:numPr>
          <w:ilvl w:val="0"/>
          <w:numId w:val="1006"/>
        </w:numPr>
        <w:pStyle w:val="Compact"/>
      </w:pPr>
      <w:r>
        <w:rPr>
          <w:i/>
        </w:rPr>
        <w:t xml:space="preserve">Murthy OSU withdrawal letter</w:t>
      </w:r>
      <w:r>
        <w:t xml:space="preserve"> </w:t>
      </w:r>
      <w:r>
        <w:t xml:space="preserve">(11/13/2023) —</w:t>
      </w:r>
      <w:r>
        <w:t xml:space="preserve"> </w:t>
      </w:r>
      <w:r>
        <w:rPr>
          <w:rStyle w:val="VerbatimChar"/>
        </w:rPr>
        <w:t xml:space="preserve">L0_Primary_Sources/Discovery/OSU_Records/Murthy_Withdrawal_2023-11-13.pdf</w:t>
      </w:r>
      <w:r>
        <w:t xml:space="preserve"> </w:t>
      </w:r>
      <w:r>
        <w:t xml:space="preserve">(recommended L0 path)</w:t>
      </w:r>
    </w:p>
    <w:p>
      <w:pPr>
        <w:numPr>
          <w:ilvl w:val="0"/>
          <w:numId w:val="1006"/>
        </w:numPr>
        <w:pStyle w:val="Compact"/>
      </w:pPr>
      <w:r>
        <w:rPr>
          <w:i/>
        </w:rPr>
        <w:t xml:space="preserve">DSL Cougar Pass refusal letter</w:t>
      </w:r>
      <w:r>
        <w:t xml:space="preserve"> </w:t>
      </w:r>
      <w:r>
        <w:t xml:space="preserve">(~2020) —</w:t>
      </w:r>
      <w:r>
        <w:t xml:space="preserve"> </w:t>
      </w:r>
      <w:r>
        <w:rPr>
          <w:rStyle w:val="VerbatimChar"/>
        </w:rPr>
        <w:t xml:space="preserve">L0_Primary_Sources/Discovery/Correspondence/DSL_Cougar_Pass_Refusal_2020.pdf</w:t>
      </w:r>
      <w:r>
        <w:t xml:space="preserve"> </w:t>
      </w:r>
      <w:r>
        <w:t xml:space="preserve">(recommended L0 path; text verbatim reproduced on ElliottSecrets home-page recovery, original letterhead pending filing)</w:t>
      </w:r>
    </w:p>
    <w:p>
      <w:pPr>
        <w:numPr>
          <w:ilvl w:val="0"/>
          <w:numId w:val="1006"/>
        </w:numPr>
        <w:pStyle w:val="Compact"/>
      </w:pPr>
      <w:r>
        <w:rPr>
          <w:i/>
        </w:rPr>
        <w:t xml:space="preserve">OSU ESRF Proposal, page 28</w:t>
      </w:r>
      <w:r>
        <w:t xml:space="preserve"> </w:t>
      </w:r>
      <w:r>
        <w:t xml:space="preserve">(Dec 2021) —</w:t>
      </w:r>
      <w:r>
        <w:t xml:space="preserve"> </w:t>
      </w:r>
      <w:r>
        <w:rPr>
          <w:rStyle w:val="VerbatimChar"/>
        </w:rPr>
        <w:t xml:space="preserve">L0_Primary_Sources/Discovery/OSU_Records/ESRF_Proposal_2021_p28.pdf</w:t>
      </w:r>
      <w:r>
        <w:t xml:space="preserve"> </w:t>
      </w:r>
      <w:r>
        <w:t xml:space="preserve">(recommended L0 path; the</w:t>
      </w:r>
      <w:r>
        <w:t xml:space="preserve"> </w:t>
      </w:r>
      <w:r>
        <w:t xml:space="preserve">“</w:t>
      </w:r>
      <w:r>
        <w:t xml:space="preserve">$2.1 million on an average annual basis for the first 50 years</w:t>
      </w:r>
      <w:r>
        <w:t xml:space="preserve">”</w:t>
      </w:r>
      <w:r>
        <w:t xml:space="preserve"> </w:t>
      </w:r>
      <w:r>
        <w:t xml:space="preserve">paragraph)</w:t>
      </w:r>
    </w:p>
    <w:p>
      <w:pPr>
        <w:pStyle w:val="FirstParagraph"/>
      </w:pPr>
      <w:r>
        <w:rPr>
          <w:b/>
        </w:rPr>
        <w:t xml:space="preserve">Public correspondence and testimony</w:t>
      </w:r>
    </w:p>
    <w:p>
      <w:pPr>
        <w:numPr>
          <w:ilvl w:val="0"/>
          <w:numId w:val="1007"/>
        </w:numPr>
        <w:pStyle w:val="Compact"/>
      </w:pPr>
      <w:r>
        <w:rPr>
          <w:i/>
        </w:rPr>
        <w:t xml:space="preserve">Margaret Bird, State Land Board Testimony Letter</w:t>
      </w:r>
      <w:r>
        <w:t xml:space="preserve"> </w:t>
      </w:r>
      <w:r>
        <w:t xml:space="preserve">(12/11/2022) —</w:t>
      </w:r>
      <w:r>
        <w:t xml:space="preserve"> </w:t>
      </w:r>
      <w:r>
        <w:rPr>
          <w:rStyle w:val="VerbatimChar"/>
        </w:rPr>
        <w:t xml:space="preserve">L0_Primary_Sources/Discovery/Correspondence/Bird_SLB_Testimony_2022-12-11.pdf</w:t>
      </w:r>
      <w:r>
        <w:t xml:space="preserve"> </w:t>
      </w:r>
      <w:r>
        <w:t xml:space="preserve">(recommended L0 path; not yet filed)</w:t>
      </w:r>
    </w:p>
    <w:p>
      <w:pPr>
        <w:numPr>
          <w:ilvl w:val="0"/>
          <w:numId w:val="1007"/>
        </w:numPr>
        <w:pStyle w:val="Compact"/>
      </w:pPr>
      <w:r>
        <w:rPr>
          <w:i/>
        </w:rPr>
        <w:t xml:space="preserve">Court Boice Open Letter to Kotek/Read/Griffin-Valade</w:t>
      </w:r>
      <w:r>
        <w:t xml:space="preserve"> </w:t>
      </w:r>
      <w:r>
        <w:t xml:space="preserve">(4/8/2024) —</w:t>
      </w:r>
      <w:r>
        <w:t xml:space="preserve"> </w:t>
      </w:r>
      <w:r>
        <w:rPr>
          <w:rStyle w:val="VerbatimChar"/>
        </w:rPr>
        <w:t xml:space="preserve">L0_Primary_Sources/Official_Correspondence/Boice_Open_Letter_to_Land_Board_2024-04-08.pdf</w:t>
      </w:r>
      <w:r>
        <w:t xml:space="preserve"> </w:t>
      </w:r>
      <w:r>
        <w:t xml:space="preserve">(recommended L0 path; pending filing from Gmail-source)</w:t>
      </w:r>
    </w:p>
    <w:p>
      <w:pPr>
        <w:numPr>
          <w:ilvl w:val="0"/>
          <w:numId w:val="1007"/>
        </w:numPr>
        <w:pStyle w:val="Compact"/>
      </w:pPr>
      <w:r>
        <w:rPr>
          <w:i/>
        </w:rPr>
        <w:t xml:space="preserve">David Gould Letter to State Land Board</w:t>
      </w:r>
      <w:r>
        <w:t xml:space="preserve"> </w:t>
      </w:r>
      <w:r>
        <w:t xml:space="preserve">(11/8/2021) —</w:t>
      </w:r>
      <w:r>
        <w:t xml:space="preserve"> </w:t>
      </w:r>
      <w:r>
        <w:rPr>
          <w:rStyle w:val="VerbatimChar"/>
        </w:rPr>
        <w:t xml:space="preserve">L0_Primary_Sources/Discovery/Correspondence/Gould_SLB_Letter_2021-11-08.pdf</w:t>
      </w:r>
      <w:r>
        <w:t xml:space="preserve"> </w:t>
      </w:r>
      <w:r>
        <w:t xml:space="preserve">(recommended L0 path; pending filing from Gmail-source and Drive Gould folder)</w:t>
      </w:r>
    </w:p>
    <w:p>
      <w:pPr>
        <w:numPr>
          <w:ilvl w:val="0"/>
          <w:numId w:val="1007"/>
        </w:numPr>
        <w:pStyle w:val="Compact"/>
      </w:pPr>
      <w:r>
        <w:rPr>
          <w:i/>
        </w:rPr>
        <w:t xml:space="preserve">David Gould Buster Club Introduction</w:t>
      </w:r>
      <w:r>
        <w:t xml:space="preserve"> </w:t>
      </w:r>
      <w:r>
        <w:t xml:space="preserve">(3/3/2022) — Gmail thread</w:t>
      </w:r>
      <w:r>
        <w:t xml:space="preserve"> </w:t>
      </w:r>
      <w:r>
        <w:rPr>
          <w:rStyle w:val="VerbatimChar"/>
        </w:rPr>
        <w:t xml:space="preserve">17f4fbbc9e280a98</w:t>
      </w:r>
      <w:r>
        <w:t xml:space="preserve">; recommended L0 path</w:t>
      </w:r>
      <w:r>
        <w:t xml:space="preserve"> </w:t>
      </w:r>
      <w:r>
        <w:rPr>
          <w:rStyle w:val="VerbatimChar"/>
        </w:rPr>
        <w:t xml:space="preserve">L0_Primary_Sources/Discovery/Correspondence/Gould_Buster_Club_2022-03-03.pdf</w:t>
      </w:r>
    </w:p>
    <w:p>
      <w:pPr>
        <w:pStyle w:val="FirstParagraph"/>
      </w:pPr>
      <w:r>
        <w:rPr>
          <w:b/>
        </w:rPr>
        <w:t xml:space="preserve">Historical sources</w:t>
      </w:r>
    </w:p>
    <w:p>
      <w:pPr>
        <w:numPr>
          <w:ilvl w:val="0"/>
          <w:numId w:val="1008"/>
        </w:numPr>
        <w:pStyle w:val="Compact"/>
      </w:pPr>
      <w:r>
        <w:rPr>
          <w:i/>
        </w:rPr>
        <w:t xml:space="preserve">Jerry Phillips,</w:t>
      </w:r>
      <w:r>
        <w:t xml:space="preserve"> </w:t>
      </w:r>
      <w:r>
        <w:t xml:space="preserve">Caulked Boots and Cheese Sandwiches</w:t>
      </w:r>
      <w:r>
        <w:t xml:space="preserve"> </w:t>
      </w:r>
      <w:r>
        <w:rPr>
          <w:i/>
        </w:rPr>
        <w:t xml:space="preserve">(self-published memoir; canonical Elliott history)</w:t>
      </w:r>
      <w:r>
        <w:t xml:space="preserve"> </w:t>
      </w:r>
      <w:r>
        <w:t xml:space="preserve">—</w:t>
      </w:r>
      <w:r>
        <w:t xml:space="preserve"> </w:t>
      </w:r>
      <w:r>
        <w:rPr>
          <w:rStyle w:val="VerbatimChar"/>
        </w:rPr>
        <w:t xml:space="preserve">L0_Primary_Sources/Published_Books/Phillips_Caulked_Boots_and_Cheese_Sandwiches.pdf</w:t>
      </w:r>
      <w:r>
        <w:t xml:space="preserve"> </w:t>
      </w:r>
      <w:r>
        <w:t xml:space="preserve">(recommended L0 path). Contains the annotated 1879 Coos Bay Fire map referenced in Chapter 1’s valuation arithmetic.</w:t>
      </w:r>
    </w:p>
    <w:p>
      <w:pPr>
        <w:numPr>
          <w:ilvl w:val="0"/>
          <w:numId w:val="1008"/>
        </w:numPr>
        <w:pStyle w:val="Compact"/>
      </w:pPr>
      <w:r>
        <w:rPr>
          <w:i/>
        </w:rPr>
        <w:t xml:space="preserve">F.G. Young,</w:t>
      </w:r>
      <w:r>
        <w:rPr>
          <w:i/>
        </w:rPr>
        <w:t xml:space="preserve"> </w:t>
      </w:r>
      <w:r>
        <w:rPr>
          <w:i/>
        </w:rPr>
        <w:t xml:space="preserve">“</w:t>
      </w:r>
      <w:r>
        <w:rPr>
          <w:i/>
        </w:rPr>
        <w:t xml:space="preserve">The Common School Fund</w:t>
      </w:r>
      <w:r>
        <w:rPr>
          <w:i/>
        </w:rPr>
        <w:t xml:space="preserve">”</w:t>
      </w:r>
      <w:r>
        <w:t xml:space="preserve">, 11</w:t>
      </w:r>
      <w:r>
        <w:t xml:space="preserve"> </w:t>
      </w:r>
      <w:r>
        <w:rPr>
          <w:i/>
        </w:rPr>
        <w:t xml:space="preserve">Oregon Historical Quarterly</w:t>
      </w:r>
      <w:r>
        <w:t xml:space="preserve"> </w:t>
      </w:r>
      <w:r>
        <w:t xml:space="preserve">(1910) —</w:t>
      </w:r>
      <w:r>
        <w:t xml:space="preserve"> </w:t>
      </w:r>
      <w:r>
        <w:rPr>
          <w:rStyle w:val="VerbatimChar"/>
        </w:rPr>
        <w:t xml:space="preserve">L0_Primary_Sources/Historical/Young_1910_OHQ_Common_School_Fund.pdf</w:t>
      </w:r>
      <w:r>
        <w:t xml:space="preserve"> </w:t>
      </w:r>
      <w:r>
        <w:t xml:space="preserve">(recommended L0 path)</w:t>
      </w:r>
    </w:p>
    <w:p>
      <w:pPr>
        <w:numPr>
          <w:ilvl w:val="0"/>
          <w:numId w:val="1008"/>
        </w:numPr>
        <w:pStyle w:val="Compact"/>
      </w:pPr>
      <w:r>
        <w:rPr>
          <w:i/>
        </w:rPr>
        <w:t xml:space="preserve">Governor Chamberlain’s 1907 message to the legislature</w:t>
      </w:r>
      <w:r>
        <w:t xml:space="preserve"> </w:t>
      </w:r>
      <w:r>
        <w:t xml:space="preserve">—</w:t>
      </w:r>
      <w:r>
        <w:t xml:space="preserve"> </w:t>
      </w:r>
      <w:r>
        <w:rPr>
          <w:rStyle w:val="VerbatimChar"/>
        </w:rPr>
        <w:t xml:space="preserve">L0_Primary_Sources/Historical/Chamberlain_1907_Legislative_Message.pdf</w:t>
      </w:r>
      <w:r>
        <w:t xml:space="preserve"> </w:t>
      </w:r>
      <w:r>
        <w:t xml:space="preserve">(recommended L0 path)</w:t>
      </w:r>
    </w:p>
    <w:p>
      <w:pPr>
        <w:numPr>
          <w:ilvl w:val="0"/>
          <w:numId w:val="1008"/>
        </w:numPr>
        <w:pStyle w:val="Compact"/>
      </w:pPr>
      <w:r>
        <w:rPr>
          <w:i/>
        </w:rPr>
        <w:t xml:space="preserve">John Beuter, Elliott State Forest valuation analysis</w:t>
      </w:r>
      <w:r>
        <w:t xml:space="preserve"> </w:t>
      </w:r>
      <w:r>
        <w:t xml:space="preserve">(1994; ODF-commissioned) —</w:t>
      </w:r>
      <w:r>
        <w:t xml:space="preserve"> </w:t>
      </w:r>
      <w:r>
        <w:rPr>
          <w:rStyle w:val="VerbatimChar"/>
        </w:rPr>
        <w:t xml:space="preserve">L0_Primary_Sources/Historical/Beuter_1994_Elliott_Valuation.pdf</w:t>
      </w:r>
      <w:r>
        <w:t xml:space="preserve"> </w:t>
      </w:r>
      <w:r>
        <w:t xml:space="preserve">(recommended L0 path)</w:t>
      </w:r>
    </w:p>
    <w:p>
      <w:pPr>
        <w:pStyle w:val="FirstParagraph"/>
      </w:pPr>
      <w:r>
        <w:rPr>
          <w:b/>
        </w:rPr>
        <w:t xml:space="preserve">Press and outside commentary</w:t>
      </w:r>
    </w:p>
    <w:p>
      <w:pPr>
        <w:numPr>
          <w:ilvl w:val="0"/>
          <w:numId w:val="1009"/>
        </w:numPr>
        <w:pStyle w:val="Compact"/>
      </w:pPr>
      <w:r>
        <w:rPr>
          <w:i/>
        </w:rPr>
        <w:t xml:space="preserve">Petersen,</w:t>
      </w:r>
      <w:r>
        <w:rPr>
          <w:i/>
        </w:rPr>
        <w:t xml:space="preserve"> </w:t>
      </w:r>
      <w:r>
        <w:rPr>
          <w:i/>
        </w:rPr>
        <w:t xml:space="preserve">“</w:t>
      </w:r>
      <w:r>
        <w:rPr>
          <w:i/>
        </w:rPr>
        <w:t xml:space="preserve">Who Steals from Children?</w:t>
      </w:r>
      <w:r>
        <w:rPr>
          <w:i/>
        </w:rPr>
        <w:t xml:space="preserve">”</w:t>
      </w:r>
      <w:r>
        <w:t xml:space="preserve">,</w:t>
      </w:r>
      <w:r>
        <w:t xml:space="preserve"> </w:t>
      </w:r>
      <w:r>
        <w:rPr>
          <w:i/>
        </w:rPr>
        <w:t xml:space="preserve">Evergreen Magazine</w:t>
      </w:r>
      <w:r>
        <w:t xml:space="preserve"> </w:t>
      </w:r>
      <w:r>
        <w:t xml:space="preserve">(5/7/2024) —</w:t>
      </w:r>
      <w:r>
        <w:t xml:space="preserve"> </w:t>
      </w:r>
      <w:r>
        <w:rPr>
          <w:rStyle w:val="VerbatimChar"/>
        </w:rPr>
        <w:t xml:space="preserve">L0_Primary_Sources/Multimedia/Evergreen_2024_WhoStealsFromChildren/</w:t>
      </w:r>
      <w:r>
        <w:t xml:space="preserve"> </w:t>
      </w:r>
      <w:r>
        <w:t xml:space="preserve">(recommended L0 path; pending filing from Gmail thread</w:t>
      </w:r>
      <w:r>
        <w:t xml:space="preserve"> </w:t>
      </w:r>
      <w:r>
        <w:rPr>
          <w:rStyle w:val="VerbatimChar"/>
        </w:rPr>
        <w:t xml:space="preserve">18f4a48674dff7c2</w:t>
      </w:r>
      <w:r>
        <w:t xml:space="preserve"> </w:t>
      </w:r>
      <w:r>
        <w:t xml:space="preserve">/</w:t>
      </w:r>
      <w:r>
        <w:t xml:space="preserve"> </w:t>
      </w:r>
      <w:r>
        <w:rPr>
          <w:rStyle w:val="VerbatimChar"/>
        </w:rPr>
        <w:t xml:space="preserve">18f52b6eebf71ccf</w:t>
      </w:r>
      <w:r>
        <w:t xml:space="preserve">)</w:t>
      </w:r>
    </w:p>
    <w:p>
      <w:pPr>
        <w:pStyle w:val="FirstParagraph"/>
      </w:pPr>
      <w:r>
        <w:rPr>
          <w:b/>
        </w:rPr>
        <w:t xml:space="preserve">Biographical and origin-story sources</w:t>
      </w:r>
    </w:p>
    <w:p>
      <w:pPr>
        <w:numPr>
          <w:ilvl w:val="0"/>
          <w:numId w:val="1010"/>
        </w:numPr>
        <w:pStyle w:val="Compact"/>
      </w:pPr>
      <w:r>
        <w:rPr>
          <w:i/>
        </w:rPr>
        <w:t xml:space="preserve">PCs and Tektronix</w:t>
      </w:r>
      <w:r>
        <w:t xml:space="preserve"> </w:t>
      </w:r>
      <w:r>
        <w:t xml:space="preserve">(Sullivan dictation transcript) — Drive Speechnotes folder, file</w:t>
      </w:r>
      <w:r>
        <w:t xml:space="preserve"> </w:t>
      </w:r>
      <w:r>
        <w:rPr>
          <w:rStyle w:val="VerbatimChar"/>
        </w:rPr>
        <w:t xml:space="preserve">PCs and Tektronix .txt</w:t>
      </w:r>
      <w:r>
        <w:t xml:space="preserve"> </w:t>
      </w:r>
      <w:r>
        <w:t xml:space="preserve">(ID</w:t>
      </w:r>
      <w:r>
        <w:t xml:space="preserve"> </w:t>
      </w:r>
      <w:r>
        <w:rPr>
          <w:rStyle w:val="VerbatimChar"/>
        </w:rPr>
        <w:t xml:space="preserve">16z6jLVrERWQ-nYPNG9OWZhInX5XZL6LO</w:t>
      </w:r>
      <w:r>
        <w:t xml:space="preserve">); the Tektronix-OSU-1996 origin transcript anchoring Chapter 1.</w:t>
      </w:r>
    </w:p>
    <w:p>
      <w:pPr>
        <w:numPr>
          <w:ilvl w:val="0"/>
          <w:numId w:val="1010"/>
        </w:numPr>
        <w:pStyle w:val="Compact"/>
      </w:pPr>
      <w:r>
        <w:rPr>
          <w:i/>
        </w:rPr>
        <w:t xml:space="preserve">J Wesly Sullivan Memorial</w:t>
      </w:r>
      <w:r>
        <w:t xml:space="preserve"> </w:t>
      </w:r>
      <w:r>
        <w:t xml:space="preserve">— Drive root,</w:t>
      </w:r>
      <w:r>
        <w:t xml:space="preserve"> </w:t>
      </w:r>
      <w:r>
        <w:rPr>
          <w:rStyle w:val="VerbatimChar"/>
        </w:rPr>
        <w:t xml:space="preserve">J Wesly Sullivan Memorial.doc</w:t>
      </w:r>
      <w:r>
        <w:t xml:space="preserve">; biographical material on Dave Sullivan’s father, former member of the Oregon State Board of Forestry and former editor of the Salem</w:t>
      </w:r>
      <w:r>
        <w:t xml:space="preserve"> </w:t>
      </w:r>
      <w:r>
        <w:rPr>
          <w:i/>
        </w:rPr>
        <w:t xml:space="preserve">Statesman-Journal</w:t>
      </w:r>
      <w:r>
        <w:t xml:space="preserve">; Preface enrichment.</w:t>
      </w:r>
    </w:p>
    <w:p>
      <w:pPr>
        <w:numPr>
          <w:ilvl w:val="0"/>
          <w:numId w:val="1010"/>
        </w:numPr>
        <w:pStyle w:val="Compact"/>
      </w:pPr>
      <w:r>
        <w:rPr>
          <w:i/>
        </w:rPr>
        <w:t xml:space="preserve">Phillips/Gould/Giesy photograph</w:t>
      </w:r>
      <w:r>
        <w:t xml:space="preserve"> </w:t>
      </w:r>
      <w:r>
        <w:t xml:space="preserve">— Drive,</w:t>
      </w:r>
      <w:r>
        <w:t xml:space="preserve"> </w:t>
      </w:r>
      <w:r>
        <w:rPr>
          <w:rStyle w:val="VerbatimChar"/>
        </w:rPr>
        <w:t xml:space="preserve">PhillipsGouldGeiseyPhoto.jpg</w:t>
      </w:r>
      <w:r>
        <w:t xml:space="preserve"> </w:t>
      </w:r>
      <w:r>
        <w:t xml:space="preserve">(ID</w:t>
      </w:r>
      <w:r>
        <w:t xml:space="preserve"> </w:t>
      </w:r>
      <w:r>
        <w:rPr>
          <w:rStyle w:val="VerbatimChar"/>
        </w:rPr>
        <w:t xml:space="preserve">1GtVh1dgWCS2iekM3nRf3yCjScMuufdCW</w:t>
      </w:r>
      <w:r>
        <w:t xml:space="preserve">); three men, two now deceased; Chapter 8 anchor.</w:t>
      </w:r>
    </w:p>
    <w:p>
      <w:pPr>
        <w:pStyle w:val="FirstParagraph"/>
      </w:pPr>
      <w:r>
        <w:rPr>
          <w:b/>
        </w:rPr>
        <w:t xml:space="preserve">Web-archive sources</w:t>
      </w:r>
    </w:p>
    <w:p>
      <w:pPr>
        <w:numPr>
          <w:ilvl w:val="0"/>
          <w:numId w:val="1011"/>
        </w:numPr>
        <w:pStyle w:val="Compact"/>
      </w:pPr>
      <w:r>
        <w:rPr>
          <w:i/>
        </w:rPr>
        <w:t xml:space="preserve">ElliottSecrets.net</w:t>
      </w:r>
      <w:r>
        <w:t xml:space="preserve"> </w:t>
      </w:r>
      <w:r>
        <w:t xml:space="preserve">(Wayback snapshot, 2022-01-12) —</w:t>
      </w:r>
      <w:r>
        <w:t xml:space="preserve"> </w:t>
      </w:r>
      <w:r>
        <w:rPr>
          <w:rStyle w:val="VerbatimChar"/>
        </w:rPr>
        <w:t xml:space="preserve">https://web.archive.org/web/2022/https://sites.google.com/view/elliottsecrets/</w:t>
      </w:r>
      <w:r>
        <w:t xml:space="preserve">. Dave Sullivan’s 2020 documentary website; dedicated to J. Wesley Sullivan. Carries verbatim text of the DSL Cougar Pass refusal letter and the May 27, 2020 Davis email.</w:t>
      </w:r>
    </w:p>
    <w:p>
      <w:pPr>
        <w:numPr>
          <w:ilvl w:val="0"/>
          <w:numId w:val="1011"/>
        </w:numPr>
        <w:pStyle w:val="Compact"/>
      </w:pPr>
      <w:r>
        <w:rPr>
          <w:i/>
        </w:rPr>
        <w:t xml:space="preserve">cougarpass.org</w:t>
      </w:r>
      <w:r>
        <w:t xml:space="preserve"> </w:t>
      </w:r>
      <w:r>
        <w:t xml:space="preserve">— Drive Google Site, ID</w:t>
      </w:r>
      <w:r>
        <w:t xml:space="preserve"> </w:t>
      </w:r>
      <w:r>
        <w:rPr>
          <w:rStyle w:val="VerbatimChar"/>
        </w:rPr>
        <w:t xml:space="preserve">13QDsVGgMG8RA2xvW5hl9_EQmr_6ejHZL</w:t>
      </w:r>
      <w:r>
        <w:t xml:space="preserve">; Sullivan’s Cougar Pass site, Forest Fire Lookout Association proposal materials.</w:t>
      </w:r>
    </w:p>
    <w:p>
      <w:pPr>
        <w:numPr>
          <w:ilvl w:val="0"/>
          <w:numId w:val="1011"/>
        </w:numPr>
        <w:pStyle w:val="Compact"/>
      </w:pPr>
      <w:r>
        <w:rPr>
          <w:i/>
        </w:rPr>
        <w:t xml:space="preserve">OASTL.org</w:t>
      </w:r>
      <w:r>
        <w:t xml:space="preserve"> </w:t>
      </w:r>
      <w:r>
        <w:t xml:space="preserve">—</w:t>
      </w:r>
      <w:r>
        <w:t xml:space="preserve"> </w:t>
      </w:r>
      <w:r>
        <w:rPr>
          <w:rStyle w:val="VerbatimChar"/>
        </w:rPr>
        <w:t xml:space="preserve">https://oastl.org/</w:t>
      </w:r>
      <w:r>
        <w:t xml:space="preserve">; the public docket for</w:t>
      </w:r>
      <w:r>
        <w:t xml:space="preserve"> </w:t>
      </w:r>
      <w:r>
        <w:rPr>
          <w:i/>
        </w:rPr>
        <w:t xml:space="preserve">Advocates for School Trust Lands v. State of Oregon</w:t>
      </w:r>
      <w:r>
        <w:t xml:space="preserve"> </w:t>
      </w:r>
      <w:r>
        <w:t xml:space="preserve">(24CV38372).</w:t>
      </w:r>
    </w:p>
    <w:p>
      <w:pPr>
        <w:numPr>
          <w:ilvl w:val="0"/>
          <w:numId w:val="1011"/>
        </w:numPr>
        <w:pStyle w:val="Compact"/>
      </w:pPr>
      <w:r>
        <w:rPr>
          <w:i/>
        </w:rPr>
        <w:t xml:space="preserve">America’s School Trust Library</w:t>
      </w:r>
      <w:r>
        <w:t xml:space="preserve"> </w:t>
      </w:r>
      <w:r>
        <w:t xml:space="preserve">—</w:t>
      </w:r>
      <w:r>
        <w:t xml:space="preserve"> </w:t>
      </w:r>
      <w:r>
        <w:rPr>
          <w:rStyle w:val="VerbatimChar"/>
        </w:rPr>
        <w:t xml:space="preserve">https://schooltrusts.net/</w:t>
      </w:r>
      <w:r>
        <w:t xml:space="preserve">; the institutional home of the broader documentary record.</w:t>
      </w:r>
    </w:p>
    <w:p>
      <w:pPr>
        <w:pStyle w:val="FirstParagraph"/>
      </w:pPr>
      <w:r>
        <w:rPr>
          <w:b/>
        </w:rPr>
        <w:t xml:space="preserve">Source ledgers (substrate of substrate)</w:t>
      </w:r>
      <w:r>
        <w:t xml:space="preserve"> </w:t>
      </w:r>
      <w:r>
        <w:t xml:space="preserve">— the per-source catalogs the chapter sub-agents drew from:</w:t>
      </w:r>
    </w:p>
    <w:p>
      <w:pPr>
        <w:numPr>
          <w:ilvl w:val="0"/>
          <w:numId w:val="1012"/>
        </w:numPr>
        <w:pStyle w:val="Compact"/>
      </w:pPr>
      <w:r>
        <w:rPr>
          <w:rStyle w:val="VerbatimChar"/>
        </w:rPr>
        <w:t xml:space="preserve">L0_Primary_Sources/Discovery/Gmail_Elliott_Source_Ledger_2026-05-10.md</w:t>
      </w:r>
      <w:r>
        <w:t xml:space="preserve"> </w:t>
      </w:r>
      <w:r>
        <w:t xml:space="preserve">— 101+ Gmail threads catalogued, 2022–2026.</w:t>
      </w:r>
    </w:p>
    <w:p>
      <w:pPr>
        <w:numPr>
          <w:ilvl w:val="0"/>
          <w:numId w:val="1012"/>
        </w:numPr>
        <w:pStyle w:val="Compact"/>
      </w:pPr>
      <w:r>
        <w:rPr>
          <w:rStyle w:val="VerbatimChar"/>
        </w:rPr>
        <w:t xml:space="preserve">L0_Primary_Sources/Discovery/Drive_Elliott_Source_Ledger_2026-05-10.md</w:t>
      </w:r>
      <w:r>
        <w:t xml:space="preserve"> </w:t>
      </w:r>
      <w:r>
        <w:t xml:space="preserve">— Drive folder and file inventory: Speechnotes, CougarPass, Gould, FOIA scans, multimedia.</w:t>
      </w:r>
    </w:p>
    <w:p>
      <w:pPr>
        <w:numPr>
          <w:ilvl w:val="0"/>
          <w:numId w:val="1012"/>
        </w:numPr>
        <w:pStyle w:val="Compact"/>
      </w:pPr>
      <w:r>
        <w:rPr>
          <w:rStyle w:val="VerbatimChar"/>
        </w:rPr>
        <w:t xml:space="preserve">L0_Primary_Sources/Discovery/Web_ElliottSecrets_Ledger_2026-05-10.md</w:t>
      </w:r>
      <w:r>
        <w:t xml:space="preserve"> </w:t>
      </w:r>
      <w:r>
        <w:t xml:space="preserve">— full ElliottSecrets website recovery via Wayback Machine, page by page.</w:t>
      </w:r>
    </w:p>
    <w:p>
      <w:pPr>
        <w:numPr>
          <w:ilvl w:val="0"/>
          <w:numId w:val="1012"/>
        </w:numPr>
        <w:pStyle w:val="Compact"/>
      </w:pPr>
      <w:r>
        <w:rPr>
          <w:rStyle w:val="VerbatimChar"/>
        </w:rPr>
        <w:t xml:space="preserve">L0_Primary_Sources/Discovery/Web_OASTL_org_Ledger_2026-05-10.md</w:t>
      </w:r>
      <w:r>
        <w:t xml:space="preserve"> </w:t>
      </w:r>
      <w:r>
        <w:t xml:space="preserve">— full OASTL.org website inventory, current docket state.</w:t>
      </w:r>
    </w:p>
    <w:p>
      <w:r>
        <w:pict>
          <v:rect style="width:0;height:1.5pt" o:hralign="center" o:hrstd="t" o:hr="t"/>
        </w:pict>
      </w:r>
    </w:p>
    <w:p>
      <w:pPr>
        <w:pStyle w:val="Heading2"/>
      </w:pPr>
      <w:bookmarkStart w:id="88" w:name="d.-recommended-further-reading"/>
      <w:r>
        <w:t xml:space="preserve">D. Recommended Further Reading</w:t>
      </w:r>
      <w:bookmarkEnd w:id="88"/>
    </w:p>
    <w:p>
      <w:pPr>
        <w:pStyle w:val="FirstParagraph"/>
      </w:pPr>
      <w:r>
        <w:rPr>
          <w:b/>
        </w:rPr>
        <w:t xml:space="preserve">The companion duology.</w:t>
      </w:r>
      <w:r>
        <w:t xml:space="preserve"> </w:t>
      </w:r>
      <w:r>
        <w:rPr>
          <w:i/>
        </w:rPr>
        <w:t xml:space="preserve">LOOKING BACK · Schools of the Republic</w:t>
      </w:r>
      <w:r>
        <w:t xml:space="preserve"> </w:t>
      </w:r>
      <w:r>
        <w:t xml:space="preserve">and</w:t>
      </w:r>
      <w:r>
        <w:t xml:space="preserve"> </w:t>
      </w:r>
      <w:r>
        <w:rPr>
          <w:i/>
        </w:rPr>
        <w:t xml:space="preserve">LOOKING FORWARD · The Eighth Anchor</w:t>
      </w:r>
      <w:r>
        <w:t xml:space="preserve">, by Margaret Bird and Dave Sullivan, published by America’s School Trust Library (2026). The dos-à-dos volume reads in two directions: the</w:t>
      </w:r>
      <w:r>
        <w:t xml:space="preserve"> </w:t>
      </w:r>
      <w:r>
        <w:rPr>
          <w:i/>
        </w:rPr>
        <w:t xml:space="preserve">Looking Back</w:t>
      </w:r>
      <w:r>
        <w:t xml:space="preserve"> </w:t>
      </w:r>
      <w:r>
        <w:t xml:space="preserve">half catalogs every state’s school-trust-land record since 1785; the</w:t>
      </w:r>
      <w:r>
        <w:t xml:space="preserve"> </w:t>
      </w:r>
      <w:r>
        <w:rPr>
          <w:i/>
        </w:rPr>
        <w:t xml:space="preserve">Looking Forward</w:t>
      </w:r>
      <w:r>
        <w:t xml:space="preserve"> </w:t>
      </w:r>
      <w:r>
        <w:t xml:space="preserve">half names the Library itself — institutional watchfulness — as the eighth anchor against drift. The Oregon Elliott case is one entry in a fifty-state record. The companion volume supplies the comparative architecture this book deliberately does not carry. Available at the Library,</w:t>
      </w:r>
      <w:r>
        <w:t xml:space="preserve"> </w:t>
      </w:r>
      <w:r>
        <w:rPr>
          <w:rStyle w:val="VerbatimChar"/>
        </w:rPr>
        <w:t xml:space="preserve">https://schooltrusts.net/</w:t>
      </w:r>
      <w:r>
        <w:t xml:space="preserve">.</w:t>
      </w:r>
    </w:p>
    <w:p>
      <w:pPr>
        <w:pStyle w:val="BodyText"/>
      </w:pPr>
      <w:r>
        <w:rPr>
          <w:b/>
        </w:rPr>
        <w:t xml:space="preserve">Jerry Phillips,</w:t>
      </w:r>
      <w:r>
        <w:t xml:space="preserve"> </w:t>
      </w:r>
      <w:r>
        <w:t xml:space="preserve">Caulked Boots and Cheese Sandwiches. The canonical Elliott history by the man who ran the Coos Bay District for thirty-three years (1956–1989). Phillips’s annotated 1879 Coos Bay Fire map and his sustained-yield management record anchor the empirical floor of any honest Elliott valuation. The $790 million baseline that recurs through Chapter 1’s arithmetic comes from Phillips.</w:t>
      </w:r>
    </w:p>
    <w:p>
      <w:pPr>
        <w:pStyle w:val="BodyText"/>
      </w:pPr>
      <w:r>
        <w:rPr>
          <w:b/>
        </w:rPr>
        <w:t xml:space="preserve">Stephen A. D. Puter,</w:t>
      </w:r>
      <w:r>
        <w:t xml:space="preserve"> </w:t>
      </w:r>
      <w:r>
        <w:t xml:space="preserve">Looters of the Public Domain</w:t>
      </w:r>
      <w:r>
        <w:t xml:space="preserve"> </w:t>
      </w:r>
      <w:r>
        <w:rPr>
          <w:i/>
        </w:rPr>
        <w:t xml:space="preserve">(1907)</w:t>
      </w:r>
      <w:r>
        <w:t xml:space="preserve">. The federal Oregon land-fraud-trial era memoir, written by one of the convicted. Puter, who served his prison sentence and then wrote the book, documents the period in which 21 indictments — including U.S. Senator John H. Mitchell — produced convictions in federal court for the systematic theft of Oregon school lands. Read alongside the 1910 F.G. Young article and Chamberlain’s 1907 legislative message, Puter is the period’s interior view.</w:t>
      </w:r>
    </w:p>
    <w:p>
      <w:pPr>
        <w:pStyle w:val="BodyText"/>
      </w:pPr>
      <w:r>
        <w:rPr>
          <w:b/>
        </w:rPr>
        <w:t xml:space="preserve">Margaret Bird’s national-context writings.</w:t>
      </w:r>
      <w:r>
        <w:t xml:space="preserve"> </w:t>
      </w:r>
      <w:r>
        <w:t xml:space="preserve">The National Association of School Trust Lands (NASTL) papers — twenty-plus years of state-by-state analysis — establish the doctrinal floor the Oregon record breaches. Bird’s published work on Utah, on the Western states’ grant lands, and on the comparative trust-doctrine literature can be requested through ASTL at the addresses listed at the Library.</w:t>
      </w:r>
    </w:p>
    <w:p>
      <w:pPr>
        <w:pStyle w:val="BodyText"/>
      </w:pPr>
      <w:r>
        <w:rPr>
          <w:b/>
        </w:rPr>
        <w:t xml:space="preserve">Jim Petersen,</w:t>
      </w:r>
      <w:r>
        <w:t xml:space="preserve"> </w:t>
      </w:r>
      <w:r>
        <w:t xml:space="preserve">Evergreen Magazine. The 2024 article</w:t>
      </w:r>
      <w:r>
        <w:t xml:space="preserve"> </w:t>
      </w:r>
      <w:r>
        <w:t xml:space="preserve">“</w:t>
      </w:r>
      <w:r>
        <w:t xml:space="preserve">Who Steals from Children?</w:t>
      </w:r>
      <w:r>
        <w:t xml:space="preserve">”</w:t>
      </w:r>
      <w:r>
        <w:t xml:space="preserve"> </w:t>
      </w:r>
      <w:r>
        <w:t xml:space="preserve">— from which this series takes its title — is one of a sustained body of Petersen reportage on Pacific Northwest forest policy, school-trust lands, and the federal-and-state forest economy. Petersen’s archive at evergreenmagazine.com carries the broader record. Petersen edits and publishes from Dalton Gardens, Idaho.</w:t>
      </w:r>
    </w:p>
    <w:p>
      <w:pPr>
        <w:pStyle w:val="BodyText"/>
      </w:pPr>
      <w:r>
        <w:rPr>
          <w:b/>
        </w:rPr>
        <w:t xml:space="preserve">OASTL.org legal documents page.</w:t>
      </w:r>
      <w:r>
        <w:t xml:space="preserve"> </w:t>
      </w:r>
      <w:r>
        <w:t xml:space="preserve">All filings in</w:t>
      </w:r>
      <w:r>
        <w:t xml:space="preserve"> </w:t>
      </w:r>
      <w:r>
        <w:rPr>
          <w:i/>
        </w:rPr>
        <w:t xml:space="preserve">Advocates for School Trust Lands v. State of Oregon</w:t>
      </w:r>
      <w:r>
        <w:t xml:space="preserve"> </w:t>
      </w:r>
      <w:r>
        <w:t xml:space="preserve">(24CV38372) are linked from</w:t>
      </w:r>
      <w:r>
        <w:t xml:space="preserve"> </w:t>
      </w:r>
      <w:r>
        <w:rPr>
          <w:rStyle w:val="VerbatimChar"/>
        </w:rPr>
        <w:t xml:space="preserve">https://oastl.org/</w:t>
      </w:r>
      <w:r>
        <w:t xml:space="preserve">. The page is the public docket for the case, including the January 28, 2026 Court of Appeals opinion, the State’s October 24, 2025 Answer, the discovery exchange, and the motion to compel.</w:t>
      </w:r>
    </w:p>
    <w:p>
      <w:pPr>
        <w:pStyle w:val="BodyText"/>
      </w:pPr>
      <w:r>
        <w:rPr>
          <w:b/>
        </w:rPr>
        <w:t xml:space="preserve">The 1910</w:t>
      </w:r>
      <w:r>
        <w:t xml:space="preserve"> </w:t>
      </w:r>
      <w:r>
        <w:t xml:space="preserve">Oregon Historical Quarterly</w:t>
      </w:r>
      <w:r>
        <w:t xml:space="preserve"> </w:t>
      </w:r>
      <w:r>
        <w:rPr>
          <w:b/>
        </w:rPr>
        <w:t xml:space="preserve">archive.</w:t>
      </w:r>
      <w:r>
        <w:t xml:space="preserve"> </w:t>
      </w:r>
      <w:r>
        <w:t xml:space="preserve">F.G. Young’s</w:t>
      </w:r>
      <w:r>
        <w:t xml:space="preserve"> </w:t>
      </w:r>
      <w:r>
        <w:t xml:space="preserve">“</w:t>
      </w:r>
      <w:r>
        <w:t xml:space="preserve">The Common School Fund</w:t>
      </w:r>
      <w:r>
        <w:t xml:space="preserve">”</w:t>
      </w:r>
      <w:r>
        <w:t xml:space="preserve"> </w:t>
      </w:r>
      <w:r>
        <w:t xml:space="preserve">is one of a sequence of OHS articles documenting Oregon’s early administrative record on the school-land trust. The full archive is available through the Oregon Historical Society. Read alongside the period’s federal land-fraud trial records (1904–1910) and Puter’s</w:t>
      </w:r>
      <w:r>
        <w:t xml:space="preserve"> </w:t>
      </w:r>
      <w:r>
        <w:rPr>
          <w:i/>
        </w:rPr>
        <w:t xml:space="preserve">Looters</w:t>
      </w:r>
      <w:r>
        <w:t xml:space="preserve">, it supplies the empirical floor for the historical chapters.</w:t>
      </w:r>
    </w:p>
    <w:p>
      <w:pPr>
        <w:pStyle w:val="BodyText"/>
      </w:pPr>
      <w:r>
        <w:rPr>
          <w:b/>
        </w:rPr>
        <w:t xml:space="preserve">The next volumes.</w:t>
      </w:r>
      <w:r>
        <w:t xml:space="preserve"> </w:t>
      </w:r>
      <w:r>
        <w:rPr>
          <w:i/>
        </w:rPr>
        <w:t xml:space="preserve">Who Steals from Children: Volume 2 — Utah</w:t>
      </w:r>
      <w:r>
        <w:t xml:space="preserve"> </w:t>
      </w:r>
      <w:r>
        <w:t xml:space="preserve">is being researched as this volume is published. Utah carries a different fact pattern — the state with the longest record of disciplined trust administration is under structurally different pressure — and Margaret Bird’s archival depth on Utah makes Volume 2 the natural successor. Subsequent volumes follow as the cases mature. The series is updated at America’s School Trust Library,</w:t>
      </w:r>
      <w:r>
        <w:t xml:space="preserve"> </w:t>
      </w:r>
      <w:r>
        <w:rPr>
          <w:rStyle w:val="VerbatimChar"/>
        </w:rPr>
        <w:t xml:space="preserve">https://schooltrusts.net/</w:t>
      </w:r>
      <w:r>
        <w:t xml:space="preserve">. Readers who want to follow can join the Library’s mailing list at the same address; the</w:t>
      </w:r>
      <w:r>
        <w:t xml:space="preserve"> </w:t>
      </w:r>
      <w:r>
        <w:rPr>
          <w:i/>
        </w:rPr>
        <w:t xml:space="preserve">Friends of the Library</w:t>
      </w:r>
      <w:r>
        <w:t xml:space="preserve"> </w:t>
      </w:r>
      <w:r>
        <w:t xml:space="preserve">newsletter carries volume announcements.</w:t>
      </w:r>
    </w:p>
    <w:p>
      <w:r>
        <w:pict>
          <v:rect style="width:0;height:1.5pt" o:hralign="center" o:hrstd="t" o:hr="t"/>
        </w:pict>
      </w:r>
    </w:p>
    <w:p>
      <w:pPr>
        <w:pStyle w:val="Heading2"/>
      </w:pPr>
      <w:bookmarkStart w:id="89" w:name="e.-how-to-verify-anything-in-this-book"/>
      <w:r>
        <w:t xml:space="preserve">E. How to Verify Anything in This Book</w:t>
      </w:r>
      <w:bookmarkEnd w:id="89"/>
    </w:p>
    <w:p>
      <w:pPr>
        <w:pStyle w:val="FirstParagraph"/>
      </w:pPr>
      <w:r>
        <w:t xml:space="preserve">This book makes factual claims about public actions of a public body — the Oregon State Land Board — and about filings in active litigation. Every claim of fact in the body chapters can be confirmed against a public record. The reader who wants to verify anything has three paths, and each path is named below with the specific URL or office that holds the underlying document.</w:t>
      </w:r>
    </w:p>
    <w:p>
      <w:pPr>
        <w:pStyle w:val="BodyText"/>
      </w:pPr>
      <w:r>
        <w:rPr>
          <w:b/>
        </w:rPr>
        <w:t xml:space="preserve">Path 1 — OASTL.org, for the active case.</w:t>
      </w:r>
      <w:r>
        <w:t xml:space="preserve"> </w:t>
      </w:r>
      <w:r>
        <w:t xml:space="preserve">The Oregon Advocates for School Trust Lands maintains a public legal-resources page at</w:t>
      </w:r>
      <w:r>
        <w:t xml:space="preserve"> </w:t>
      </w:r>
      <w:r>
        <w:rPr>
          <w:rStyle w:val="VerbatimChar"/>
        </w:rPr>
        <w:t xml:space="preserve">https://oastl.org/</w:t>
      </w:r>
      <w:r>
        <w:t xml:space="preserve">. Every filing in</w:t>
      </w:r>
      <w:r>
        <w:t xml:space="preserve"> </w:t>
      </w:r>
      <w:r>
        <w:rPr>
          <w:i/>
        </w:rPr>
        <w:t xml:space="preserve">Advocates for School Trust Lands v. State of Oregon</w:t>
      </w:r>
      <w:r>
        <w:t xml:space="preserve"> </w:t>
      </w:r>
      <w:r>
        <w:t xml:space="preserve">(Coos County Circuit Court 24CV38372) is linked there in PDF form. This is the path for confirming any litigation claim in Chapters 10, 11, and 12.</w:t>
      </w:r>
    </w:p>
    <w:p>
      <w:pPr>
        <w:numPr>
          <w:ilvl w:val="0"/>
          <w:numId w:val="1013"/>
        </w:numPr>
        <w:pStyle w:val="Compact"/>
      </w:pPr>
      <w:r>
        <w:rPr>
          <w:i/>
        </w:rPr>
        <w:t xml:space="preserve">To confirm the State’s October 24, 2025 Answer language</w:t>
      </w:r>
      <w:r>
        <w:t xml:space="preserve"> </w:t>
      </w:r>
      <w:r>
        <w:t xml:space="preserve">—</w:t>
      </w:r>
      <w:r>
        <w:t xml:space="preserve"> </w:t>
      </w:r>
      <w:r>
        <w:rPr>
          <w:i/>
        </w:rPr>
        <w:t xml:space="preserve">“</w:t>
      </w:r>
      <w:r>
        <w:rPr>
          <w:i/>
        </w:rPr>
        <w:t xml:space="preserve">does not owe Plaintiffs the duties alleged</w:t>
      </w:r>
      <w:r>
        <w:rPr>
          <w:i/>
        </w:rPr>
        <w:t xml:space="preserve">”</w:t>
      </w:r>
      <w:r>
        <w:t xml:space="preserve"> </w:t>
      </w:r>
      <w:r>
        <w:t xml:space="preserve">— open</w:t>
      </w:r>
      <w:r>
        <w:t xml:space="preserve"> </w:t>
      </w:r>
      <w:r>
        <w:rPr>
          <w:rStyle w:val="VerbatimChar"/>
        </w:rPr>
        <w:t xml:space="preserve">https://oastl.org/</w:t>
      </w:r>
      <w:r>
        <w:t xml:space="preserve">, find the link labeled</w:t>
      </w:r>
      <w:r>
        <w:t xml:space="preserve"> </w:t>
      </w:r>
      <w:r>
        <w:rPr>
          <w:i/>
        </w:rPr>
        <w:t xml:space="preserve">Defendants’ Answer</w:t>
      </w:r>
      <w:r>
        <w:t xml:space="preserve"> </w:t>
      </w:r>
      <w:r>
        <w:t xml:space="preserve">(or filed October 24, 2025), download the PDF, and read paragraph by paragraph. The operative sentence appears in the State’s response to the breach-of-fiduciary-duty allegations.</w:t>
      </w:r>
    </w:p>
    <w:p>
      <w:pPr>
        <w:numPr>
          <w:ilvl w:val="0"/>
          <w:numId w:val="1013"/>
        </w:numPr>
        <w:pStyle w:val="Compact"/>
      </w:pPr>
      <w:r>
        <w:rPr>
          <w:i/>
        </w:rPr>
        <w:t xml:space="preserve">To confirm the discovery exchange</w:t>
      </w:r>
      <w:r>
        <w:t xml:space="preserve"> </w:t>
      </w:r>
      <w:r>
        <w:t xml:space="preserve">— the February 27, 2026 Response to RFP and the May 2, 2026 Motion to Compel — same page, two further links. Daniel Zene Crowe’s April 21, 2026 declaration is filed with the motion and is the readable summary.</w:t>
      </w:r>
    </w:p>
    <w:p>
      <w:pPr>
        <w:numPr>
          <w:ilvl w:val="0"/>
          <w:numId w:val="1013"/>
        </w:numPr>
        <w:pStyle w:val="Compact"/>
      </w:pPr>
      <w:r>
        <w:rPr>
          <w:i/>
        </w:rPr>
        <w:t xml:space="preserve">To confirm the January 28, 2026 Court of Appeals opinion</w:t>
      </w:r>
      <w:r>
        <w:t xml:space="preserve"> </w:t>
      </w:r>
      <w:r>
        <w:t xml:space="preserve">— 346 Or App 668. The opinion is linked from OASTL.org and is also available directly from the Oregon Judicial Department’s published-opinions archive at</w:t>
      </w:r>
      <w:r>
        <w:t xml:space="preserve"> </w:t>
      </w:r>
      <w:r>
        <w:rPr>
          <w:rStyle w:val="VerbatimChar"/>
        </w:rPr>
        <w:t xml:space="preserve">https://www.courts.oregon.gov/publications/appellate/Pages/default.aspx</w:t>
      </w:r>
      <w:r>
        <w:t xml:space="preserve">. Search for the case name</w:t>
      </w:r>
      <w:r>
        <w:t xml:space="preserve"> </w:t>
      </w:r>
      <w:r>
        <w:rPr>
          <w:i/>
        </w:rPr>
        <w:t xml:space="preserve">Advocates for School Trust Lands v. State of Oregon</w:t>
      </w:r>
      <w:r>
        <w:t xml:space="preserve"> </w:t>
      </w:r>
      <w:r>
        <w:t xml:space="preserve">and the date January 28, 2026.</w:t>
      </w:r>
    </w:p>
    <w:p>
      <w:pPr>
        <w:pStyle w:val="FirstParagraph"/>
      </w:pPr>
      <w:r>
        <w:rPr>
          <w:b/>
        </w:rPr>
        <w:t xml:space="preserve">Path 2 — schooltrusts.net, for the broader documentary record.</w:t>
      </w:r>
      <w:r>
        <w:t xml:space="preserve"> </w:t>
      </w:r>
      <w:r>
        <w:t xml:space="preserve">America’s School Trust Library at</w:t>
      </w:r>
      <w:r>
        <w:t xml:space="preserve"> </w:t>
      </w:r>
      <w:r>
        <w:rPr>
          <w:rStyle w:val="VerbatimChar"/>
        </w:rPr>
        <w:t xml:space="preserve">https://schooltrusts.net/</w:t>
      </w:r>
      <w:r>
        <w:t xml:space="preserve"> </w:t>
      </w:r>
      <w:r>
        <w:t xml:space="preserve">is the institutional home of the documentary substrate from which this book is rendered. The Reading Room at</w:t>
      </w:r>
      <w:r>
        <w:t xml:space="preserve"> </w:t>
      </w:r>
      <w:r>
        <w:rPr>
          <w:rStyle w:val="VerbatimChar"/>
        </w:rPr>
        <w:t xml:space="preserve">/reading/</w:t>
      </w:r>
      <w:r>
        <w:t xml:space="preserve"> </w:t>
      </w:r>
      <w:r>
        <w:t xml:space="preserve">carries the long-form documents —</w:t>
      </w:r>
      <w:r>
        <w:t xml:space="preserve"> </w:t>
      </w:r>
      <w:r>
        <w:rPr>
          <w:i/>
        </w:rPr>
        <w:t xml:space="preserve">The Sacred Compact</w:t>
      </w:r>
      <w:r>
        <w:t xml:space="preserve">,</w:t>
      </w:r>
      <w:r>
        <w:t xml:space="preserve"> </w:t>
      </w:r>
      <w:r>
        <w:rPr>
          <w:i/>
        </w:rPr>
        <w:t xml:space="preserve">Schools of the Republic</w:t>
      </w:r>
      <w:r>
        <w:t xml:space="preserve">,</w:t>
      </w:r>
      <w:r>
        <w:t xml:space="preserve"> </w:t>
      </w:r>
      <w:r>
        <w:rPr>
          <w:i/>
        </w:rPr>
        <w:t xml:space="preserve">The Eighth Anchor</w:t>
      </w:r>
      <w:r>
        <w:t xml:space="preserve"> </w:t>
      </w:r>
      <w:r>
        <w:t xml:space="preserve">— and a per-state record at</w:t>
      </w:r>
      <w:r>
        <w:t xml:space="preserve"> </w:t>
      </w:r>
      <w:r>
        <w:rPr>
          <w:rStyle w:val="VerbatimChar"/>
        </w:rPr>
        <w:t xml:space="preserve">/states/oregon/</w:t>
      </w:r>
      <w:r>
        <w:t xml:space="preserve">. The Library is the path for confirming any claim about national-context architecture (the Margaret Bird letter; the Utah comparative record; the</w:t>
      </w:r>
      <w:r>
        <w:t xml:space="preserve"> </w:t>
      </w:r>
      <w:r>
        <w:rPr>
          <w:i/>
        </w:rPr>
        <w:t xml:space="preserve">Eagle Point</w:t>
      </w:r>
      <w:r>
        <w:t xml:space="preserve"> </w:t>
      </w:r>
      <w:r>
        <w:t xml:space="preserve">doctrine).</w:t>
      </w:r>
    </w:p>
    <w:p>
      <w:pPr>
        <w:numPr>
          <w:ilvl w:val="0"/>
          <w:numId w:val="1014"/>
        </w:numPr>
        <w:pStyle w:val="Compact"/>
      </w:pPr>
      <w:r>
        <w:rPr>
          <w:i/>
        </w:rPr>
        <w:t xml:space="preserve">To confirm the Margaret Bird December 11, 2022 letter to the State Land Board</w:t>
      </w:r>
      <w:r>
        <w:t xml:space="preserve"> </w:t>
      </w:r>
      <w:r>
        <w:t xml:space="preserve">— open</w:t>
      </w:r>
      <w:r>
        <w:t xml:space="preserve"> </w:t>
      </w:r>
      <w:r>
        <w:rPr>
          <w:rStyle w:val="VerbatimChar"/>
        </w:rPr>
        <w:t xml:space="preserve">https://schooltrusts.net/</w:t>
      </w:r>
      <w:r>
        <w:t xml:space="preserve">, navigate to</w:t>
      </w:r>
      <w:r>
        <w:t xml:space="preserve"> </w:t>
      </w:r>
      <w:r>
        <w:rPr>
          <w:rStyle w:val="VerbatimChar"/>
        </w:rPr>
        <w:t xml:space="preserve">/states/oregon/</w:t>
      </w:r>
      <w:r>
        <w:t xml:space="preserve"> </w:t>
      </w:r>
      <w:r>
        <w:t xml:space="preserve">and to the section labeled</w:t>
      </w:r>
      <w:r>
        <w:t xml:space="preserve"> </w:t>
      </w:r>
      <w:r>
        <w:rPr>
          <w:i/>
        </w:rPr>
        <w:t xml:space="preserve">Documentary Record</w:t>
      </w:r>
      <w:r>
        <w:t xml:space="preserve">; the letter is linked there in full. The</w:t>
      </w:r>
      <w:r>
        <w:t xml:space="preserve"> </w:t>
      </w:r>
      <w:r>
        <w:rPr>
          <w:i/>
        </w:rPr>
        <w:t xml:space="preserve">“</w:t>
      </w:r>
      <w:r>
        <w:rPr>
          <w:i/>
        </w:rPr>
        <w:t xml:space="preserve">decoupling is a euphemism for selling</w:t>
      </w:r>
      <w:r>
        <w:rPr>
          <w:i/>
        </w:rPr>
        <w:t xml:space="preserve">”</w:t>
      </w:r>
      <w:r>
        <w:t xml:space="preserve"> </w:t>
      </w:r>
      <w:r>
        <w:t xml:space="preserve">line appears in the third paragraph. The letter is on Margaret Bird’s letterhead as President of the national Advocates for School Trust Lands.</w:t>
      </w:r>
    </w:p>
    <w:p>
      <w:pPr>
        <w:numPr>
          <w:ilvl w:val="0"/>
          <w:numId w:val="1014"/>
        </w:numPr>
        <w:pStyle w:val="Compact"/>
      </w:pPr>
      <w:r>
        <w:rPr>
          <w:i/>
        </w:rPr>
        <w:t xml:space="preserve">To confirm any claim from the</w:t>
      </w:r>
      <w:r>
        <w:t xml:space="preserve"> </w:t>
      </w:r>
      <w:r>
        <w:t xml:space="preserve">Sacred Compact</w:t>
      </w:r>
      <w:r>
        <w:t xml:space="preserve"> </w:t>
      </w:r>
      <w:r>
        <w:rPr>
          <w:i/>
        </w:rPr>
        <w:t xml:space="preserve">or</w:t>
      </w:r>
      <w:r>
        <w:t xml:space="preserve"> </w:t>
      </w:r>
      <w:r>
        <w:t xml:space="preserve">Schools of the Republic — open the Reading Room directly at</w:t>
      </w:r>
      <w:r>
        <w:t xml:space="preserve"> </w:t>
      </w:r>
      <w:r>
        <w:rPr>
          <w:rStyle w:val="VerbatimChar"/>
        </w:rPr>
        <w:t xml:space="preserve">https://schooltrusts.net/reading/</w:t>
      </w:r>
      <w:r>
        <w:t xml:space="preserve">. Each volume’s full text is published there; chapters and pull-quotes are anchored to primary sources.</w:t>
      </w:r>
    </w:p>
    <w:p>
      <w:pPr>
        <w:numPr>
          <w:ilvl w:val="0"/>
          <w:numId w:val="1014"/>
        </w:numPr>
        <w:pStyle w:val="Compact"/>
      </w:pPr>
      <w:r>
        <w:rPr>
          <w:i/>
        </w:rPr>
        <w:t xml:space="preserve">To confirm the Library’s institutional posture and authorship structure</w:t>
      </w:r>
      <w:r>
        <w:t xml:space="preserve"> </w:t>
      </w:r>
      <w:r>
        <w:t xml:space="preserve">—</w:t>
      </w:r>
      <w:r>
        <w:t xml:space="preserve"> </w:t>
      </w:r>
      <w:r>
        <w:rPr>
          <w:rStyle w:val="VerbatimChar"/>
        </w:rPr>
        <w:t xml:space="preserve">https://schooltrusts.net/about/</w:t>
      </w:r>
      <w:r>
        <w:t xml:space="preserve"> </w:t>
      </w:r>
      <w:r>
        <w:t xml:space="preserve">carries the About page.</w:t>
      </w:r>
    </w:p>
    <w:p>
      <w:pPr>
        <w:pStyle w:val="FirstParagraph"/>
      </w:pPr>
      <w:r>
        <w:rPr>
          <w:b/>
        </w:rPr>
        <w:t xml:space="preserve">Path 3 — Oregon public records, for direct State-of-Oregon verification.</w:t>
      </w:r>
      <w:r>
        <w:t xml:space="preserve"> </w:t>
      </w:r>
      <w:r>
        <w:t xml:space="preserve">Every Land Board vote, every Attorney General opinion, every statutory amendment is a public record of the State of Oregon. The reader who wants to confirm a State action against the State’s own files goes here.</w:t>
      </w:r>
    </w:p>
    <w:p>
      <w:pPr>
        <w:numPr>
          <w:ilvl w:val="0"/>
          <w:numId w:val="1015"/>
        </w:numPr>
        <w:pStyle w:val="Compact"/>
      </w:pPr>
      <w:r>
        <w:rPr>
          <w:i/>
        </w:rPr>
        <w:t xml:space="preserve">To confirm a State Land Board vote</w:t>
      </w:r>
      <w:r>
        <w:t xml:space="preserve"> </w:t>
      </w:r>
      <w:r>
        <w:t xml:space="preserve">— for instance, the February 14, 2017 2–1 vote to sell the Elliott or the May 9, 2017 reversal — the State Land Board’s meeting minutes are published by the Department of State Lands at</w:t>
      </w:r>
      <w:r>
        <w:t xml:space="preserve"> </w:t>
      </w:r>
      <w:r>
        <w:rPr>
          <w:rStyle w:val="VerbatimChar"/>
        </w:rPr>
        <w:t xml:space="preserve">https://www.oregon.gov/dsl/land/Pages/SLB-Meetings.aspx</w:t>
      </w:r>
      <w:r>
        <w:t xml:space="preserve">. Find the date; download the minutes PDF; the roll-call vote is recorded in the body of the minutes.</w:t>
      </w:r>
    </w:p>
    <w:p>
      <w:pPr>
        <w:numPr>
          <w:ilvl w:val="0"/>
          <w:numId w:val="1015"/>
        </w:numPr>
        <w:pStyle w:val="Compact"/>
      </w:pPr>
      <w:r>
        <w:rPr>
          <w:i/>
        </w:rPr>
        <w:t xml:space="preserve">To confirm an Attorney General opinion</w:t>
      </w:r>
      <w:r>
        <w:t xml:space="preserve"> </w:t>
      </w:r>
      <w:r>
        <w:t xml:space="preserve">— AGO 7450 (1977), 8223 (1992), 8279 (2003) — the Oregon Department of Justice publishes the opinions archive at</w:t>
      </w:r>
      <w:r>
        <w:t xml:space="preserve"> </w:t>
      </w:r>
      <w:r>
        <w:rPr>
          <w:rStyle w:val="VerbatimChar"/>
        </w:rPr>
        <w:t xml:space="preserve">https://justice.oregon.gov/opinions/</w:t>
      </w:r>
      <w:r>
        <w:t xml:space="preserve">. Search by opinion number.</w:t>
      </w:r>
    </w:p>
    <w:p>
      <w:pPr>
        <w:numPr>
          <w:ilvl w:val="0"/>
          <w:numId w:val="1015"/>
        </w:numPr>
        <w:pStyle w:val="Compact"/>
      </w:pPr>
      <w:r>
        <w:rPr>
          <w:i/>
        </w:rPr>
        <w:t xml:space="preserve">To confirm a statute — for instance, ORS 273 (Department of State Lands), ORS 530 (state forests), the constitutional Article VIII</w:t>
      </w:r>
      <w:r>
        <w:t xml:space="preserve"> </w:t>
      </w:r>
      <w:r>
        <w:t xml:space="preserve">— the Oregon Legislative Assembly publishes the ORS at</w:t>
      </w:r>
      <w:r>
        <w:t xml:space="preserve"> </w:t>
      </w:r>
      <w:r>
        <w:rPr>
          <w:rStyle w:val="VerbatimChar"/>
        </w:rPr>
        <w:t xml:space="preserve">https://oregonlegislature.gov/bills_laws/Pages/ORS.aspx</w:t>
      </w:r>
      <w:r>
        <w:t xml:space="preserve"> </w:t>
      </w:r>
      <w:r>
        <w:t xml:space="preserve">and the Oregon Constitution at the same site under</w:t>
      </w:r>
      <w:r>
        <w:t xml:space="preserve"> </w:t>
      </w:r>
      <w:r>
        <w:rPr>
          <w:i/>
        </w:rPr>
        <w:t xml:space="preserve">Constitution</w:t>
      </w:r>
      <w:r>
        <w:t xml:space="preserve">.</w:t>
      </w:r>
    </w:p>
    <w:p>
      <w:pPr>
        <w:numPr>
          <w:ilvl w:val="0"/>
          <w:numId w:val="1015"/>
        </w:numPr>
        <w:pStyle w:val="Compact"/>
      </w:pPr>
      <w:r>
        <w:rPr>
          <w:i/>
        </w:rPr>
        <w:t xml:space="preserve">To confirm the OSU $2.1 million paragraph in the ESRF Proposal</w:t>
      </w:r>
      <w:r>
        <w:t xml:space="preserve"> </w:t>
      </w:r>
      <w:r>
        <w:t xml:space="preserve">— the OSU Elliott State Research Forest documentation is published by Oregon State University’s College of Forestry; the proposal as filed with the State Land Board is also part of the Land Board’s record-of-decision file at DSL. The operative language —</w:t>
      </w:r>
      <w:r>
        <w:t xml:space="preserve"> </w:t>
      </w:r>
      <w:r>
        <w:rPr>
          <w:i/>
        </w:rPr>
        <w:t xml:space="preserve">“</w:t>
      </w:r>
      <w:r>
        <w:rPr>
          <w:i/>
        </w:rPr>
        <w:t xml:space="preserve">$2.1 million on an average annual basis for the first 50 years</w:t>
      </w:r>
      <w:r>
        <w:rPr>
          <w:i/>
        </w:rPr>
        <w:t xml:space="preserve">”</w:t>
      </w:r>
      <w:r>
        <w:t xml:space="preserve"> </w:t>
      </w:r>
      <w:r>
        <w:t xml:space="preserve">— appears on page 28 of the proposal as submitted in December 2021. A parent or journalist who wants the exact language can request the document from DSL by public records request; the request form is at</w:t>
      </w:r>
      <w:r>
        <w:t xml:space="preserve"> </w:t>
      </w:r>
      <w:r>
        <w:rPr>
          <w:rStyle w:val="VerbatimChar"/>
        </w:rPr>
        <w:t xml:space="preserve">https://www.oregon.gov/dsl/about/Pages/public-records.aspx</w:t>
      </w:r>
      <w:r>
        <w:t xml:space="preserve">. Oregon Public Records Law (ORS 192.311–192.478) puts the burden on the agency to justify any withholding.</w:t>
      </w:r>
    </w:p>
    <w:p>
      <w:pPr>
        <w:pStyle w:val="FirstParagraph"/>
      </w:pPr>
      <w:r>
        <w:rPr>
          <w:b/>
        </w:rPr>
        <w:t xml:space="preserve">A note on the source ledgers.</w:t>
      </w:r>
      <w:r>
        <w:t xml:space="preserve"> </w:t>
      </w:r>
      <w:r>
        <w:t xml:space="preserve">The four ledgers cited in Section C — Gmail, Drive, Web ElliottSecrets, Web OASTL.org — are the substrate that catalogs every primary source cited in this book. They live in the OASTL substrate at</w:t>
      </w:r>
      <w:r>
        <w:t xml:space="preserve"> </w:t>
      </w:r>
      <w:r>
        <w:rPr>
          <w:rStyle w:val="VerbatimChar"/>
        </w:rPr>
        <w:t xml:space="preserve">L0_Primary_Sources/Discovery/</w:t>
      </w:r>
      <w:r>
        <w:t xml:space="preserve"> </w:t>
      </w:r>
      <w:r>
        <w:t xml:space="preserve">and are not public documents. They are named here so that a future researcher, a litigation successor, or a journalist working with the OASTL counsel can confirm that this book’s claims rest on a documented chain of custody. Margaret Bird, Daniel Crowe, and Natalie Scott have access to the substrate. A reader who needs deeper verification than the three public paths above can provide may contact OASTL through the contact page at</w:t>
      </w:r>
      <w:r>
        <w:t xml:space="preserve"> </w:t>
      </w:r>
      <w:r>
        <w:rPr>
          <w:rStyle w:val="VerbatimChar"/>
        </w:rPr>
        <w:t xml:space="preserve">https://oastl.org/contact/</w:t>
      </w:r>
      <w:r>
        <w:t xml:space="preserve">.</w:t>
      </w:r>
    </w:p>
    <w:p>
      <w:pPr>
        <w:pStyle w:val="BodyText"/>
      </w:pPr>
      <w:r>
        <w:t xml:space="preserve">The discipline of this book is that nothing here is taken on the author’s word. Every load-bearing sentence in the body chapters is traceable, through one of the three paths above, to a public record. The reader who tests the book will find it. The reader who doesn’t trust the author should not need to.</w:t>
      </w:r>
    </w:p>
    <w:p>
      <w:r>
        <w:pict>
          <v:rect style="width:0;height:1.5pt" o:hralign="center" o:hrstd="t" o:hr="t"/>
        </w:pict>
      </w:r>
    </w:p>
    <w:p>
      <w:pPr>
        <w:pStyle w:val="FirstParagraph"/>
      </w:pPr>
      <w:r>
        <w:rPr>
          <w:i/>
        </w:rPr>
        <w:t xml:space="preserve">End of Documentary Record.</w:t>
      </w:r>
    </w:p>
    <w:p>
      <w:r>
        <w:pict>
          <v:rect style="width:0;height:1.5pt" o:hralign="center" o:hrstd="t" o:hr="t"/>
        </w:pict>
      </w:r>
    </w:p>
    <w:p>
      <w:pPr>
        <w:pStyle w:val="FirstParagraph"/>
      </w:pPr>
      <w:r>
        <w:drawing>
          <wp:inline>
            <wp:extent cx="1828800" cy="1828800"/>
            <wp:effectExtent b="0" l="0" r="0" t="0"/>
            <wp:docPr descr="" title="" id="1" name="Picture"/>
            <a:graphic>
              <a:graphicData uri="http://schemas.openxmlformats.org/drawingml/2006/picture">
                <pic:pic>
                  <pic:nvPicPr>
                    <pic:cNvPr descr="/sessions/amazing-affectionate-galileo/mnt/Claude%20Cowork/_tools/_web_cache/Library_Seal_v1_2026-05-09_61fa036a8a39_1200x_q90.jpg" id="0" name="Picture"/>
                    <pic:cNvPicPr>
                      <a:picLocks noChangeArrowheads="1" noChangeAspect="1"/>
                    </pic:cNvPicPr>
                  </pic:nvPicPr>
                  <pic:blipFill>
                    <a:blip r:embed="rId90"/>
                    <a:stretch>
                      <a:fillRect/>
                    </a:stretch>
                  </pic:blipFill>
                  <pic:spPr bwMode="auto">
                    <a:xfrm>
                      <a:off x="0" y="0"/>
                      <a:ext cx="1828800" cy="1828800"/>
                    </a:xfrm>
                    <a:prstGeom prst="rect">
                      <a:avLst/>
                    </a:prstGeom>
                    <a:noFill/>
                    <a:ln w="9525">
                      <a:noFill/>
                      <a:headEnd/>
                      <a:tailEnd/>
                    </a:ln>
                  </pic:spPr>
                </pic:pic>
              </a:graphicData>
            </a:graphic>
          </wp:inline>
        </w:drawing>
      </w:r>
    </w:p>
    <w:p>
      <w:pPr>
        <w:pStyle w:val="BodyText"/>
      </w:pPr>
      <w:r>
        <w:rPr>
          <w:i/>
        </w:rPr>
        <w:t xml:space="preserve">Published by America’s School Trust Library.</w:t>
      </w:r>
      <w:r>
        <w:t xml:space="preserve"> </w:t>
      </w:r>
      <w:r>
        <w:rPr>
          <w:i/>
        </w:rPr>
        <w:t xml:space="preserve">schooltrusts.net · 2026.</w:t>
      </w:r>
    </w:p>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Who Steals from Children · Volume 1 · Pre-publication draft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image" Id="rId90" Target="media/rId90.jpg" /><Relationship Type="http://schemas.openxmlformats.org/officeDocument/2006/relationships/image" Id="rId20" Target="media/rId20.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Steals from Children: Volume 1 — Oregon and the Elliott</dc:title>
  <dc:creator>Dave Sullivan</dc:creator>
  <cp:keywords/>
  <dcterms:created xsi:type="dcterms:W3CDTF">2026-05-31T04:41:01Z</dcterms:created>
  <dcterms:modified xsi:type="dcterms:W3CDTF">2026-05-31T04:41:01Z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Pre-publication draft, May 2026</vt:lpwstr>
  </property>
  <property fmtid="{D5CDD505-2E9C-101B-9397-08002B2CF9AE}" pid="3" name="subtitle">
    <vt:lpwstr>A Reader’s Edition</vt:lpwstr>
  </property>
</Properties>
</file>