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2.jpg" ContentType="image/jpeg"/>
  <Override PartName="/word/media/rId60.jpg" ContentType="image/jpeg"/>
  <Override PartName="/word/media/rId28.jpg" ContentType="image/jpeg"/>
  <Override PartName="/word/media/rId68.jpg" ContentType="image/jpeg"/>
  <Override PartName="/word/media/rId66.jpg" ContentType="image/jpeg"/>
  <Override PartName="/word/media/rId72.jpg" ContentType="image/jpeg"/>
  <Override PartName="/word/media/rId70.jpg" ContentType="image/jpeg"/>
  <Override PartName="/word/media/rId74.jpg" ContentType="image/jpeg"/>
  <Override PartName="/word/media/rId76.jpg" ContentType="image/jpeg"/>
  <Override PartName="/word/media/rId135.jpg" ContentType="image/jpeg"/>
  <Override PartName="/word/media/rId136.jpg" ContentType="image/jpeg"/>
  <Override PartName="/word/media/rId78.jpg" ContentType="image/jpeg"/>
  <Override PartName="/word/media/rId137.jpg" ContentType="image/jpeg"/>
  <Override PartName="/word/media/rId80.jpg" ContentType="image/jpeg"/>
  <Override PartName="/word/media/rId88.jpg" ContentType="image/jpeg"/>
  <Override PartName="/word/media/rId82.jpg" ContentType="image/jpeg"/>
  <Override PartName="/word/media/rId84.jpg" ContentType="image/jpeg"/>
  <Override PartName="/word/media/rId86.jpg" ContentType="image/jpeg"/>
  <Override PartName="/word/media/rId90.jpg" ContentType="image/jpeg"/>
  <Override PartName="/word/media/rId138.jpg" ContentType="image/jpeg"/>
  <Override PartName="/word/media/rId92.jpg" ContentType="image/jpeg"/>
  <Override PartName="/word/media/rId141.jpg" ContentType="image/jpeg"/>
  <Override PartName="/word/media/rId140.jpg" ContentType="image/jpeg"/>
  <Override PartName="/word/media/rId139.jpg" ContentType="image/jpeg"/>
  <Override PartName="/word/media/rId94.jpg" ContentType="image/jpeg"/>
  <Override PartName="/word/media/rId96.jpg" ContentType="image/jpeg"/>
  <Override PartName="/word/media/rId100.jpg" ContentType="image/jpeg"/>
  <Override PartName="/word/media/rId98.jpg" ContentType="image/jpeg"/>
  <Override PartName="/word/media/rId102.jpg" ContentType="image/jpeg"/>
  <Override PartName="/word/media/rId145.jpg" ContentType="image/jpeg"/>
  <Override PartName="/word/media/rId110.jpg" ContentType="image/jpeg"/>
  <Override PartName="/word/media/rId104.jpg" ContentType="image/jpeg"/>
  <Override PartName="/word/media/rId142.jpg" ContentType="image/jpeg"/>
  <Override PartName="/word/media/rId143.jpg" ContentType="image/jpeg"/>
  <Override PartName="/word/media/rId108.jpg" ContentType="image/jpeg"/>
  <Override PartName="/word/media/rId106.jpg" ContentType="image/jpeg"/>
  <Override PartName="/word/media/rId144.jpg" ContentType="image/jpeg"/>
  <Override PartName="/word/media/rId112.jpg" ContentType="image/jpeg"/>
  <Override PartName="/word/media/rId114.jpg" ContentType="image/jpeg"/>
  <Override PartName="/word/media/rId117.jpg" ContentType="image/jpeg"/>
  <Override PartName="/word/media/rId146.jpg" ContentType="image/jpeg"/>
  <Override PartName="/word/media/rId147.jpg" ContentType="image/jpeg"/>
  <Override PartName="/word/media/rId148.jpg" ContentType="image/jpeg"/>
  <Override PartName="/word/media/rId119.jpg" ContentType="image/jpeg"/>
  <Override PartName="/word/media/rId121.jpg" ContentType="image/jpeg"/>
  <Override PartName="/word/media/rId123.jpg" ContentType="image/jpeg"/>
  <Override PartName="/word/media/rId126.jpg" ContentType="image/jpeg"/>
  <Override PartName="/word/media/rId150.jpg" ContentType="image/jpeg"/>
  <Override PartName="/word/media/rId149.jpg" ContentType="image/jpeg"/>
  <Override PartName="/word/media/rId128.jpg" ContentType="image/jpeg"/>
  <Override PartName="/word/media/rId130.jpg" ContentType="image/jpeg"/>
  <Override PartName="/word/media/rId151.jpg" ContentType="image/jpeg"/>
  <Override PartName="/word/media/rId132.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aa46c0751794f56e24cd815439355bc58727b77"/>
      <w:r>
        <w:t xml:space="preserve">THE FORGOTTEN FOREVER GIFT TO PUBLIC SCHOOLS</w:t>
      </w:r>
      <w:bookmarkEnd w:id="20"/>
    </w:p>
    <w:p>
      <w:pPr>
        <w:pStyle w:val="Heading3"/>
      </w:pPr>
      <w:bookmarkStart w:id="21" w:name="Xc7b91bce76232c1856c188db487c8753b6ff511"/>
      <w:r>
        <w:t xml:space="preserve">The Story of the Land America Set Aside for Its Schools — and What Became of It</w:t>
      </w:r>
      <w:bookmarkEnd w:id="21"/>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w:t>
      </w:r>
      <w:r>
        <w:t xml:space="preserve">A Living Record</w:t>
      </w:r>
      <w:r>
        <w:t xml:space="preserve">”</w:t>
      </w:r>
      <w:r>
        <w:t xml:space="preserve"> </w:t>
      </w:r>
      <w:r>
        <w:t xml:space="preserve">in the front matter and the code at the foot of each state entry.</w:t>
      </w:r>
    </w:p>
    <w:p>
      <w:pPr>
        <w:pStyle w:val="BodyText"/>
      </w:pPr>
      <w:r>
        <w:t xml:space="preserve">This book is not intended to provide legal advice. It describes the history and law of America’s school land trusts for a general reader; anyone with a legal question about a specific trust should consult a qualified attorney.</w:t>
      </w:r>
    </w:p>
    <w:p>
      <w:pPr>
        <w:pStyle w:val="BodyText"/>
      </w:pPr>
      <w:r>
        <w:t xml:space="preserve">A free PDF of this book, and its living online companion, are available at schooltrusts.net.</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rPr>
        <w:t xml:space="preserve">For the children who are its beneficiaries —</w:t>
      </w:r>
    </w:p>
    <w:p>
      <w:pPr>
        <w:pStyle w:val="BodyText"/>
      </w:pPr>
      <w:r>
        <w:rPr>
          <w:i/>
        </w:rPr>
        <w:t xml:space="preserve">and do not yet know it.</w:t>
      </w:r>
    </w:p>
    <w:p>
      <w:r>
        <w:br w:type="page"/>
      </w:r>
    </w:p>
    <w:p>
      <w:r>
        <w:br w:type="page"/>
      </w:r>
    </w:p>
    <w:p>
      <w:pPr>
        <w:pStyle w:val="Heading1"/>
      </w:pPr>
      <w:bookmarkStart w:id="22" w:name="about-this-book"/>
      <w:r>
        <w:t xml:space="preserve">About This Book</w:t>
      </w:r>
      <w:bookmarkEnd w:id="22"/>
    </w:p>
    <w:p>
      <w:pPr>
        <w:pStyle w:val="FirstParagraph"/>
      </w:pPr>
      <w:r>
        <w:t xml:space="preserve">Imagine an inheritance set aside for every child in a public school — not a metaphor, but real land, granted by the founders at each state’s birth and held in trust for the schools ever since. In about twenty states it still exists, and in a few it has grown into a permanent fund worth billions. Almost no one knows it is there.</w:t>
      </w:r>
    </w:p>
    <w:p>
      <w:pPr>
        <w:pStyle w:val="BodyText"/>
      </w:pPr>
      <w:r>
        <w:t xml:space="preserve">This is the story of that gift: how a young and nearly bankrupt republic reserved a portion of a continent for the education of children not yet born; what the law has always required of the states that hold it; and how, state by state, the promise was kept, neglected, or quietly broken. It is the first of three companion volumes — this one looking back at the history, with later volumes on the present fight and the work ahead.</w:t>
      </w:r>
    </w:p>
    <w:p>
      <w:pPr>
        <w:pStyle w:val="BodyText"/>
      </w:pPr>
      <w:r>
        <w:t xml:space="preserve">It was meant to be a forever gift, to forever schools, for a forever democracy. Whether it is handed forward now is up to people who know it exists.</w:t>
      </w:r>
    </w:p>
    <w:p>
      <w:pPr>
        <w:pStyle w:val="Heading1"/>
      </w:pPr>
      <w:bookmarkStart w:id="23" w:name="why-this-matters"/>
      <w:r>
        <w:t xml:space="preserve">Why This Matters</w:t>
      </w:r>
      <w:bookmarkEnd w:id="23"/>
    </w:p>
    <w:p>
      <w:pPr>
        <w:pStyle w:val="Heading3"/>
      </w:pPr>
      <w:bookmarkStart w:id="24" w:name="a-note-from-the-authors"/>
      <w:r>
        <w:t xml:space="preserve">A Note from the Authors</w:t>
      </w:r>
      <w:bookmarkEnd w:id="24"/>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w:t>
      </w:r>
      <w:r>
        <w:t xml:space="preserve">free</w:t>
      </w:r>
      <w:r>
        <w:t xml:space="preserv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imported ASTL state pages report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p>
      <w:pPr>
        <w:pStyle w:val="Heading1"/>
      </w:pPr>
      <w:bookmarkStart w:id="25" w:name="a-note-from-the-first-author"/>
      <w:r>
        <w:t xml:space="preserve">A Note from the First Author</w:t>
      </w:r>
      <w:bookmarkEnd w:id="25"/>
    </w:p>
    <w:p>
      <w:pPr>
        <w:pStyle w:val="FirstParagraph"/>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García,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rPr>
        <w:t xml:space="preserve">Margaret Bird</w:t>
      </w:r>
    </w:p>
    <w:p>
      <w:r>
        <w:br w:type="page"/>
      </w:r>
    </w:p>
    <w:p>
      <w:pPr>
        <w:pStyle w:val="Heading1"/>
      </w:pPr>
      <w:bookmarkStart w:id="26" w:name="a-note-on-sources"/>
      <w:r>
        <w:t xml:space="preserve">A Note on Sources</w:t>
      </w:r>
      <w:bookmarkEnd w:id="26"/>
    </w:p>
    <w:p>
      <w:pPr>
        <w:pStyle w:val="FirstParagraph"/>
      </w:pPr>
      <w:r>
        <w:t xml:space="preserve">This book rests on five kinds of evidence. The narrative should feel plain, but the floor under it is documentary.</w:t>
      </w:r>
    </w:p>
    <w:p>
      <w:pPr>
        <w:numPr>
          <w:ilvl w:val="0"/>
          <w:numId w:val="1001"/>
        </w:numPr>
        <w:pStyle w:val="Compact"/>
      </w:pPr>
      <w:r>
        <w:rPr>
          <w:b/>
        </w:rPr>
        <w:t xml:space="preserve">Founding law.</w:t>
      </w:r>
      <w:r>
        <w:t xml:space="preserve"> </w:t>
      </w:r>
      <w:r>
        <w:t xml:space="preserve">The Land Ordinance of May 20, 1785 is the operative grant instrument: the Confederation Congress reserved Section 16 for schools before the Northwest Ordinance supplied the more famous education language. The distinction matters throughout the book: 1785 conveyed land; 1787 supplied civic philosophy.</w:t>
      </w:r>
    </w:p>
    <w:p>
      <w:pPr>
        <w:numPr>
          <w:ilvl w:val="0"/>
          <w:numId w:val="1001"/>
        </w:numPr>
        <w:pStyle w:val="Compact"/>
      </w:pPr>
      <w:r>
        <w:rPr>
          <w:b/>
        </w:rPr>
        <w:t xml:space="preserve">Admission and enabling acts.</w:t>
      </w:r>
      <w:r>
        <w:t xml:space="preserve"> </w:t>
      </w:r>
      <w:r>
        <w:t xml:space="preserve">The thirty-three granted states are treated as one federal project carried forward through successive statehood acts, not as fifty local experiments. The controlling interpretive rule is</w:t>
      </w:r>
      <w:r>
        <w:t xml:space="preserve"> </w:t>
      </w:r>
      <w:r>
        <w:rPr>
          <w:i/>
        </w:rPr>
        <w:t xml:space="preserve">United States v. Morrison</w:t>
      </w:r>
      <w:r>
        <w:t xml:space="preserve">, 240 U.S. 192 (1916): materially identical school-land grants for the same purpose receive the same construction.</w:t>
      </w:r>
    </w:p>
    <w:p>
      <w:pPr>
        <w:numPr>
          <w:ilvl w:val="0"/>
          <w:numId w:val="1001"/>
        </w:numPr>
        <w:pStyle w:val="Compact"/>
      </w:pPr>
      <w:r>
        <w:rPr>
          <w:b/>
        </w:rPr>
        <w:t xml:space="preserve">Trust-duty cases.</w:t>
      </w:r>
      <w:r>
        <w:t xml:space="preserve"> </w:t>
      </w:r>
      <w:r>
        <w:t xml:space="preserve">The duty chapters use the established fiduciary line:</w:t>
      </w:r>
      <w:r>
        <w:t xml:space="preserve"> </w:t>
      </w:r>
      <w:r>
        <w:rPr>
          <w:i/>
        </w:rPr>
        <w:t xml:space="preserve">Keech</w:t>
      </w:r>
      <w:r>
        <w:t xml:space="preserve">,</w:t>
      </w:r>
      <w:r>
        <w:t xml:space="preserve"> </w:t>
      </w:r>
      <w:r>
        <w:rPr>
          <w:i/>
        </w:rPr>
        <w:t xml:space="preserve">Magruder</w:t>
      </w:r>
      <w:r>
        <w:t xml:space="preserve">,</w:t>
      </w:r>
      <w:r>
        <w:t xml:space="preserve"> </w:t>
      </w:r>
      <w:r>
        <w:rPr>
          <w:i/>
        </w:rPr>
        <w:t xml:space="preserve">Meinhard</w:t>
      </w:r>
      <w:r>
        <w:t xml:space="preserve">,</w:t>
      </w:r>
      <w:r>
        <w:t xml:space="preserve"> </w:t>
      </w:r>
      <w:r>
        <w:rPr>
          <w:i/>
        </w:rPr>
        <w:t xml:space="preserve">Ervien</w:t>
      </w:r>
      <w:r>
        <w:t xml:space="preserve">,</w:t>
      </w:r>
      <w:r>
        <w:t xml:space="preserve"> </w:t>
      </w:r>
      <w:r>
        <w:rPr>
          <w:i/>
        </w:rPr>
        <w:t xml:space="preserve">Lassen</w:t>
      </w:r>
      <w:r>
        <w:t xml:space="preserve">,</w:t>
      </w:r>
      <w:r>
        <w:t xml:space="preserve"> </w:t>
      </w:r>
      <w:r>
        <w:rPr>
          <w:i/>
        </w:rPr>
        <w:t xml:space="preserve">Andrus</w:t>
      </w:r>
      <w:r>
        <w:t xml:space="preserve">,</w:t>
      </w:r>
      <w:r>
        <w:t xml:space="preserve"> </w:t>
      </w:r>
      <w:r>
        <w:rPr>
          <w:i/>
        </w:rPr>
        <w:t xml:space="preserve">Papasan</w:t>
      </w:r>
      <w:r>
        <w:t xml:space="preserve">,</w:t>
      </w:r>
      <w:r>
        <w:t xml:space="preserve"> </w:t>
      </w:r>
      <w:r>
        <w:rPr>
          <w:i/>
        </w:rPr>
        <w:t xml:space="preserve">Skamania</w:t>
      </w:r>
      <w:r>
        <w:t xml:space="preserve">,</w:t>
      </w:r>
      <w:r>
        <w:t xml:space="preserve"> </w:t>
      </w:r>
      <w:r>
        <w:rPr>
          <w:i/>
        </w:rPr>
        <w:t xml:space="preserve">Ebke</w:t>
      </w:r>
      <w:r>
        <w:t xml:space="preserve">, and related state cases. Direct quotations are drawn only from sources verified for this edition.</w:t>
      </w:r>
    </w:p>
    <w:p>
      <w:pPr>
        <w:numPr>
          <w:ilvl w:val="0"/>
          <w:numId w:val="1001"/>
        </w:numPr>
        <w:pStyle w:val="Compact"/>
      </w:pPr>
      <w:r>
        <w:rPr>
          <w:b/>
        </w:rPr>
        <w:t xml:space="preserve">State dossiers and Attorney-General opinions.</w:t>
      </w:r>
      <w:r>
        <w:t xml:space="preserve"> </w:t>
      </w:r>
      <w:r>
        <w:t xml:space="preserve">Part Two uses the state-by-state source packets, the comparative atlas work, the ~48 state Attorney-General opinions, and the ASTL imported state pages. Present-day acreage, corpus, and distribution numbers should carry an</w:t>
      </w:r>
      <w:r>
        <w:t xml:space="preserve"> </w:t>
      </w:r>
      <w:r>
        <w:rPr>
          <w:rStyle w:val="VerbatimChar"/>
        </w:rPr>
        <w:t xml:space="preserve">AS OF</w:t>
      </w:r>
      <w:r>
        <w:t xml:space="preserve"> </w:t>
      </w:r>
      <w:r>
        <w:t xml:space="preserve">date or be omitted/tightened pending verification.</w:t>
      </w:r>
    </w:p>
    <w:p>
      <w:pPr>
        <w:numPr>
          <w:ilvl w:val="0"/>
          <w:numId w:val="1001"/>
        </w:numPr>
        <w:pStyle w:val="Compact"/>
      </w:pPr>
      <w:r>
        <w:rPr>
          <w:b/>
        </w:rPr>
        <w:t xml:space="preserve">The Georgia opening.</w:t>
      </w:r>
      <w:r>
        <w:t xml:space="preserve"> </w:t>
      </w:r>
      <w:r>
        <w:t xml:space="preserve">The free-school stigma passage uses Dorothy Orr,</w:t>
      </w:r>
      <w:r>
        <w:t xml:space="preserve"> </w:t>
      </w:r>
      <w:r>
        <w:rPr>
          <w:i/>
        </w:rPr>
        <w:t xml:space="preserve">A History of Education in Georgia</w:t>
      </w:r>
      <w:r>
        <w:t xml:space="preserve"> </w:t>
      </w:r>
      <w:r>
        <w:t xml:space="preserve">(1950), with the Bryan County 1847 figure — 164 children entitled to Poor School Fund aid, no more than 16 attending — preserved through the Georgia sourcing memo and Taylor Robinson’s 2014 dissertation trail. The book paraphrases the stigma rather than adding unapproved quotation language.</w:t>
      </w:r>
    </w:p>
    <w:p>
      <w:pPr>
        <w:numPr>
          <w:ilvl w:val="0"/>
          <w:numId w:val="1001"/>
        </w:numPr>
        <w:pStyle w:val="Compact"/>
      </w:pPr>
      <w:r>
        <w:rPr>
          <w:b/>
        </w:rPr>
        <w:t xml:space="preserve">Oregon and modern controversies.</w:t>
      </w:r>
      <w:r>
        <w:t xml:space="preserve"> </w:t>
      </w:r>
      <w:r>
        <w:t xml:space="preserve">Elliott State Forest figures come from public State Land Board testimony, OASTL public valuation materials, and the SB 1546 legislative record. The manuscript states the public figures and the dispute over their meaning; it does not treat OASTL’s contested valuation theory as a court finding.</w:t>
      </w:r>
    </w:p>
    <w:p>
      <w:pPr>
        <w:numPr>
          <w:ilvl w:val="0"/>
          <w:numId w:val="1001"/>
        </w:numPr>
        <w:pStyle w:val="Compact"/>
      </w:pPr>
      <w:r>
        <w:rPr>
          <w:b/>
        </w:rPr>
        <w:t xml:space="preserve">Living trust-land data.</w:t>
      </w:r>
      <w:r>
        <w:t xml:space="preserve"> </w:t>
      </w:r>
      <w:r>
        <w:t xml:space="preserve">The national scale figure — more than 45 million acres still held in trust by 20 states, with aggregate permanent school funds well over $100 billion and more than $1 billion distributed to beneficiaries in FY2022 — reflects Advocates for School Trust Lands’ most recent public figures. (Earlier drafts’</w:t>
      </w:r>
      <w:r>
        <w:t xml:space="preserve"> </w:t>
      </w:r>
      <w:r>
        <w:t xml:space="preserve">“</w:t>
      </w:r>
      <w:r>
        <w:t xml:space="preserve">$115 billion / $5 billion FY2024</w:t>
      </w:r>
      <w:r>
        <w:t xml:space="preserve">”</w:t>
      </w:r>
      <w:r>
        <w:t xml:space="preserve"> </w:t>
      </w:r>
      <w:r>
        <w:t xml:space="preserve">totals could not be sourced to ASTL and were dropped; the 45-million-acre and $100-billion-plus numbers are ASTL’s standing totals.) Refresh against the live ASTL dataset before final print.</w:t>
      </w:r>
    </w:p>
    <w:p>
      <w:r>
        <w:br w:type="page"/>
      </w:r>
    </w:p>
    <w:p>
      <w:pPr>
        <w:pStyle w:val="Heading1"/>
      </w:pPr>
      <w:bookmarkStart w:id="27" w:name="a-note-on-this-edition"/>
      <w:r>
        <w:t xml:space="preserve">A Note on This Edition</w:t>
      </w:r>
      <w:bookmarkEnd w:id="27"/>
    </w:p>
    <w:p>
      <w:pPr>
        <w:pStyle w:val="FirstParagraph"/>
      </w:pPr>
      <w:r>
        <w:t xml:space="preserve">This is the first edition of</w:t>
      </w:r>
      <w:r>
        <w:t xml:space="preserve"> </w:t>
      </w:r>
      <w:r>
        <w:rPr>
          <w:i/>
        </w:rPr>
        <w:t xml:space="preserve">The Forgotten Forever Gift to Public Schools</w:t>
      </w:r>
      <w:r>
        <w:t xml:space="preserve"> </w:t>
      </w:r>
      <w:r>
        <w:t xml:space="preserve">(Volume One — Looking Back), the first of three companion volumes; this one looks back at the history, with companion volumes addressing the present and the work ahead. It is published as a living first edition: the argument and the documented record are settled, while the present-day state figures are kept current online (see</w:t>
      </w:r>
      <w:r>
        <w:t xml:space="preserve"> </w:t>
      </w:r>
      <w:r>
        <w:t xml:space="preserve">“</w:t>
      </w:r>
      <w:r>
        <w:t xml:space="preserve">A Living Record,</w:t>
      </w:r>
      <w:r>
        <w:t xml:space="preserve">”</w:t>
      </w:r>
      <w:r>
        <w:t xml:space="preserve"> </w:t>
      </w:r>
      <w:r>
        <w:t xml:space="preserve">below).</w:t>
      </w:r>
    </w:p>
    <w:p>
      <w:pPr>
        <w:pStyle w:val="BodyText"/>
      </w:pPr>
      <w:r>
        <w:rPr>
          <w:b/>
        </w:rPr>
        <w:t xml:space="preserve">This book is the first of three.</w:t>
      </w:r>
      <w:r>
        <w:t xml:space="preserve"> </w:t>
      </w:r>
      <w:r>
        <w:rPr>
          <w:i/>
        </w:rPr>
        <w:t xml:space="preserve">The Forgotten Forever Gift to Public Schools</w:t>
      </w:r>
      <w:r>
        <w:t xml:space="preserve"> </w:t>
      </w:r>
      <w:r>
        <w:t xml:space="preserve">looks</w:t>
      </w:r>
      <w:r>
        <w:t xml:space="preserve"> </w:t>
      </w:r>
      <w:r>
        <w:rPr>
          <w:b/>
        </w:rPr>
        <w:t xml:space="preserve">back</w:t>
      </w:r>
      <w:r>
        <w:t xml:space="preserve"> </w:t>
      </w:r>
      <w:r>
        <w:t xml:space="preserve">— how the gift was made and what became of it. A companion volume looks at the</w:t>
      </w:r>
      <w:r>
        <w:t xml:space="preserve"> </w:t>
      </w:r>
      <w:r>
        <w:rPr>
          <w:b/>
        </w:rPr>
        <w:t xml:space="preserve">present</w:t>
      </w:r>
      <w:r>
        <w:t xml:space="preserve">, a recurring account of who is defending the trust today and who is raiding it; and a third looks</w:t>
      </w:r>
      <w:r>
        <w:t xml:space="preserve"> </w:t>
      </w:r>
      <w:r>
        <w:rPr>
          <w:b/>
        </w:rPr>
        <w:t xml:space="preserve">forward</w:t>
      </w:r>
      <w:r>
        <w:t xml:space="preserve">, at how the next generation should build defenses that do not depend on anyone happening to be watching. Each stands alone; together they are one argument across time.</w:t>
      </w:r>
    </w:p>
    <w:p>
      <w:pPr>
        <w:pStyle w:val="BodyText"/>
      </w:pPr>
      <w:r>
        <w:rPr>
          <w:b/>
        </w:rPr>
        <w:t xml:space="preserve">A Living Record.</w:t>
      </w:r>
      <w:r>
        <w:t xml:space="preserve"> </w:t>
      </w:r>
      <w:r>
        <w:t xml:space="preserve">The history and law in this book are settled and sourced in the Notes at the back. The fifty state portraits in Part Two are deliberately brief — for two reasons. First, they describe living trusts whose lands, funds, and leaders change from month to month; a permanent fund’s balance is never the same twice, so the current figure belongs online, not frozen on a printed page. Second, a book is the wrong place for an encyclopedia: the full record for each state — the complete figures, the source documents, the longer history, and the latest developments — runs far past what any single printed volume should carry. So we have put the essential portrait here and the full, current record online. Each state entry carries a code you can scan to reach its living page, with everything we hold and a place to tell us if we have something wrong. This book is the doorway to the record, not the record itself.</w:t>
      </w:r>
    </w:p>
    <w:p>
      <w:pPr>
        <w:pStyle w:val="BodyText"/>
      </w:pPr>
      <w:r>
        <w:drawing>
          <wp:inline>
            <wp:extent cx="914400" cy="914400"/>
            <wp:effectExtent b="0" l="0" r="0" t="0"/>
            <wp:docPr descr="" title="" id="1" name="Picture"/>
            <a:graphic>
              <a:graphicData uri="http://schemas.openxmlformats.org/drawingml/2006/picture">
                <pic:pic>
                  <pic:nvPicPr>
                    <pic:cNvPr descr="/sessions/upbeat-blissful-albattani/mnt/Claude%20Cowork/_tools/_web_cache/qr_hub_884487fd4ee0_1200x_q90.jpg" id="0" name="Picture"/>
                    <pic:cNvPicPr>
                      <a:picLocks noChangeArrowheads="1" noChangeAspect="1"/>
                    </pic:cNvPicPr>
                  </pic:nvPicPr>
                  <pic:blipFill>
                    <a:blip r:embed="rId28"/>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rPr>
        <w:t xml:space="preserve">Scan for the full index of state pages at schooltrusts.net/reading.</w:t>
      </w:r>
    </w:p>
    <w:p>
      <w:pPr>
        <w:pStyle w:val="BodyText"/>
      </w:pPr>
      <w:r>
        <w:rPr>
          <w:b/>
        </w:rPr>
        <w:t xml:space="preserve">About America’s School Trust Library.</w:t>
      </w:r>
      <w:r>
        <w:t xml:space="preserve"> </w:t>
      </w:r>
      <w:r>
        <w:t xml:space="preserve">The pages those codes reach are part of</w:t>
      </w:r>
      <w:r>
        <w:t xml:space="preserve"> </w:t>
      </w:r>
      <w:r>
        <w:rPr>
          <w:i/>
        </w:rPr>
        <w:t xml:space="preserve">America’s School Trust Library</w:t>
      </w:r>
      <w:r>
        <w:t xml:space="preserve"> </w:t>
      </w:r>
      <w:r>
        <w:t xml:space="preserve">— a free, public, online record of the school-land trusts of all fifty states, maintained by Advocates for School Trust Lands at schooltrusts.net. It gathers in one place what has never been gathered before: each state’s grant, lands, funds, governing law, and history, kept current and open to correction. The Library is the living, comprehensive companion to this book — the book is its doorway. Our aim is a record durable enough to outlast any single lawsuit, administration, or generation, so that the people who inherit these trusts can always find out what they were left.</w:t>
      </w:r>
    </w:p>
    <w:p>
      <w:r>
        <w:br w:type="page"/>
      </w:r>
    </w:p>
    <w:p>
      <w:pPr>
        <w:pStyle w:val="Heading1"/>
      </w:pPr>
      <w:bookmarkStart w:id="29" w:name="a-few-words-defined"/>
      <w:r>
        <w:t xml:space="preserve">A Few Words, Defined</w:t>
      </w:r>
      <w:bookmarkEnd w:id="29"/>
    </w:p>
    <w:p>
      <w:pPr>
        <w:pStyle w:val="FirstParagraph"/>
      </w:pPr>
      <w:r>
        <w:rPr>
          <w:i/>
        </w:rPr>
        <w:t xml:space="preserve">A handful of terms recur throughout this book. None requires a law degree.</w:t>
      </w:r>
    </w:p>
    <w:p>
      <w:pPr>
        <w:pStyle w:val="BodyText"/>
      </w:pPr>
      <w:r>
        <w:rPr>
          <w:b/>
        </w:rPr>
        <w:t xml:space="preserve">Trust.</w:t>
      </w:r>
      <w:r>
        <w:t xml:space="preserve"> </w:t>
      </w:r>
      <w:r>
        <w:t xml:space="preserve">An arrangement in which one party (the</w:t>
      </w:r>
      <w:r>
        <w:t xml:space="preserve"> </w:t>
      </w:r>
      <w:r>
        <w:rPr>
          <w:i/>
        </w:rPr>
        <w:t xml:space="preserve">trustee</w:t>
      </w:r>
      <w:r>
        <w:t xml:space="preserve">) holds property strictly for the benefit of another (the</w:t>
      </w:r>
      <w:r>
        <w:t xml:space="preserve"> </w:t>
      </w:r>
      <w:r>
        <w:rPr>
          <w:i/>
        </w:rPr>
        <w:t xml:space="preserve">beneficiary</w:t>
      </w:r>
      <w:r>
        <w:t xml:space="preserve">), under duties a court will enforce. It need not use the word</w:t>
      </w:r>
      <w:r>
        <w:t xml:space="preserve"> </w:t>
      </w:r>
      <w:r>
        <w:t xml:space="preserve">“</w:t>
      </w:r>
      <w:r>
        <w:t xml:space="preserve">trust</w:t>
      </w:r>
      <w:r>
        <w:t xml:space="preserve">”</w:t>
      </w:r>
      <w:r>
        <w:t xml:space="preserve"> </w:t>
      </w:r>
      <w:r>
        <w:t xml:space="preserve">to be one.</w:t>
      </w:r>
    </w:p>
    <w:p>
      <w:pPr>
        <w:pStyle w:val="BodyText"/>
      </w:pPr>
      <w:r>
        <w:rPr>
          <w:b/>
        </w:rPr>
        <w:t xml:space="preserve">Beneficiary.</w:t>
      </w:r>
      <w:r>
        <w:t xml:space="preserve"> </w:t>
      </w:r>
      <w:r>
        <w:t xml:space="preserve">Here, the public schools. (Children are who</w:t>
      </w:r>
      <w:r>
        <w:t xml:space="preserve"> </w:t>
      </w:r>
      <w:r>
        <w:rPr>
          <w:i/>
        </w:rPr>
        <w:t xml:space="preserve">benefit</w:t>
      </w:r>
      <w:r>
        <w:t xml:space="preserve">; the schools are the beneficiary the trust runs to.)</w:t>
      </w:r>
    </w:p>
    <w:p>
      <w:pPr>
        <w:pStyle w:val="BodyText"/>
      </w:pPr>
      <w:r>
        <w:rPr>
          <w:b/>
        </w:rPr>
        <w:t xml:space="preserve">Trustee.</w:t>
      </w:r>
      <w:r>
        <w:t xml:space="preserve"> </w:t>
      </w:r>
      <w:r>
        <w:t xml:space="preserve">The party that holds and manages the trust — here, the state, acting through its land board, land office, or trust-lands agency.</w:t>
      </w:r>
    </w:p>
    <w:p>
      <w:pPr>
        <w:pStyle w:val="BodyText"/>
      </w:pPr>
      <w:r>
        <w:rPr>
          <w:b/>
        </w:rPr>
        <w:t xml:space="preserve">Corpus (or principal).</w:t>
      </w:r>
      <w:r>
        <w:t xml:space="preserve"> </w:t>
      </w:r>
      <w:r>
        <w:t xml:space="preserve">The body of the trust — the land itself, and the permanent fund built from selling or leasing it. The corpus is to be preserved forever; only the</w:t>
      </w:r>
      <w:r>
        <w:t xml:space="preserve"> </w:t>
      </w:r>
      <w:r>
        <w:rPr>
          <w:i/>
        </w:rPr>
        <w:t xml:space="preserve">income</w:t>
      </w:r>
      <w:r>
        <w:t xml:space="preserve"> </w:t>
      </w:r>
      <w:r>
        <w:t xml:space="preserve">it throws off is meant to be spent.</w:t>
      </w:r>
    </w:p>
    <w:p>
      <w:pPr>
        <w:pStyle w:val="BodyText"/>
      </w:pPr>
      <w:r>
        <w:rPr>
          <w:b/>
        </w:rPr>
        <w:t xml:space="preserve">Permanent (or perpetual) school fund.</w:t>
      </w:r>
      <w:r>
        <w:t xml:space="preserve"> </w:t>
      </w:r>
      <w:r>
        <w:t xml:space="preserve">The invested proceeds of trust land, held intact in perpetuity, paying out earnings to the schools year after year.</w:t>
      </w:r>
    </w:p>
    <w:p>
      <w:pPr>
        <w:pStyle w:val="BodyText"/>
      </w:pPr>
      <w:r>
        <w:rPr>
          <w:b/>
        </w:rPr>
        <w:t xml:space="preserve">Section 16 (and 36).</w:t>
      </w:r>
      <w:r>
        <w:t xml:space="preserve"> </w:t>
      </w:r>
      <w:r>
        <w:t xml:space="preserve">The squares reserved for schools in the federal survey: one — later two — out of every thirty-six-square-mile township.</w:t>
      </w:r>
    </w:p>
    <w:p>
      <w:pPr>
        <w:pStyle w:val="BodyText"/>
      </w:pPr>
      <w:r>
        <w:rPr>
          <w:b/>
        </w:rPr>
        <w:t xml:space="preserve">Enabling Act.</w:t>
      </w:r>
      <w:r>
        <w:t xml:space="preserve"> </w:t>
      </w:r>
      <w:r>
        <w:t xml:space="preserve">The federal statute admitting a territory as a state, which carried the school-land grant and its conditions.</w:t>
      </w:r>
    </w:p>
    <w:p>
      <w:r>
        <w:br w:type="page"/>
      </w:r>
    </w:p>
    <w:p>
      <w:pPr>
        <w:pStyle w:val="Heading1"/>
      </w:pPr>
      <w:bookmarkStart w:id="30" w:name="part-one-the-gift-and-the-duty"/>
      <w:r>
        <w:t xml:space="preserve">PART ONE — The Gift and the Duty</w:t>
      </w:r>
      <w:bookmarkEnd w:id="30"/>
    </w:p>
    <w:p>
      <w:r>
        <w:br w:type="page"/>
      </w:r>
    </w:p>
    <w:p>
      <w:pPr>
        <w:pStyle w:val="Heading1"/>
      </w:pPr>
      <w:bookmarkStart w:id="31" w:name="chapter-1-the-inheritance-still-standing"/>
      <w:r>
        <w:t xml:space="preserve">Chapter 1 — The Inheritance Still Standing</w:t>
      </w:r>
      <w:bookmarkEnd w:id="31"/>
    </w:p>
    <w:p>
      <w:pPr>
        <w:pStyle w:val="PullQuote"/>
      </w:pPr>
      <w:r>
        <w:t xml:space="preserve">“</w:t>
      </w:r>
      <w:r>
        <w:t xml:space="preserve">A popular Government, without popular information, or the means of acquiring it, is but a Prologue to a Farce or a Tragedy; or, perhaps both.</w:t>
      </w:r>
      <w:r>
        <w:t xml:space="preserve">”</w:t>
      </w:r>
      <w:r>
        <w:t xml:space="preserve"> </w:t>
      </w:r>
      <w:r>
        <w:t xml:space="preserve">— James Madison to W. T. Barry, 1822</w:t>
      </w:r>
    </w:p>
    <w:p>
      <w:pPr>
        <w:pStyle w:val="BodyText"/>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rPr>
        <w:t xml:space="preserve">own</w:t>
      </w:r>
      <w:r>
        <w:t xml:space="preserve">, in trust, set aside for them at the moment each territory became a state, and held for them ever since. Add it up and, today, the surviving estate comes to more than forty-five million acres — an area smaller than the state of Utah.</w:t>
      </w:r>
    </w:p>
    <w:p>
      <w:pPr>
        <w:pStyle w:val="BodyText"/>
      </w:pPr>
      <w:r>
        <w:t xml:space="preserve">That is what survives. It is not what was given. Counted state by state — a section, and later two, of every survey township across some thirty states — the original grant for the common schools came to about seventy-eight million acres. That is more land than the whole of Colorado, and half again the size of Utah. About forty-five million acres of it remain in trust today; the rest — roughly two acres of every five — has been sold, lost, or signed away (Figure 1). And the loss is wildly uneven. The states admitted before 1850 parted with essentially all of theirs; Nevada, granted some two million acres, has almost none left. The arid Western states admitted around 1890 kept nearly all of theirs — which is why almost every surviving trust acre lies west of the Rockies.</w:t>
      </w:r>
    </w:p>
    <w:p>
      <w:pPr>
        <w:pStyle w:val="CaptionedFigure"/>
      </w:pPr>
      <w:r>
        <w:drawing>
          <wp:inline>
            <wp:extent cx="4470400" cy="2292161"/>
            <wp:effectExtent b="0" l="0" r="0" t="0"/>
            <wp:docPr descr="Figure 1. The scale of the gift — and what is left of it. 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 State Trust Lands (1995), Table Two (~78 million acres), consistent with the 77.6-million-acre common-school total reported by the Center on Education Policy (2011); surviving acreage from Advocates for School Trust Lands." title="" id="1" name="Picture"/>
            <a:graphic>
              <a:graphicData uri="http://schemas.openxmlformats.org/drawingml/2006/picture">
                <pic:pic>
                  <pic:nvPicPr>
                    <pic:cNvPr descr="/sessions/upbeat-blissful-albattani/mnt/Claude%20Cowork/_tools/_web_cache/fig_scale_4d23387e6cef_1200x_q90.jpg" id="0" name="Picture"/>
                    <pic:cNvPicPr>
                      <a:picLocks noChangeArrowheads="1" noChangeAspect="1"/>
                    </pic:cNvPicPr>
                  </pic:nvPicPr>
                  <pic:blipFill>
                    <a:blip r:embed="rId32"/>
                    <a:stretch>
                      <a:fillRect/>
                    </a:stretch>
                  </pic:blipFill>
                  <pic:spPr bwMode="auto">
                    <a:xfrm>
                      <a:off x="0" y="0"/>
                      <a:ext cx="4470400" cy="2292161"/>
                    </a:xfrm>
                    <a:prstGeom prst="rect">
                      <a:avLst/>
                    </a:prstGeom>
                    <a:noFill/>
                    <a:ln w="9525">
                      <a:noFill/>
                      <a:headEnd/>
                      <a:tailEnd/>
                    </a:ln>
                  </pic:spPr>
                </pic:pic>
              </a:graphicData>
            </a:graphic>
          </wp:inline>
        </w:drawing>
      </w:r>
    </w:p>
    <w:p>
      <w:pPr>
        <w:pStyle w:val="ImageCaption"/>
      </w:pPr>
      <w:r>
        <w:rPr>
          <w:b/>
        </w:rPr>
        <w:t xml:space="preserve">Figure 1. The scale of the gift — and what is left of it.</w:t>
      </w:r>
      <w:r>
        <w:t xml:space="preserve"> </w:t>
      </w:r>
      <w:r>
        <w:t xml:space="preserve">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w:t>
      </w:r>
      <w:r>
        <w:t xml:space="preserve"> </w:t>
      </w:r>
      <w:r>
        <w:rPr>
          <w:i/>
        </w:rPr>
        <w:t xml:space="preserve">State Trust Lands</w:t>
      </w:r>
      <w:r>
        <w:t xml:space="preserve"> </w:t>
      </w:r>
      <w:r>
        <w:t xml:space="preserve">(1995), Table Two (~78 million acres), consistent with the 77.6-million-acre common-school total reported by the Center on Education Policy (2011); surviving acreage from Advocates for School Trust Lands.</w:t>
      </w:r>
    </w:p>
    <w:p>
      <w:pPr>
        <w:pStyle w:val="BodyText"/>
      </w:pP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w:t>
      </w:r>
      <w:r>
        <w:t xml:space="preserve">rate bills</w:t>
      </w:r>
      <w:r>
        <w:t xml:space="preserve">”</w:t>
      </w:r>
      <w:r>
        <w:rPr>
          <w:vertAlign w:val="superscript"/>
        </w:rPr>
        <w:t xml:space="preserve">1</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w:t>
      </w:r>
      <w:r>
        <w:t xml:space="preserve">Poor School Fund</w:t>
      </w:r>
      <w:r>
        <w:t xml:space="preserve">”</w:t>
      </w:r>
      <w:r>
        <w:t xml:space="preserve"> </w:t>
      </w:r>
      <w:r>
        <w:t xml:space="preserve">to pay the tuition of indigent children, the schools that took the money became known as</w:t>
      </w:r>
      <w:r>
        <w:t xml:space="preserve"> </w:t>
      </w:r>
      <w:r>
        <w:t xml:space="preserve">“</w:t>
      </w:r>
      <w:r>
        <w:t xml:space="preserve">pauper schools,</w:t>
      </w:r>
      <w:r>
        <w:t xml:space="preserve">”</w:t>
      </w:r>
      <w:r>
        <w:t xml:space="preserve"> </w:t>
      </w:r>
      <w:r>
        <w:t xml:space="preserve">and parents kept their children home rather than be marked by them. In Bryan County in 1847, 164 children were entitled to the fund; no more than 16 attended</w:t>
      </w:r>
      <w:r>
        <w:rPr>
          <w:vertAlign w:val="superscript"/>
        </w:rPr>
        <w:t xml:space="preserve">2</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rPr>
        <w:t xml:space="preserve">United States v. Morrison</w:t>
      </w:r>
      <w:r>
        <w:t xml:space="preserve">, the Court held that because Congress</w:t>
      </w:r>
      <w:r>
        <w:t xml:space="preserve"> </w:t>
      </w:r>
      <w:r>
        <w:t xml:space="preserve">“</w:t>
      </w:r>
      <w:r>
        <w:t xml:space="preserve">used the same phrase substantially in nearly every one of the school grants,</w:t>
      </w:r>
      <w:r>
        <w:rPr>
          <w:vertAlign w:val="superscript"/>
        </w:rPr>
        <w:t xml:space="preserve">3</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w:t>
      </w:r>
      <w:r>
        <w:t xml:space="preserve">the grant</w:t>
      </w:r>
      <w:r>
        <w:t xml:space="preserve"> </w:t>
      </w:r>
      <w:r>
        <w:t xml:space="preserve">“</w:t>
      </w:r>
      <w:r>
        <w:t xml:space="preserve">did not have one meaning in one grant and a different meaning in another.</w:t>
      </w:r>
      <w:r>
        <w:t xml:space="preserve">”</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p>
      <w:pPr>
        <w:pStyle w:val="Heading1"/>
      </w:pPr>
      <w:bookmarkStart w:id="33" w:name="chapter-2-the-world-that-made-the-gift"/>
      <w:r>
        <w:t xml:space="preserve">Chapter 2 — The World That Made the Gift</w:t>
      </w:r>
      <w:bookmarkEnd w:id="33"/>
    </w:p>
    <w:p>
      <w:pPr>
        <w:pStyle w:val="PullQuote"/>
      </w:pPr>
      <w:r>
        <w:t xml:space="preserve">“</w:t>
      </w:r>
      <w:r>
        <w:t xml:space="preserve">Laws for the liberal education of youth, especially of the lower class of people, are so extremely wise and useful, that to a humane and generous mind, no expense for this purpose would be thought extravagant.</w:t>
      </w:r>
      <w:r>
        <w:t xml:space="preserve">”</w:t>
      </w:r>
      <w:r>
        <w:t xml:space="preserve"> </w:t>
      </w:r>
      <w:r>
        <w:t xml:space="preserve">— John Adams</w:t>
      </w:r>
    </w:p>
    <w:p>
      <w:pPr>
        <w:pStyle w:val="BodyText"/>
      </w:pPr>
      <w:r>
        <w:t xml:space="preserve">It is hard, from here, to feel how strange and bold the school-land grant was. We are used to public schools; we are used to a government with money. The men who made the grant had neither.</w:t>
      </w:r>
    </w:p>
    <w:p>
      <w:pPr>
        <w:pStyle w:val="BodyText"/>
      </w:pPr>
      <w:r>
        <w:t xml:space="preserve">Picture the moment. The Revolution had been won and the country was broke — not short of funds, but genuinely empty, a treasury at zero, soldiers unpaid, the Confederation unable to tax. The one thing the new nation had was land: a vast public domain west of the original states, claimed and ceded and stretching toward a Pacific no one in the government had seen. Land was not merely an asset; it was</w:t>
      </w:r>
      <w:r>
        <w:t xml:space="preserve"> </w:t>
      </w:r>
      <w:r>
        <w:rPr>
          <w:i/>
        </w:rPr>
        <w:t xml:space="preserve">the</w:t>
      </w:r>
      <w:r>
        <w:t xml:space="preserve"> </w:t>
      </w:r>
      <w:r>
        <w:t xml:space="preserve">asset, and more than that, it was the basis of citizenship itself — in most places a man could not vote unless he owned some. To set aside land was to set aside the most valuable and most meaningful thing the country possessed.</w:t>
      </w:r>
    </w:p>
    <w:p>
      <w:pPr>
        <w:pStyle w:val="BoxedHeaderSimple"/>
      </w:pPr>
      <w:r>
        <w:t xml:space="preserve">The World of 1785</w:t>
      </w:r>
    </w:p>
    <w:p>
      <w:pPr>
        <w:pStyle w:val="BoxBody"/>
      </w:pPr>
      <w:r>
        <w:t xml:space="preserve">The Revolutionary War had drained the treasury to nothing. The government could not pay its soldiers, could not raise a reliable tax, and had almost no hard money to its name. What it had was land — a continent of it, just acquired, largely unsurveyed, stretching toward an ocean no official had laid eyes on. And land was not just wealth. In most of the new states a man could not cast a vote unless he owned property; land was the ticket to citizenship. So when the Congress, in the Land Ordinance of 1785, reserved one square mile out of every thirty-six for the support of schools, it was not handing over a spare and worthless thing. It was committing the most valuable — and most politically charged — asset the nation owned, roughly one thirty-sixth of a continent, to the education of children not yet born. Measured against what the government actually had to give, it may be the most generous public act in the country’s founding.</w:t>
      </w:r>
    </w:p>
    <w:p>
      <w:pPr>
        <w:pStyle w:val="BodyText"/>
      </w:pPr>
      <w:r>
        <w:t xml:space="preserve">Into that moment came an idea that was not new at all. Thomas Jefferson, on the committee that shaped the western lands in 1784 and 1785</w:t>
      </w:r>
      <w:r>
        <w:rPr>
          <w:vertAlign w:val="superscript"/>
        </w:rPr>
        <w:t xml:space="preserve">1</w:t>
      </w:r>
      <w:r>
        <w:t xml:space="preserve">, and the men who worked the question with him, reached back for a device that was already ancient — older than the common law of England that carried it to America, with roots running back to the endowments of the medieval and the older Near Eastern world</w:t>
      </w:r>
      <w:r>
        <w:rPr>
          <w:vertAlign w:val="superscript"/>
        </w:rPr>
        <w:t xml:space="preserve">2</w:t>
      </w:r>
      <w:r>
        <w:t xml:space="preserve">. They reached for the</w:t>
      </w:r>
      <w:r>
        <w:t xml:space="preserve"> </w:t>
      </w:r>
      <w:r>
        <w:rPr>
          <w:i/>
        </w:rPr>
        <w:t xml:space="preserve">trust</w:t>
      </w:r>
      <w:r>
        <w:t xml:space="preserve">: the legal arrangement by which one person is made to hold property strictly for the good of another, and is bound by duties a court will enforce. They reached for it deliberately, and they reached for it because they were not naïve. They knew, from centuries of bitter example, how money left for the benefit of heirs and dependents and charities tends to be handled when no one is watching — how readily it is borrowed, diverted,</w:t>
      </w:r>
      <w:r>
        <w:t xml:space="preserve"> </w:t>
      </w:r>
      <w:r>
        <w:t xml:space="preserve">“</w:t>
      </w:r>
      <w:r>
        <w:t xml:space="preserve">invested</w:t>
      </w:r>
      <w:r>
        <w:t xml:space="preserve">”</w:t>
      </w:r>
      <w:r>
        <w:t xml:space="preserve"> </w:t>
      </w:r>
      <w:r>
        <w:t xml:space="preserve">into a friend’s venture, and lost. The trust existed because that had happened so many times that the law had grown a body of rules to prevent it.</w:t>
      </w:r>
    </w:p>
    <w:p>
      <w:pPr>
        <w:pStyle w:val="BoxedHeaderSimple"/>
      </w:pPr>
      <w:r>
        <w:t xml:space="preserve">The Origins of the Trust</w:t>
      </w:r>
    </w:p>
    <w:p>
      <w:pPr>
        <w:pStyle w:val="BoxBody"/>
      </w:pPr>
      <w:r>
        <w:t xml:space="preserve">The trust was not invented for the schools. It is one of the oldest instruments in law. Its lineage runs from the charitable and family endowments of the ancient Near East, through the religious foundations of the medieval world, into the English common law, where the device of holding property for another’s benefit was refined over centuries precisely because the alternative kept failing: money left to heirs and good causes was, again and again, misspent by the people entrusted with it. By the eighteenth century there was a thick body of law about what a trustee may and may not do. Crucially, a binding trust never required the word</w:t>
      </w:r>
      <w:r>
        <w:t xml:space="preserve"> </w:t>
      </w:r>
      <w:r>
        <w:t xml:space="preserve">“</w:t>
      </w:r>
      <w:r>
        <w:t xml:space="preserve">trust</w:t>
      </w:r>
      <w:r>
        <w:t xml:space="preserve">”</w:t>
      </w:r>
      <w:r>
        <w:t xml:space="preserve"> </w:t>
      </w:r>
      <w:r>
        <w:t xml:space="preserve">to exist — any more than a binding contract requires the word</w:t>
      </w:r>
      <w:r>
        <w:t xml:space="preserve"> </w:t>
      </w:r>
      <w:r>
        <w:t xml:space="preserve">“</w:t>
      </w:r>
      <w:r>
        <w:t xml:space="preserve">contract.</w:t>
      </w:r>
      <w:r>
        <w:t xml:space="preserve">”</w:t>
      </w:r>
      <w:r>
        <w:t xml:space="preserve"> </w:t>
      </w:r>
      <w:r>
        <w:t xml:space="preserve">It requires the substance: property, a beneficiary, and a duty to hold the one for the other. When Congress gave land to the states</w:t>
      </w:r>
      <w:r>
        <w:t xml:space="preserve"> </w:t>
      </w:r>
      <w:r>
        <w:t xml:space="preserve">“</w:t>
      </w:r>
      <w:r>
        <w:t xml:space="preserve">for the use of schools,</w:t>
      </w:r>
      <w:r>
        <w:t xml:space="preserve">”</w:t>
      </w:r>
      <w:r>
        <w:t xml:space="preserve"> </w:t>
      </w:r>
      <w:r>
        <w:t xml:space="preserve">it created exactly that, whether or not the statute ever used the word. The Supreme Court has said as much. The founders chose the strongest fiduciary instrument their legal tradition possessed — because they understood how dangerous it was to leave a fortune lying around for the benefit of people who could not yet speak for themselves.</w:t>
      </w:r>
    </w:p>
    <w:p>
      <w:pPr>
        <w:pStyle w:val="BodyText"/>
      </w:pPr>
      <w:r>
        <w:t xml:space="preserve">So the grant was not charity and it was not an afterthought. It was the deliberate application of the most demanding legal tool the eighteenth century had, to the most valuable thing the country owned, on behalf of the people least able to protect it — children, in perpetuity. Two hundred and fifty years later, on the anniversary of the founding, that is worth remembering: the bargain was real, it was generous, and it was meant to last forever. What it asked of the states that accepted it is the subject of the next chapter.</w:t>
      </w:r>
    </w:p>
    <w:p>
      <w:r>
        <w:br w:type="page"/>
      </w:r>
    </w:p>
    <w:p>
      <w:pPr>
        <w:pStyle w:val="Heading1"/>
      </w:pPr>
      <w:bookmarkStart w:id="34" w:name="chapter-3-the-punctilio-of-honor"/>
      <w:r>
        <w:t xml:space="preserve">Chapter 3 — The Punctilio of Honor</w:t>
      </w:r>
      <w:bookmarkEnd w:id="34"/>
    </w:p>
    <w:p>
      <w:pPr>
        <w:pStyle w:val="PullQuote"/>
      </w:pPr>
      <w:r>
        <w:t xml:space="preserve">“</w:t>
      </w:r>
      <w:r>
        <w:t xml:space="preserve">A trustee is held to something stricter than the morals of the market place. Not honesty alone, but the punctilio of an honor the most sensitive, is then the standard of behavior.</w:t>
      </w:r>
      <w:r>
        <w:t xml:space="preserve">”</w:t>
      </w:r>
      <w:r>
        <w:t xml:space="preserve"> </w:t>
      </w:r>
      <w:r>
        <w:t xml:space="preserve">— Benjamin Cardozo,</w:t>
      </w:r>
      <w:r>
        <w:t xml:space="preserve"> </w:t>
      </w:r>
      <w:r>
        <w:rPr>
          <w:i/>
        </w:rPr>
        <w:t xml:space="preserve">Meinhard v. Salmon</w:t>
      </w:r>
      <w:r>
        <w:t xml:space="preserve"> </w:t>
      </w:r>
      <w:r>
        <w:t xml:space="preserve">(1928)</w:t>
      </w:r>
    </w:p>
    <w:p>
      <w:pPr>
        <w:pStyle w:val="BodyText"/>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w:t>
      </w:r>
      <w:r>
        <w:t xml:space="preserve">not honesty alone, but the punctilio of an honor the most sensitive.</w:t>
      </w:r>
      <w:r>
        <w:t xml:space="preser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numPr>
          <w:ilvl w:val="0"/>
          <w:numId w:val="1002"/>
        </w:numPr>
        <w:pStyle w:val="Compact"/>
      </w:pPr>
      <w:r>
        <w:rPr>
          <w:b/>
        </w:rPr>
        <w:t xml:space="preserve">Undivided loyalty.</w:t>
      </w:r>
      <w:r>
        <w:t xml:space="preserve"> </w:t>
      </w:r>
      <w:r>
        <w:t xml:space="preserve">The trustee acts only for the beneficiary — here, the schools — and never to serve the state’s general budget, a favored industry, or the trustee’s own convenience.</w:t>
      </w:r>
    </w:p>
    <w:p>
      <w:pPr>
        <w:numPr>
          <w:ilvl w:val="0"/>
          <w:numId w:val="1002"/>
        </w:numPr>
        <w:pStyle w:val="Compact"/>
      </w:pPr>
      <w:r>
        <w:rPr>
          <w:b/>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numPr>
          <w:ilvl w:val="0"/>
          <w:numId w:val="1002"/>
        </w:numPr>
        <w:pStyle w:val="Compact"/>
      </w:pPr>
      <w:r>
        <w:rPr>
          <w:b/>
        </w:rPr>
        <w:t xml:space="preserve">Competence and the duty to account.</w:t>
      </w:r>
      <w:r>
        <w:t xml:space="preserve"> </w:t>
      </w:r>
      <w:r>
        <w:t xml:space="preserve">A trustee must know what the trust holds, manage it with skill, and be able to show, to the penny, what came in and where it went.</w:t>
      </w:r>
    </w:p>
    <w:p>
      <w:pPr>
        <w:numPr>
          <w:ilvl w:val="0"/>
          <w:numId w:val="1002"/>
        </w:numPr>
        <w:pStyle w:val="Compact"/>
      </w:pPr>
      <w:r>
        <w:rPr>
          <w:b/>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w:t>
      </w:r>
      <w:r>
        <w:t xml:space="preserve">trust</w:t>
      </w:r>
      <w:r>
        <w:t xml:space="preserve">”</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 We begin where the country began: with the first state to receive the gift, and the first to forget what it was holding.</w:t>
      </w:r>
    </w:p>
    <w:p>
      <w:r>
        <w:br w:type="page"/>
      </w:r>
    </w:p>
    <w:p>
      <w:pPr>
        <w:pStyle w:val="Heading1"/>
      </w:pPr>
      <w:bookmarkStart w:id="35" w:name="Xf0721b9a7c84c277dfa52e2a9db37e4de03c9e3"/>
      <w:r>
        <w:t xml:space="preserve">Chapter 4 — Loyalty: The Gift Treated as Pocket Money</w:t>
      </w:r>
      <w:bookmarkEnd w:id="35"/>
    </w:p>
    <w:p>
      <w:pPr>
        <w:pStyle w:val="PullQuote"/>
      </w:pPr>
      <w:r>
        <w:t xml:space="preserve">“</w:t>
      </w:r>
      <w:r>
        <w:t xml:space="preserve">He that is entrusted with the interest of others, cannot be allowed to make the business an object of interest to himself.</w:t>
      </w:r>
      <w:r>
        <w:t xml:space="preserve">”</w:t>
      </w:r>
    </w:p>
    <w:p>
      <w:pPr>
        <w:pStyle w:val="PullQuote"/>
      </w:pPr>
      <w:r>
        <w:t xml:space="preserve">— Lord Chancellor King,</w:t>
      </w:r>
      <w:r>
        <w:t xml:space="preserve"> </w:t>
      </w:r>
      <w:r>
        <w:rPr>
          <w:i/>
        </w:rPr>
        <w:t xml:space="preserve">Keech v. Sandford</w:t>
      </w:r>
      <w:r>
        <w:t xml:space="preserve"> </w:t>
      </w:r>
      <w:r>
        <w:t xml:space="preserve">(1726)</w:t>
      </w:r>
    </w:p>
    <w:p>
      <w:pPr>
        <w:pStyle w:val="BodyText"/>
      </w:pPr>
      <w:r>
        <w:t xml:space="preserve">Trust law begins with a plain sentence: the trustee does not own the trust for himself. He holds it for another. In the school-land grants, the</w:t>
      </w:r>
      <w:r>
        <w:t xml:space="preserve"> </w:t>
      </w:r>
      <w:r>
        <w:t xml:space="preserve">“</w:t>
      </w:r>
      <w:r>
        <w:t xml:space="preserve">another</w:t>
      </w:r>
      <w:r>
        <w:t xml:space="preserve">”</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p>
      <w:pPr>
        <w:pStyle w:val="Heading2"/>
      </w:pPr>
      <w:bookmarkStart w:id="36" w:name="principle"/>
      <w:r>
        <w:t xml:space="preserve">Principle</w:t>
      </w:r>
      <w:bookmarkEnd w:id="36"/>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rPr>
        <w:t xml:space="preserve">Magruder v. Drury</w:t>
      </w:r>
      <w:r>
        <w:t xml:space="preserve"> </w:t>
      </w:r>
      <w:r>
        <w:t xml:space="preserve">put the baseline plainly:</w:t>
      </w:r>
      <w:r>
        <w:t xml:space="preserve"> </w:t>
      </w:r>
      <w:r>
        <w:t xml:space="preserve">“</w:t>
      </w:r>
      <w:r>
        <w:t xml:space="preserve">a trustee can make no profit out of his trust.</w:t>
      </w:r>
      <w:r>
        <w:t xml:space="preserve">”</w:t>
      </w:r>
      <w:r>
        <w:rPr>
          <w:vertAlign w:val="superscript"/>
        </w:rPr>
        <w:t xml:space="preserve">1</w:t>
      </w:r>
      <w:r>
        <w:t xml:space="preserve"> </w:t>
      </w:r>
      <w:r>
        <w:t xml:space="preserve">And Cardozo, in</w:t>
      </w:r>
      <w:r>
        <w:t xml:space="preserve"> </w:t>
      </w:r>
      <w:r>
        <w:rPr>
          <w:i/>
        </w:rPr>
        <w:t xml:space="preserve">Meinhard v. Salmon</w:t>
      </w:r>
      <w:r>
        <w:t xml:space="preserve">, set the standard that has governed ever since</w:t>
      </w:r>
      <w:r>
        <w:rPr>
          <w:vertAlign w:val="superscript"/>
        </w:rPr>
        <w:t xml:space="preserve">2</w:t>
      </w:r>
      <w:r>
        <w:t xml:space="preserve">:</w:t>
      </w:r>
      <w:r>
        <w:t xml:space="preserve"> </w:t>
      </w:r>
      <w:r>
        <w:t xml:space="preserve">“</w:t>
      </w:r>
      <w:r>
        <w:t xml:space="preserve">A trustee is held to something stricter than the morals of the market place. Not honesty alone, but the punctilio of an honor the most sensitive, is then the standard of behavior.</w:t>
      </w:r>
      <w:r>
        <w:t xml:space="preserve">”</w:t>
      </w:r>
    </w:p>
    <w:p>
      <w:pPr>
        <w:pStyle w:val="BodyText"/>
      </w:pPr>
      <w:r>
        <w:t xml:space="preserve">The school trust is not exempt from that standard because its trustee is a state.</w:t>
      </w:r>
    </w:p>
    <w:p>
      <w:pPr>
        <w:pStyle w:val="Heading2"/>
      </w:pPr>
      <w:bookmarkStart w:id="37" w:name="abuse"/>
      <w:r>
        <w:t xml:space="preserve">Abuse</w:t>
      </w:r>
      <w:bookmarkEnd w:id="37"/>
    </w:p>
    <w:p>
      <w:pPr>
        <w:pStyle w:val="FirstParagraph"/>
      </w:pPr>
      <w:r>
        <w:t xml:space="preserve">The simplest loyalty breach is the one New Mexico tried in the early twentieth century</w:t>
      </w:r>
      <w:r>
        <w:rPr>
          <w:vertAlign w:val="superscript"/>
        </w:rPr>
        <w:t xml:space="preserve">3</w:t>
      </w:r>
      <w:r>
        <w:t xml:space="preserve">. Congress had granted land for schools and other institutions. New Mexico used income from those lands to advertise the state. In</w:t>
      </w:r>
      <w:r>
        <w:t xml:space="preserve"> </w:t>
      </w:r>
      <w:r>
        <w:rPr>
          <w:i/>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oxedHeaderSimple"/>
      </w:pPr>
      <w:r>
        <w:t xml:space="preserve">When the Seller Is Also the Buyer</w:t>
      </w:r>
    </w:p>
    <w:p>
      <w:pPr>
        <w:pStyle w:val="BoxBody"/>
      </w:pPr>
      <w:r>
        <w:t xml:space="preserve">Oregon’s Elliott State Forest shows why loyalty is not a decorative doctrine. In 2022 testimony to Oregon’s State Land Board, Margaret Bird pointed to a Mason, Bruce &amp; Girard</w:t>
      </w:r>
      <w:r>
        <w:t xml:space="preserve"> </w:t>
      </w:r>
      <w:r>
        <w:t xml:space="preserve">“</w:t>
      </w:r>
      <w:r>
        <w:t xml:space="preserve">investment value</w:t>
      </w:r>
      <w:r>
        <w:t xml:space="preserve">”</w:t>
      </w:r>
      <w:r>
        <w:t xml:space="preserve"> </w:t>
      </w:r>
      <w:r>
        <w:t xml:space="preserve">of</w:t>
      </w:r>
      <w:r>
        <w:t xml:space="preserve"> </w:t>
      </w:r>
      <w:r>
        <w:rPr>
          <w:b/>
        </w:rPr>
        <w:t xml:space="preserve">$99.6 million</w:t>
      </w:r>
      <w:r>
        <w:t xml:space="preserve"> </w:t>
      </w:r>
      <w:r>
        <w:t xml:space="preserve">for the school trust’s interest, while public-market evidence discussed in the same record put the larger forest value roughly in the</w:t>
      </w:r>
      <w:r>
        <w:t xml:space="preserve"> </w:t>
      </w:r>
      <w:r>
        <w:rPr>
          <w:b/>
        </w:rPr>
        <w:t xml:space="preserve">$1 billion to $1.3 billion</w:t>
      </w:r>
      <w:r>
        <w:t xml:space="preserve"> </w:t>
      </w:r>
      <w:r>
        <w:t xml:space="preserve">range. The 2024 legislative funding package for decoupling supplied</w:t>
      </w:r>
      <w:r>
        <w:t xml:space="preserve"> </w:t>
      </w:r>
      <w:r>
        <w:rPr>
          <w:b/>
        </w:rPr>
        <w:t xml:space="preserve">$121 million in General Fund money</w:t>
      </w:r>
      <w:r>
        <w:t xml:space="preserve"> </w:t>
      </w:r>
      <w:r>
        <w:t xml:space="preserve">and</w:t>
      </w:r>
      <w:r>
        <w:t xml:space="preserve"> </w:t>
      </w:r>
      <w:r>
        <w:rPr>
          <w:b/>
        </w:rPr>
        <w:t xml:space="preserve">$100 million in bond funding</w:t>
      </w:r>
      <w:r>
        <w:t xml:space="preserve">, for a total of</w:t>
      </w:r>
      <w:r>
        <w:t xml:space="preserve"> </w:t>
      </w:r>
      <w:r>
        <w:rPr>
          <w:b/>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odyText"/>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rPr>
        <w:t xml:space="preserve">$50 million</w:t>
      </w:r>
      <w:r>
        <w:t xml:space="preserve"> </w:t>
      </w:r>
      <w:r>
        <w:t xml:space="preserve">cash component</w:t>
      </w:r>
      <w:r>
        <w:rPr>
          <w:vertAlign w:val="superscript"/>
        </w:rPr>
        <w:t xml:space="preserve">4</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p>
      <w:pPr>
        <w:pStyle w:val="Heading2"/>
      </w:pPr>
      <w:bookmarkStart w:id="38" w:name="honorable-counterexample"/>
      <w:r>
        <w:t xml:space="preserve">Honorable Counterexample</w:t>
      </w:r>
      <w:bookmarkEnd w:id="38"/>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p>
      <w:pPr>
        <w:pStyle w:val="Heading1"/>
      </w:pPr>
      <w:bookmarkStart w:id="39" w:name="Xb03ca550012684e798b5a556422781d37a83e68"/>
      <w:r>
        <w:t xml:space="preserve">Chapter 5 — Prudence: Do Not Eat the Seed Corn</w:t>
      </w:r>
      <w:bookmarkEnd w:id="39"/>
    </w:p>
    <w:p>
      <w:pPr>
        <w:pStyle w:val="PullQuote"/>
      </w:pPr>
      <w:r>
        <w:t xml:space="preserve">“</w:t>
      </w:r>
      <w:r>
        <w:t xml:space="preserve">The trust must be administered with an eye single to the interests of the beneficiaries.</w:t>
      </w:r>
      <w:r>
        <w:t xml:space="preserve">”</w:t>
      </w:r>
    </w:p>
    <w:p>
      <w:pPr>
        <w:pStyle w:val="PullQuote"/>
      </w:pPr>
      <w:r>
        <w:t xml:space="preserve">—</w:t>
      </w:r>
      <w:r>
        <w:t xml:space="preserve"> </w:t>
      </w:r>
      <w:r>
        <w:rPr>
          <w:i/>
        </w:rPr>
        <w:t xml:space="preserve">Lassen v. Arizona ex rel. Arizona Highway Department</w:t>
      </w:r>
      <w:r>
        <w:t xml:space="preserve"> </w:t>
      </w:r>
      <w:r>
        <w:t xml:space="preserve">(1967)</w:t>
      </w:r>
    </w:p>
    <w:p>
      <w:pPr>
        <w:pStyle w:val="BodyText"/>
      </w:pPr>
      <w:r>
        <w:t xml:space="preserve">Prudence is loyalty’s practical twin. Loyalty asks,</w:t>
      </w:r>
      <w:r>
        <w:t xml:space="preserve"> </w:t>
      </w:r>
      <w:r>
        <w:t xml:space="preserve">“</w:t>
      </w:r>
      <w:r>
        <w:t xml:space="preserve">Who are you serving?</w:t>
      </w:r>
      <w:r>
        <w:t xml:space="preserve">”</w:t>
      </w:r>
      <w:r>
        <w:t xml:space="preserve"> </w:t>
      </w:r>
      <w:r>
        <w:t xml:space="preserve">Prudence asks,</w:t>
      </w:r>
      <w:r>
        <w:t xml:space="preserve"> </w:t>
      </w:r>
      <w:r>
        <w:t xml:space="preserve">“</w:t>
      </w:r>
      <w:r>
        <w:t xml:space="preserve">Are you keeping the thing you were given?</w:t>
      </w:r>
      <w:r>
        <w:t xml:space="preserve">”</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p>
      <w:pPr>
        <w:pStyle w:val="Heading2"/>
      </w:pPr>
      <w:bookmarkStart w:id="40" w:name="principle-1"/>
      <w:r>
        <w:t xml:space="preserve">Principle</w:t>
      </w:r>
      <w:bookmarkEnd w:id="40"/>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p>
      <w:pPr>
        <w:pStyle w:val="Heading2"/>
      </w:pPr>
      <w:bookmarkStart w:id="41" w:name="abuse-1"/>
      <w:r>
        <w:t xml:space="preserve">Abuse</w:t>
      </w:r>
      <w:bookmarkEnd w:id="41"/>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rPr>
        <w:t xml:space="preserve">principal</w:t>
      </w:r>
      <w:r>
        <w:t xml:space="preserve"> </w:t>
      </w:r>
      <w:r>
        <w:t xml:space="preserve">and</w:t>
      </w:r>
      <w:r>
        <w:t xml:space="preserve"> </w:t>
      </w:r>
      <w:r>
        <w:rPr>
          <w:i/>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w:t>
      </w:r>
      <w:r>
        <w:t xml:space="preserve">both as to principal and income.</w:t>
      </w:r>
      <w:r>
        <w:t xml:space="preserve">”</w:t>
      </w:r>
      <w:r>
        <w:t xml:space="preserve"> </w:t>
      </w:r>
      <w:r>
        <w:t xml:space="preserve">California failed more quietly, by omission: the first state to receive the doubled two-section grant never even</w:t>
      </w:r>
      <w:r>
        <w:t xml:space="preserve"> </w:t>
      </w:r>
      <w:r>
        <w:rPr>
          <w:i/>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1</w:t>
      </w:r>
      <w:r>
        <w:t xml:space="preserve">, and it sold</w:t>
      </w:r>
      <w:r>
        <w:t xml:space="preserve"> </w:t>
      </w:r>
      <w:r>
        <w:rPr>
          <w:i/>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w:t>
      </w:r>
      <w:r>
        <w:t xml:space="preserve">a man of ordinary judgment</w:t>
      </w:r>
      <w:r>
        <w:rPr>
          <w:vertAlign w:val="superscript"/>
        </w:rPr>
        <w:t xml:space="preserve">2</w:t>
      </w:r>
      <w:r>
        <w:t xml:space="preserve">”</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3</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rPr>
        <w:t xml:space="preserve">2,914 acres</w:t>
      </w:r>
      <w:r>
        <w:t xml:space="preserve">, producing</w:t>
      </w:r>
      <w:r>
        <w:t xml:space="preserve"> </w:t>
      </w:r>
      <w:r>
        <w:rPr>
          <w:b/>
        </w:rPr>
        <w:t xml:space="preserve">less than $5,000 a year</w:t>
      </w:r>
      <w:r>
        <w:rPr>
          <w:vertAlign w:val="superscript"/>
        </w:rPr>
        <w:t xml:space="preserve">4</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rPr>
        <w:t xml:space="preserve">$2 billion</w:t>
      </w:r>
      <w:r>
        <w:t xml:space="preserve"> </w:t>
      </w:r>
      <w:r>
        <w:t xml:space="preserve">draw against corpus. (An earlier draft of this book used a later shorthand for the post-raid loss; that estimate stays out until it is pinned to an audited source.)</w:t>
      </w:r>
    </w:p>
    <w:p>
      <w:pPr>
        <w:pStyle w:val="BoxedHeaderSimple"/>
      </w:pPr>
      <w:r>
        <w:t xml:space="preserve">Don’t Eat the Seed Corn</w:t>
      </w:r>
    </w:p>
    <w:p>
      <w:pPr>
        <w:pStyle w:val="BoxBody"/>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w:t>
      </w:r>
      <w:r>
        <w:t xml:space="preserve">excess earnings.</w:t>
      </w:r>
      <w:r>
        <w:t xml:space="preserve">”</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oxedHeaderSimple"/>
      </w:pPr>
      <w:r>
        <w:t xml:space="preserve">The Corpus Test</w:t>
      </w:r>
    </w:p>
    <w:p>
      <w:pPr>
        <w:pStyle w:val="BoxBody"/>
      </w:pPr>
      <w:r>
        <w:t xml:space="preserve">Before any sale, exchange, raid, or diversion, ask four questions.</w:t>
      </w:r>
    </w:p>
    <w:p>
      <w:pPr>
        <w:numPr>
          <w:ilvl w:val="0"/>
          <w:numId w:val="1003"/>
        </w:numPr>
        <w:pStyle w:val="Compact"/>
      </w:pPr>
      <w:r>
        <w:t xml:space="preserve">Is the trust receiving fair market value or a clearly documented equivalent?</w:t>
      </w:r>
    </w:p>
    <w:p>
      <w:pPr>
        <w:numPr>
          <w:ilvl w:val="0"/>
          <w:numId w:val="1003"/>
        </w:numPr>
        <w:pStyle w:val="Compact"/>
      </w:pPr>
      <w:r>
        <w:t xml:space="preserve">Is the principal preserved, or is principal being spent as if it were income?</w:t>
      </w:r>
    </w:p>
    <w:p>
      <w:pPr>
        <w:numPr>
          <w:ilvl w:val="0"/>
          <w:numId w:val="1003"/>
        </w:numPr>
        <w:pStyle w:val="Compact"/>
      </w:pPr>
      <w:r>
        <w:t xml:space="preserve">Would a private trustee, accountable only to the beneficiary, make the same transaction?</w:t>
      </w:r>
    </w:p>
    <w:p>
      <w:pPr>
        <w:numPr>
          <w:ilvl w:val="0"/>
          <w:numId w:val="1003"/>
        </w:numPr>
        <w:pStyle w:val="Compact"/>
      </w:pPr>
      <w:r>
        <w:t xml:space="preserve">Can the trustee show the calculation in public?</w:t>
      </w:r>
    </w:p>
    <w:p>
      <w:pPr>
        <w:pStyle w:val="BoxBody"/>
      </w:pPr>
      <w:r>
        <w:t xml:space="preserve">If the answer to any of these is no, the burden should fall on the trustee, not on the schools.</w:t>
      </w:r>
    </w:p>
    <w:p>
      <w:pPr>
        <w:pStyle w:val="Heading2"/>
      </w:pPr>
      <w:bookmarkStart w:id="42" w:name="honorable-counterexample-1"/>
      <w:r>
        <w:t xml:space="preserve">Honorable Counterexample</w:t>
      </w:r>
      <w:bookmarkEnd w:id="42"/>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t>
      </w:r>
      <w:r>
        <w:t xml:space="preserve">were the great trust of the future commonwealth and should be absolutely secured from waste and cheap sales.</w:t>
      </w:r>
      <w:r>
        <w:t xml:space="preserve">”</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5</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w:t>
      </w:r>
      <w:r>
        <w:t xml:space="preserve">an educated and forewarned constituency</w:t>
      </w:r>
      <w:r>
        <w:rPr>
          <w:vertAlign w:val="superscript"/>
        </w:rPr>
        <w:t xml:space="preserve">6</w:t>
      </w:r>
      <w:r>
        <w:t xml:space="preserve">”</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7</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w:t>
      </w:r>
      <w:r>
        <w:t xml:space="preserve">Pettigrew and the Beadle Club</w:t>
      </w:r>
      <w:r>
        <w:t xml:space="preserve">”</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rPr>
        <w:t xml:space="preserve">about $8.4 billion as of November 30, 2025</w:t>
      </w:r>
      <w:r>
        <w:rPr>
          <w:vertAlign w:val="superscript"/>
        </w:rPr>
        <w:t xml:space="preserve">8</w:t>
      </w:r>
      <w:r>
        <w:t xml:space="preserve"> </w:t>
      </w:r>
      <w:r>
        <w:t xml:space="preserve">in the Department of Trust Lands / State Treasurer monthly investment report.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rPr>
        <w:t xml:space="preserve">about $32.6 billion as of October 31, 2024</w:t>
      </w:r>
      <w:r>
        <w:rPr>
          <w:vertAlign w:val="superscript"/>
        </w:rPr>
        <w:t xml:space="preserve">9</w:t>
      </w:r>
      <w:r>
        <w:t xml:space="preserve">, is the strongest single contemporary illustration in the current verification file — and the story of</w:t>
      </w:r>
      <w:r>
        <w:t xml:space="preserve"> </w:t>
      </w:r>
      <w:r>
        <w:rPr>
          <w:i/>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p>
      <w:pPr>
        <w:pStyle w:val="Heading1"/>
      </w:pPr>
      <w:bookmarkStart w:id="43" w:name="Xa785ff15bbc5aca2cde698441a7895191522807"/>
      <w:r>
        <w:t xml:space="preserve">Chapter 6 — Competence and Accounting: The Books Must Tell the Truth</w:t>
      </w:r>
      <w:bookmarkEnd w:id="43"/>
    </w:p>
    <w:p>
      <w:pPr>
        <w:pStyle w:val="PullQuote"/>
      </w:pPr>
      <w:r>
        <w:t xml:space="preserve">“</w:t>
      </w: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r>
        <w:t xml:space="preserve">”</w:t>
      </w:r>
    </w:p>
    <w:p>
      <w:pPr>
        <w:pStyle w:val="PullQuote"/>
      </w:pPr>
      <w:r>
        <w:t xml:space="preserve">—</w:t>
      </w:r>
      <w:r>
        <w:t xml:space="preserve"> </w:t>
      </w:r>
      <w:r>
        <w:rPr>
          <w:i/>
        </w:rPr>
        <w:t xml:space="preserve">SEC v. Chenery Corp.</w:t>
      </w:r>
      <w:r>
        <w:t xml:space="preserve"> </w:t>
      </w:r>
      <w:r>
        <w:t xml:space="preserve">(1943)</w:t>
      </w:r>
    </w:p>
    <w:p>
      <w:pPr>
        <w:pStyle w:val="BodyText"/>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p>
      <w:pPr>
        <w:pStyle w:val="Heading2"/>
      </w:pPr>
      <w:bookmarkStart w:id="44" w:name="principle-2"/>
      <w:r>
        <w:t xml:space="preserve">Principle</w:t>
      </w:r>
      <w:bookmarkEnd w:id="44"/>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p>
      <w:pPr>
        <w:pStyle w:val="Heading2"/>
      </w:pPr>
      <w:bookmarkStart w:id="45" w:name="abuse-2"/>
      <w:r>
        <w:t xml:space="preserve">Abuse</w:t>
      </w:r>
      <w:bookmarkEnd w:id="45"/>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w:t>
      </w:r>
      <w:r>
        <w:t xml:space="preserve">history.</w:t>
      </w:r>
      <w:r>
        <w:t xml:space="preserve">”</w:t>
      </w:r>
      <w:r>
        <w:t xml:space="preserve"> </w:t>
      </w:r>
      <w:r>
        <w:t xml:space="preserve">If the beneficiary never receives a clear annual account, underperformance becomes atmosphere rather than evidence.</w:t>
      </w:r>
    </w:p>
    <w:p>
      <w:pPr>
        <w:pStyle w:val="Heading2"/>
      </w:pPr>
      <w:bookmarkStart w:id="46" w:name="honorable-counterexample-2"/>
      <w:r>
        <w:t xml:space="preserve">Honorable Counterexample</w:t>
      </w:r>
      <w:bookmarkEnd w:id="46"/>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p>
      <w:pPr>
        <w:pStyle w:val="Heading1"/>
      </w:pPr>
      <w:bookmarkStart w:id="47" w:name="Xe82d56c33fc65cef5eb77d02ed3c998e49bfba3"/>
      <w:r>
        <w:t xml:space="preserve">Chapter 7 — Supervision and Enforcement: Someone Has to Watch the Watcher</w:t>
      </w:r>
      <w:bookmarkEnd w:id="47"/>
    </w:p>
    <w:p>
      <w:pPr>
        <w:pStyle w:val="PullQuote"/>
      </w:pPr>
      <w:r>
        <w:t xml:space="preserve">“</w:t>
      </w:r>
      <w:r>
        <w:t xml:space="preserve">The officers of the state, who are charged with the management of school lands, are trustees for the public schools.</w:t>
      </w:r>
      <w:r>
        <w:t xml:space="preserve">”</w:t>
      </w:r>
      <w:r>
        <w:rPr>
          <w:vertAlign w:val="superscript"/>
        </w:rPr>
        <w:t xml:space="preserve">1</w:t>
      </w:r>
    </w:p>
    <w:p>
      <w:pPr>
        <w:pStyle w:val="PullQuote"/>
      </w:pPr>
      <w:r>
        <w:t xml:space="preserve">—</w:t>
      </w:r>
      <w:r>
        <w:t xml:space="preserve"> </w:t>
      </w:r>
      <w:r>
        <w:rPr>
          <w:i/>
        </w:rPr>
        <w:t xml:space="preserve">State ex rel. Ebke v. Board of Educational Lands &amp; Funds</w:t>
      </w:r>
      <w:r>
        <w:t xml:space="preserve"> </w:t>
      </w:r>
      <w:r>
        <w:t xml:space="preserve">(Neb. 1951)</w:t>
      </w:r>
    </w:p>
    <w:p>
      <w:pPr>
        <w:pStyle w:val="BodyText"/>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p>
      <w:pPr>
        <w:pStyle w:val="Heading2"/>
      </w:pPr>
      <w:bookmarkStart w:id="48" w:name="principle-3"/>
      <w:r>
        <w:t xml:space="preserve">Principle</w:t>
      </w:r>
      <w:bookmarkEnd w:id="48"/>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w:t>
      </w:r>
      <w:r>
        <w:t xml:space="preserve">trust us.</w:t>
      </w:r>
      <w:r>
        <w:t xml:space="preserve">”</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p>
      <w:pPr>
        <w:pStyle w:val="Heading2"/>
      </w:pPr>
      <w:bookmarkStart w:id="49" w:name="abuse-3"/>
      <w:r>
        <w:t xml:space="preserve">Abuse</w:t>
      </w:r>
      <w:bookmarkEnd w:id="49"/>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w:t>
      </w:r>
      <w:r>
        <w:t xml:space="preserve">grossly inadequate consideration.</w:t>
      </w:r>
      <w:r>
        <w:t xml:space="preserve">”</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w:t>
      </w:r>
      <w:r>
        <w:t xml:space="preserve">multiple use</w:t>
      </w:r>
      <w:r>
        <w:t xml:space="preserve">”</w:t>
      </w:r>
      <w:r>
        <w:t xml:space="preserve"> </w:t>
      </w:r>
      <w:r>
        <w:t xml:space="preserve">becomes a polite name for nobody paying the schools what they are owed.</w:t>
      </w:r>
    </w:p>
    <w:p>
      <w:pPr>
        <w:pStyle w:val="Heading2"/>
      </w:pPr>
      <w:bookmarkStart w:id="50" w:name="honorable-counterexample-3"/>
      <w:r>
        <w:t xml:space="preserve">Honorable Counterexample</w:t>
      </w:r>
      <w:bookmarkEnd w:id="50"/>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w:t>
      </w:r>
      <w:r>
        <w:t xml:space="preserve">held in trust</w:t>
      </w:r>
      <w:r>
        <w:t xml:space="preserve">”</w:t>
      </w:r>
      <w:r>
        <w:t xml:space="preserve">; spending the proceeds on anything outside the permitted purposes</w:t>
      </w:r>
      <w:r>
        <w:t xml:space="preserve"> </w:t>
      </w:r>
      <w:r>
        <w:t xml:space="preserve">“</w:t>
      </w:r>
      <w:r>
        <w:t xml:space="preserve">shall be deemed a breach of trust</w:t>
      </w:r>
      <w:r>
        <w:t xml:space="preserve">”</w:t>
      </w:r>
      <w:r>
        <w:t xml:space="preserve">; and — the part that changed everything — it was made the</w:t>
      </w:r>
      <w:r>
        <w:t xml:space="preserve"> </w:t>
      </w:r>
      <w:r>
        <w:rPr>
          <w:i/>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w:t>
      </w:r>
      <w:r>
        <w:t xml:space="preserve">resources and advantages,</w:t>
      </w:r>
      <w:r>
        <w:t xml:space="preserve">”</w:t>
      </w:r>
      <w:r>
        <w:t xml:space="preserve"> </w:t>
      </w:r>
      <w:r>
        <w:t xml:space="preserve">the United States sued, and in</w:t>
      </w:r>
      <w:r>
        <w:t xml:space="preserve"> </w:t>
      </w:r>
      <w:r>
        <w:rPr>
          <w:i/>
        </w:rPr>
        <w:t xml:space="preserve">Ervien v. United States</w:t>
      </w:r>
      <w:r>
        <w:t xml:space="preserve"> </w:t>
      </w:r>
      <w:r>
        <w:t xml:space="preserve">(1919) the Supreme Court shut the program down, reading the trust’s purposes as</w:t>
      </w:r>
      <w:r>
        <w:t xml:space="preserve"> </w:t>
      </w:r>
      <w:r>
        <w:t xml:space="preserve">“</w:t>
      </w:r>
      <w:r>
        <w:t xml:space="preserve">special and exact.</w:t>
      </w:r>
      <w:r>
        <w:t xml:space="preserve">”</w:t>
      </w:r>
      <w:r>
        <w:rPr>
          <w:vertAlign w:val="superscript"/>
        </w:rPr>
        <w:t xml:space="preserve">4</w:t>
      </w:r>
      <w:r>
        <w:t xml:space="preserve"> </w:t>
      </w:r>
      <w:r>
        <w:t xml:space="preserve">Half a century later it ran again: in</w:t>
      </w:r>
      <w:r>
        <w:t xml:space="preserve"> </w:t>
      </w:r>
      <w:r>
        <w:rPr>
          <w:i/>
        </w:rPr>
        <w:t xml:space="preserve">Lassen v. Arizona</w:t>
      </w:r>
      <w:r>
        <w:t xml:space="preserve"> </w:t>
      </w:r>
      <w:r>
        <w:t xml:space="preserve">(1967), under the same Act, the Court held that the trust must receive the</w:t>
      </w:r>
      <w:r>
        <w:t xml:space="preserve"> </w:t>
      </w:r>
      <w:r>
        <w:rPr>
          <w:i/>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rPr>
        <w:t xml:space="preserve">$32.6 billion</w:t>
      </w:r>
      <w:r>
        <w:t xml:space="preserve"> </w:t>
      </w:r>
      <w:r>
        <w:t xml:space="preserve">not because New Mexicans were more virtuous than their neighbors, but because the promise they inherited was written so that someone could be forced to keep it.</w:t>
      </w:r>
    </w:p>
    <w:p>
      <w:pPr>
        <w:pStyle w:val="BodyText"/>
      </w:pPr>
      <w:r>
        <w:t xml:space="preserve">But</w:t>
      </w:r>
      <w:r>
        <w:t xml:space="preserve"> </w:t>
      </w:r>
      <w:r>
        <w:rPr>
          <w:i/>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w:t>
      </w:r>
      <w:r>
        <w:t xml:space="preserve">one good attorney in the right place can make a difference.</w:t>
      </w:r>
      <w:r>
        <w:t xml:space="preserv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oxedHeaderSimple"/>
      </w:pPr>
      <w:r>
        <w:t xml:space="preserve">The land they bought for two dollars and a quarter** *(Utah: the coal-land swindle)</w:t>
      </w:r>
    </w:p>
    <w:p>
      <w:pPr>
        <w:pStyle w:val="BoxBody"/>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PullQuote"/>
      </w:pPr>
      <w:r>
        <w:rPr>
          <w:b/>
        </w:rPr>
        <w:t xml:space="preserve">The vote that sent a husband to the sofa</w:t>
      </w:r>
    </w:p>
    <w:p>
      <w:pPr>
        <w:pStyle w:val="PullQuote"/>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BodyText"/>
      </w:pPr>
      <w:r>
        <w:t xml:space="preserve">Two things made the Utah recovery hold. First, the constituency was made permanent by making the trust</w:t>
      </w:r>
      <w:r>
        <w:t xml:space="preserve"> </w:t>
      </w:r>
      <w:r>
        <w:rPr>
          <w:i/>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PullQuote"/>
      </w:pPr>
      <w:r>
        <w:rPr>
          <w:b/>
        </w:rPr>
        <w:t xml:space="preserve">The campout that never had to happen</w:t>
      </w:r>
    </w:p>
    <w:p>
      <w:pPr>
        <w:pStyle w:val="PullQuote"/>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BodyText"/>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odyText"/>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p>
      <w:pPr>
        <w:pStyle w:val="Heading1"/>
      </w:pPr>
      <w:bookmarkStart w:id="51" w:name="X7c58e6fc56f4cc067210675d0dd3aeee3c1fe7b"/>
      <w:r>
        <w:t xml:space="preserve">Chapter 8 — What the Record Teaches the Architects of Forever-Trusts</w:t>
      </w:r>
      <w:bookmarkEnd w:id="51"/>
    </w:p>
    <w:p>
      <w:pPr>
        <w:pStyle w:val="PullQuote"/>
      </w:pPr>
      <w:r>
        <w:t xml:space="preserve">“</w:t>
      </w:r>
      <w:r>
        <w:t xml:space="preserve">Society is indeed a contract. … It becomes a partnership not only between those who are living, but between those who are living, those who are dead, and those who are to be born</w:t>
      </w:r>
      <w:r>
        <w:rPr>
          <w:vertAlign w:val="superscript"/>
        </w:rPr>
        <w:t xml:space="preserve">1</w:t>
      </w:r>
      <w:r>
        <w:t xml:space="preserve">.</w:t>
      </w:r>
      <w:r>
        <w:t xml:space="preserve">”</w:t>
      </w:r>
      <w:r>
        <w:t xml:space="preserve"> </w:t>
      </w:r>
      <w:r>
        <w:t xml:space="preserve">— Edmund Burke,</w:t>
      </w:r>
      <w:r>
        <w:t xml:space="preserve"> </w:t>
      </w:r>
      <w:r>
        <w:rPr>
          <w:i/>
        </w:rPr>
        <w:t xml:space="preserve">Reflections on the Revolution in France</w:t>
      </w:r>
      <w:r>
        <w:t xml:space="preserve"> </w:t>
      </w:r>
      <w:r>
        <w:t xml:space="preserve">(1790)</w:t>
      </w:r>
    </w:p>
    <w:p>
      <w:pPr>
        <w:pStyle w:val="PullQuote"/>
      </w:pPr>
      <w:r>
        <w:t xml:space="preserve">“</w:t>
      </w:r>
      <w:r>
        <w:t xml:space="preserve">The United States agreed to cede some of its land to the State in exchange for a commitment by the State to use the revenues derived from the land to educate the citizenry. … 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p>
    <w:p>
      <w:pPr>
        <w:pStyle w:val="PullQuote"/>
      </w:pPr>
      <w:r>
        <w:t xml:space="preserve">—</w:t>
      </w:r>
      <w:r>
        <w:t xml:space="preserve"> </w:t>
      </w:r>
      <w:r>
        <w:rPr>
          <w:i/>
        </w:rPr>
        <w:t xml:space="preserve">Andrus v. Utah</w:t>
      </w:r>
      <w:r>
        <w:t xml:space="preserve"> </w:t>
      </w:r>
      <w:r>
        <w:t xml:space="preserve">(1980)</w:t>
      </w:r>
    </w:p>
    <w:p>
      <w:pPr>
        <w:pStyle w:val="BodyText"/>
      </w:pPr>
      <w:r>
        <w:t xml:space="preserve">We have spent this book walking a single inheritance across two hundred years. We saw it created — section sixteen of every township, set aside for the schools, in a young republic that believed an educated people was the only safe foundation for self-government. We saw it betrayed in nearly every way a thing of value can be betrayed: sold off in fire-sales, leased to insiders for pennies, raided when a legislature wanted the money for something else, and quietly let go through plain neglect. And we saw it, in places, kept — defended in court, rebuilt by stubborn citizens, and in a few states grown into funds worth billions that still send a check to the schools every year.</w:t>
      </w:r>
    </w:p>
    <w:p>
      <w:pPr>
        <w:pStyle w:val="BodyText"/>
      </w:pPr>
      <w:r>
        <w:t xml:space="preserve">That is the story. This chapter is about what the story is</w:t>
      </w:r>
      <w:r>
        <w:t xml:space="preserve"> </w:t>
      </w:r>
      <w:r>
        <w:rPr>
          <w:i/>
        </w:rPr>
        <w:t xml:space="preserve">for</w:t>
      </w:r>
      <w:r>
        <w:t xml:space="preserve">.</w:t>
      </w:r>
    </w:p>
    <w:p>
      <w:pPr>
        <w:pStyle w:val="BodyText"/>
      </w:pPr>
      <w:r>
        <w:t xml:space="preserve">Because the school-trust record is not only a chapter of American history. It is the longest-running experiment we have in a very specific and very modern problem: how do you bind one generation to keep a promise to people who are not yet born? The framers of the school grants were trying to reach across time. They wanted the land — and later the money the land became — to serve children who would not be alive for a century or more, and they wanted that purpose to survive every legislature, every budget crisis, every clever official who would come along and find a reason to spend the corpus now. They were, in the truest sense, designing a forever-institution.</w:t>
      </w:r>
    </w:p>
    <w:p>
      <w:pPr>
        <w:pStyle w:val="BodyText"/>
      </w:pPr>
      <w:r>
        <w:t xml:space="preserve">And right now, in our own decade, other people are trying to do the same thing.</w:t>
      </w:r>
    </w:p>
    <w:p>
      <w:pPr>
        <w:pStyle w:val="BodyText"/>
      </w:pPr>
      <w:r>
        <w:t xml:space="preserve">They are chartering sovereign funds to hold the wealth that artificial intelligence and the data centers behind it are expected to throw off — funds meant to capture a windfall and meter it out to citizens across generations. They are building perpetual climate endowments meant to pay for adaptation and stewardship long after the people who funded them are gone. They are writing the founding documents for institutions that, like the school trusts, are supposed to outlive everyone in the room. They face the framers’ exact problem: a promise to the unborn, held by a sovereign that can change its mind.</w:t>
      </w:r>
    </w:p>
    <w:p>
      <w:pPr>
        <w:pStyle w:val="BodyText"/>
      </w:pPr>
      <w:r>
        <w:t xml:space="preserve">The school trusts ran that experiment for two centuries, in fifty separate laboratories, with results we can actually read. Some of those laboratories produced funds that survived. Most produced cautionary tales. The difference between the two was not luck, and it was not the nobility of the founders’ intentions — the intentions were noble nearly everywhere. The difference was</w:t>
      </w:r>
      <w:r>
        <w:t xml:space="preserve"> </w:t>
      </w:r>
      <w:r>
        <w:rPr>
          <w:i/>
        </w:rPr>
        <w:t xml:space="preserve">design</w:t>
      </w:r>
      <w:r>
        <w:t xml:space="preserve">. The people writing today’s forever-charters have the rare gift of a completed long-run trial. They would be foolish not to read the results.</w:t>
      </w:r>
    </w:p>
    <w:p>
      <w:pPr>
        <w:pStyle w:val="BodyText"/>
      </w:pPr>
      <w:r>
        <w:t xml:space="preserve">So this is the payload of the book. Here is what two hundred years of school-trust history teaches the people now building things meant to last forever.</w:t>
      </w:r>
    </w:p>
    <w:p>
      <w:pPr>
        <w:pStyle w:val="Heading2"/>
      </w:pPr>
      <w:bookmarkStart w:id="52" w:name="Xbf2bd63160424372574864a7745b339bf8aa93c"/>
      <w:r>
        <w:t xml:space="preserve">The first lesson: the duty is constant, but the ability to enforce it is engineered</w:t>
      </w:r>
      <w:bookmarkEnd w:id="52"/>
    </w:p>
    <w:p>
      <w:pPr>
        <w:pStyle w:val="FirstParagraph"/>
      </w:pPr>
      <w:r>
        <w:t xml:space="preserve">Start with the deepest thing the record teaches, because everything else rests on it.</w:t>
      </w:r>
    </w:p>
    <w:p>
      <w:pPr>
        <w:pStyle w:val="BodyText"/>
      </w:pPr>
      <w:r>
        <w:t xml:space="preserve">A trust does not need fancy words to exist. This surprises people, and it is worth saying plainly. When the United States granted section sixteen</w:t>
      </w:r>
      <w:r>
        <w:t xml:space="preserve"> </w:t>
      </w:r>
      <w:r>
        <w:t xml:space="preserve">“</w:t>
      </w:r>
      <w:r>
        <w:t xml:space="preserve">for the use of schools,</w:t>
      </w:r>
      <w:r>
        <w:t xml:space="preserve">”</w:t>
      </w:r>
      <w:r>
        <w:t xml:space="preserve"> </w:t>
      </w:r>
      <w:r>
        <w:t xml:space="preserve">it did not have to recite the word</w:t>
      </w:r>
      <w:r>
        <w:t xml:space="preserve"> </w:t>
      </w:r>
      <w:r>
        <w:t xml:space="preserve">“</w:t>
      </w:r>
      <w:r>
        <w:t xml:space="preserve">trust,</w:t>
      </w:r>
      <w:r>
        <w:t xml:space="preserve">”</w:t>
      </w:r>
      <w:r>
        <w:t xml:space="preserve"> </w:t>
      </w:r>
      <w:r>
        <w:t xml:space="preserve">or list the trustee’s duties, or explain that the land was to be managed loyally and prudently for the schools and not for anyone else’s benefit. The obligation attached anyway, by the simple logic of what a trust</w:t>
      </w:r>
      <w:r>
        <w:t xml:space="preserve"> </w:t>
      </w:r>
      <w:r>
        <w:rPr>
          <w:i/>
        </w:rPr>
        <w:t xml:space="preserve">is</w:t>
      </w:r>
      <w:r>
        <w:t xml:space="preserve">: someone holds property, someone else is meant to benefit, and the holder is bound to serve the beneficiary. The Supreme Court said as much very early. In</w:t>
      </w:r>
      <w:r>
        <w:t xml:space="preserve"> </w:t>
      </w:r>
      <w:r>
        <w:rPr>
          <w:i/>
        </w:rPr>
        <w:t xml:space="preserve">Cooper v. Roberts</w:t>
      </w:r>
      <w:r>
        <w:t xml:space="preserve"> </w:t>
      </w:r>
      <w:r>
        <w:t xml:space="preserve">(1855), the Court treated the school-section grant as creating a trust, with the United States as the</w:t>
      </w:r>
      <w:r>
        <w:t xml:space="preserve"> </w:t>
      </w:r>
      <w:r>
        <w:t xml:space="preserve">“</w:t>
      </w:r>
      <w:r>
        <w:t xml:space="preserve">founder of a charity</w:t>
      </w:r>
      <w:r>
        <w:t xml:space="preserve">”</w:t>
      </w:r>
      <w:r>
        <w:t xml:space="preserve"> </w:t>
      </w:r>
      <w:r>
        <w:t xml:space="preserve">and the state bound by a</w:t>
      </w:r>
      <w:r>
        <w:t xml:space="preserve"> </w:t>
      </w:r>
      <w:r>
        <w:t xml:space="preserve">“</w:t>
      </w:r>
      <w:r>
        <w:t xml:space="preserve">sacred obligation.</w:t>
      </w:r>
      <w:r>
        <w:t xml:space="preserve">”</w:t>
      </w:r>
      <w:r>
        <w:t xml:space="preserve"> </w:t>
      </w:r>
      <w:r>
        <w:t xml:space="preserve">(</w:t>
      </w:r>
      <w:r>
        <w:rPr>
          <w:i/>
        </w:rPr>
        <w:t xml:space="preserve">Cooper v. Roberts</w:t>
      </w:r>
      <w:r>
        <w:t xml:space="preserve">, 59 U.S. 173 (1855).) No magic words were required. Centuries of English equity, carried into American law, supplied the trustee’s duties without the granting act having to spell them out.</w:t>
      </w:r>
    </w:p>
    <w:p>
      <w:pPr>
        <w:pStyle w:val="BodyText"/>
      </w:pPr>
      <w:r>
        <w:t xml:space="preserve">This matters for today’s designers in a reassuring way: you do not lose the protection of trust law just because your founding document is lean. The duty exists by intent. If you mean to create a trust and you define who benefits and what the corpus is, the law will treat it as a trust.</w:t>
      </w:r>
    </w:p>
    <w:p>
      <w:pPr>
        <w:pStyle w:val="BodyText"/>
      </w:pPr>
      <w:r>
        <w:t xml:space="preserve">But here the record turns, and the turn is the most important single thing in this book.</w:t>
      </w:r>
    </w:p>
    <w:p>
      <w:pPr>
        <w:pStyle w:val="BodyText"/>
      </w:pPr>
      <w:r>
        <w:rPr>
          <w:b/>
        </w:rPr>
        <w:t xml:space="preserve">The existence of the duty is one question. Whether a beneficiary can force the trustee to honor it is an entirely different question — and that second question turns heavily on the words.</w:t>
      </w:r>
    </w:p>
    <w:p>
      <w:pPr>
        <w:pStyle w:val="BodyText"/>
      </w:pPr>
      <w:r>
        <w:t xml:space="preserve">A duty that exists but cannot be enforced is, to the children who are supposed to benefit from it, worth roughly whatever the trustee chooses to give it. And American courts have repeatedly declined to enforce general, loosely-worded public trusts — not because the duty was absent, but because the vague text gave the sovereign room to argue the duty was not something a court could compel. When the trustee is a state, the state has a whole arsenal of defenses available that a private trustee does not: sovereign immunity, the idea that some constitutional commands are merely aspirational rather than enforceable, the doctrine that certain questions belong to the legislature and not the courts. Those defenses succeed most easily when the founding text is general. They fail when the text is specific.</w:t>
      </w:r>
    </w:p>
    <w:p>
      <w:pPr>
        <w:pStyle w:val="BodyText"/>
      </w:pPr>
      <w:r>
        <w:t xml:space="preserve">The honest version of this lesson is even sharper, and it cuts against any tidy picture. For the leanest old grants, it is not merely</w:t>
      </w:r>
      <w:r>
        <w:t xml:space="preserve"> </w:t>
      </w:r>
      <w:r>
        <w:rPr>
          <w:i/>
        </w:rPr>
        <w:t xml:space="preserve">harder</w:t>
      </w:r>
      <w:r>
        <w:t xml:space="preserve"> </w:t>
      </w:r>
      <w:r>
        <w:t xml:space="preserve">to enforce the trust — it is genuinely contested whether a court-enforceable trust exists at all. In</w:t>
      </w:r>
      <w:r>
        <w:t xml:space="preserve"> </w:t>
      </w:r>
      <w:r>
        <w:rPr>
          <w:i/>
        </w:rPr>
        <w:t xml:space="preserve">Alabama v. Schmidt</w:t>
      </w:r>
      <w:r>
        <w:t xml:space="preserve"> </w:t>
      </w:r>
      <w:r>
        <w:t xml:space="preserve">(1914), the Supreme Court described the obligation under the early section-sixteen grants as</w:t>
      </w:r>
      <w:r>
        <w:t xml:space="preserve"> </w:t>
      </w:r>
      <w:r>
        <w:t xml:space="preserve">“</w:t>
      </w:r>
      <w:r>
        <w:t xml:space="preserve">honorary,</w:t>
      </w:r>
      <w:r>
        <w:t xml:space="preserve">”</w:t>
      </w:r>
      <w:r>
        <w:t xml:space="preserve"> </w:t>
      </w:r>
      <w:r>
        <w:t xml:space="preserve">and the grant itself as an absolute gift — a fee, not a trust a court would police. (</w:t>
      </w:r>
      <w:r>
        <w:rPr>
          <w:i/>
        </w:rPr>
        <w:t xml:space="preserve">Alabama v. Schmidt</w:t>
      </w:r>
      <w:r>
        <w:t xml:space="preserve">, 232 U.S. 168 (1914).) Decades later, in</w:t>
      </w:r>
      <w:r>
        <w:t xml:space="preserve"> </w:t>
      </w:r>
      <w:r>
        <w:rPr>
          <w:i/>
        </w:rPr>
        <w:t xml:space="preserve">Papasan v. Allain</w:t>
      </w:r>
      <w:r>
        <w:t xml:space="preserve"> </w:t>
      </w:r>
      <w:r>
        <w:t xml:space="preserve">(1986), the Court said it was</w:t>
      </w:r>
      <w:r>
        <w:t xml:space="preserve"> </w:t>
      </w:r>
      <w:r>
        <w:t xml:space="preserve">“</w:t>
      </w:r>
      <w:r>
        <w:t xml:space="preserve">not at all clear</w:t>
      </w:r>
      <w:r>
        <w:t xml:space="preserve">”</w:t>
      </w:r>
      <w:r>
        <w:t xml:space="preserve"> </w:t>
      </w:r>
      <w:r>
        <w:t xml:space="preserve">that the early grants created a binding trust at all — and then held that even if one existed, the Eleventh Amendment barred the beneficiaries’ claim against the state. (</w:t>
      </w:r>
      <w:r>
        <w:rPr>
          <w:i/>
        </w:rPr>
        <w:t xml:space="preserve">Papasan v. Allain</w:t>
      </w:r>
      <w:r>
        <w:t xml:space="preserve">, 478 U.S. 265 (1986).) And</w:t>
      </w:r>
      <w:r>
        <w:t xml:space="preserve"> </w:t>
      </w:r>
      <w:r>
        <w:rPr>
          <w:i/>
        </w:rPr>
        <w:t xml:space="preserve">Cooper v. Roberts</w:t>
      </w:r>
      <w:r>
        <w:t xml:space="preserve"> </w:t>
      </w:r>
      <w:r>
        <w:t xml:space="preserve">itself, the case usually cited for</w:t>
      </w:r>
      <w:r>
        <w:t xml:space="preserve"> </w:t>
      </w:r>
      <w:r>
        <w:t xml:space="preserve">“</w:t>
      </w:r>
      <w:r>
        <w:t xml:space="preserve">the grant is a trust,</w:t>
      </w:r>
      <w:r>
        <w:t xml:space="preserve">”</w:t>
      </w:r>
      <w:r>
        <w:t xml:space="preserve"> </w:t>
      </w:r>
      <w:r>
        <w:t xml:space="preserve">also says the grant ran</w:t>
      </w:r>
      <w:r>
        <w:t xml:space="preserve"> </w:t>
      </w:r>
      <w:r>
        <w:t xml:space="preserve">“</w:t>
      </w:r>
      <w:r>
        <w:t xml:space="preserve">to the State directly, without limitation of its power.</w:t>
      </w:r>
      <w:r>
        <w:t xml:space="preserve">”</w:t>
      </w:r>
      <w:r>
        <w:t xml:space="preserve"> </w:t>
      </w:r>
      <w:r>
        <w:t xml:space="preserve">(</w:t>
      </w:r>
      <w:r>
        <w:rPr>
          <w:i/>
        </w:rPr>
        <w:t xml:space="preserve">Cooper</w:t>
      </w:r>
      <w:r>
        <w:t xml:space="preserve">, 59 U.S. 173.)</w:t>
      </w:r>
    </w:p>
    <w:p>
      <w:pPr>
        <w:pStyle w:val="BodyText"/>
      </w:pPr>
      <w:r>
        <w:t xml:space="preserve">That tension is not an embarrassment to the lesson. It</w:t>
      </w:r>
      <w:r>
        <w:t xml:space="preserve"> </w:t>
      </w:r>
      <w:r>
        <w:rPr>
          <w:i/>
        </w:rPr>
        <w:t xml:space="preserve">is</w:t>
      </w:r>
      <w:r>
        <w:t xml:space="preserve"> </w:t>
      </w:r>
      <w:r>
        <w:t xml:space="preserve">the lesson. The strongest argument that thin text is dangerous is that, on thin text, even the existence of an enforceable trust is a coin-toss in court. The designers of a forever-institution who assume a future court will read protective duties into a vaguely-worded charter are making a bet the record shows you lose as often as you win.</w:t>
      </w:r>
    </w:p>
    <w:p>
      <w:pPr>
        <w:pStyle w:val="BodyText"/>
      </w:pPr>
      <w:r>
        <w:t xml:space="preserve">Set two states side by side and the whole point becomes concrete.</w:t>
      </w:r>
    </w:p>
    <w:p>
      <w:pPr>
        <w:pStyle w:val="BodyText"/>
      </w:pPr>
      <w:r>
        <w:t xml:space="preserve">In New Mexico, the federal enabling act of 1910 did not leave the trust to inference. Section 10 said the lands</w:t>
      </w:r>
      <w:r>
        <w:t xml:space="preserve"> </w:t>
      </w:r>
      <w:r>
        <w:t xml:space="preserve">“</w:t>
      </w:r>
      <w:r>
        <w:t xml:space="preserve">shall be by the said State held in trust.</w:t>
      </w:r>
      <w:r>
        <w:t xml:space="preserve">”</w:t>
      </w:r>
      <w:r>
        <w:t xml:space="preserve"> </w:t>
      </w:r>
      <w:r>
        <w:t xml:space="preserve">It named the permitted purposes. It declared that any disposition not conforming to those terms</w:t>
      </w:r>
      <w:r>
        <w:t xml:space="preserve"> </w:t>
      </w:r>
      <w:r>
        <w:t xml:space="preserve">“</w:t>
      </w:r>
      <w:r>
        <w:t xml:space="preserve">shall be deemed a breach of trust.</w:t>
      </w:r>
      <w:r>
        <w:t xml:space="preserve">”</w:t>
      </w:r>
      <w:r>
        <w:t xml:space="preserve"> </w:t>
      </w:r>
      <w:r>
        <w:t xml:space="preserve">And it made it the duty of the Attorney General of the United States to prosecute violations. (Act of June 20, 1910, ch. 310, § 10, 36 Stat. 557.) When New Mexico’s land commissioner began spending a slice of trust income on advertising the state to tourists, the United States actually sued — and won. In</w:t>
      </w:r>
      <w:r>
        <w:t xml:space="preserve"> </w:t>
      </w:r>
      <w:r>
        <w:rPr>
          <w:i/>
        </w:rPr>
        <w:t xml:space="preserve">Ervien v. United States</w:t>
      </w:r>
      <w:r>
        <w:t xml:space="preserve"> </w:t>
      </w:r>
      <w:r>
        <w:t xml:space="preserve">(1919), the Supreme Court held the dedication of the trust income</w:t>
      </w:r>
      <w:r>
        <w:t xml:space="preserve"> </w:t>
      </w:r>
      <w:r>
        <w:t xml:space="preserve">“</w:t>
      </w:r>
      <w:r>
        <w:t xml:space="preserve">was special and exact, precluding any supplementary or aiding sense.</w:t>
      </w:r>
      <w:r>
        <w:t xml:space="preserve">”</w:t>
      </w:r>
      <w:r>
        <w:t xml:space="preserve"> </w:t>
      </w:r>
      <w:r>
        <w:t xml:space="preserve">(</w:t>
      </w:r>
      <w:r>
        <w:rPr>
          <w:i/>
        </w:rPr>
        <w:t xml:space="preserve">Ervien v. United States</w:t>
      </w:r>
      <w:r>
        <w:t xml:space="preserve">, 251 U.S. 41, 47 (1919).) No express enforcement clause, no named enforcer, and there is no</w:t>
      </w:r>
      <w:r>
        <w:t xml:space="preserve"> </w:t>
      </w:r>
      <w:r>
        <w:rPr>
          <w:i/>
        </w:rPr>
        <w:t xml:space="preserve">Ervien</w:t>
      </w:r>
      <w:r>
        <w:t xml:space="preserve">. Half a century later, in</w:t>
      </w:r>
      <w:r>
        <w:t xml:space="preserve"> </w:t>
      </w:r>
      <w:r>
        <w:rPr>
          <w:i/>
        </w:rPr>
        <w:t xml:space="preserve">Lassen v. Arizona</w:t>
      </w:r>
      <w:r>
        <w:t xml:space="preserve"> </w:t>
      </w:r>
      <w:r>
        <w:t xml:space="preserve">(1967), the Court read the same 1910 framework to demand that the trust receive full money value whenever its land was taken for a public road — the specificity of the text was exactly what let the Court insist on full value. (</w:t>
      </w:r>
      <w:r>
        <w:rPr>
          <w:i/>
        </w:rPr>
        <w:t xml:space="preserve">Lassen v. Arizona ex rel. Arizona Highway Dept.</w:t>
      </w:r>
      <w:r>
        <w:t xml:space="preserve">, 385 U.S. 458, 465–69 (1967).) A century after the act was written, New Mexico’s attorney general was still using section 10’s teeth to undo improper land deals. (</w:t>
      </w:r>
      <w:r>
        <w:rPr>
          <w:i/>
        </w:rPr>
        <w:t xml:space="preserve">State ex rel. King v. Lyons</w:t>
      </w:r>
      <w:r>
        <w:t xml:space="preserve">, 2011-NMSC-004.) The teeth were written in, and the teeth still bite.</w:t>
      </w:r>
    </w:p>
    <w:p>
      <w:pPr>
        <w:pStyle w:val="BodyText"/>
      </w:pPr>
      <w:r>
        <w:t xml:space="preserve">Now Oregon. The duty there is just as real. But Oregon’s relevant text is general, not an express trust with a named trustee and an enforcement clause, and the consequence has been five years of litigation spent not on whether the state breached its duty but on whether anyone is even allowed to ask a court the question — standing, justiciability, sovereign immunity, legislative immunity, separation of powers, every one of them an argument the state could make precisely because the text gave it the room. (</w:t>
      </w:r>
      <w:r>
        <w:rPr>
          <w:i/>
        </w:rPr>
        <w:t xml:space="preserve">Advocates for School Trust Lands v. State of Oregon</w:t>
      </w:r>
      <w:r>
        <w:t xml:space="preserve">, Coos County 23CV39056; Or. Ct. App. A184055; standing restored Jan. 28, 2026.) (published at</w:t>
      </w:r>
      <w:r>
        <w:t xml:space="preserve"> </w:t>
      </w:r>
      <w:r>
        <w:rPr>
          <w:i/>
        </w:rPr>
        <w:t xml:space="preserve">Advocates for School Trust Lands v. State</w:t>
      </w:r>
      <w:r>
        <w:t xml:space="preserve">, 346 Or. App. 668 (2026)). When a court of appeals finally restored the right to proceed in early 2026, that was a hard-won catch-up, not a victory — and it was still not certain the beneficiaries would win on the merits. Same duty as New Mexico’s. Wildly different ability to enforce it. The difference is in the words.</w:t>
      </w:r>
    </w:p>
    <w:p>
      <w:pPr>
        <w:pStyle w:val="BodyText"/>
      </w:pPr>
      <w:r>
        <w:t xml:space="preserve">For anyone designing a forever-trust, this is the one lesson to take if you take only one:</w:t>
      </w:r>
      <w:r>
        <w:t xml:space="preserve"> </w:t>
      </w:r>
      <w:r>
        <w:rPr>
          <w:b/>
        </w:rPr>
        <w:t xml:space="preserve">do not count on a court to supply the enforcement machinery later.</w:t>
      </w:r>
      <w:r>
        <w:t xml:space="preserve"> </w:t>
      </w:r>
      <w:r>
        <w:t xml:space="preserve">Write it in. The duty you can rely on. The remedy you have to build.</w:t>
      </w:r>
    </w:p>
    <w:p>
      <w:pPr>
        <w:pStyle w:val="PullQuote"/>
      </w:pPr>
      <w:r>
        <w:rPr>
          <w:b/>
        </w:rPr>
        <w:t xml:space="preserve">PULL-QUOTE:</w:t>
      </w:r>
      <w:r>
        <w:t xml:space="preserve"> </w:t>
      </w:r>
      <w:r>
        <w:t xml:space="preserve">“</w:t>
      </w:r>
      <w:r>
        <w:t xml:space="preserve">The duty you can rely on. The remedy you have to build.</w:t>
      </w:r>
      <w:r>
        <w:t xml:space="preserve">”</w:t>
      </w:r>
    </w:p>
    <w:p>
      <w:pPr>
        <w:pStyle w:val="Heading2"/>
      </w:pPr>
      <w:bookmarkStart w:id="53" w:name="Xe2e370f1571423226764666857d8a0d35e21069"/>
      <w:r>
        <w:t xml:space="preserve">The second lesson: charter it as a bargain the sovereign cannot rewrite, not a gift it can revisit</w:t>
      </w:r>
      <w:bookmarkEnd w:id="53"/>
    </w:p>
    <w:p>
      <w:pPr>
        <w:pStyle w:val="FirstParagraph"/>
      </w:pPr>
      <w:r>
        <w:t xml:space="preserve">The school trusts survived best where the founding deal was understood as a</w:t>
      </w:r>
      <w:r>
        <w:t xml:space="preserve"> </w:t>
      </w:r>
      <w:r>
        <w:rPr>
          <w:i/>
        </w:rPr>
        <w:t xml:space="preserve">contract</w:t>
      </w:r>
      <w:r>
        <w:t xml:space="preserve">, and fared worst where it was understood as a</w:t>
      </w:r>
      <w:r>
        <w:t xml:space="preserve"> </w:t>
      </w:r>
      <w:r>
        <w:rPr>
          <w:i/>
        </w:rPr>
        <w:t xml:space="preserve">gift</w:t>
      </w:r>
      <w:r>
        <w:t xml:space="preserve">.</w:t>
      </w:r>
    </w:p>
    <w:p>
      <w:pPr>
        <w:pStyle w:val="BodyText"/>
      </w:pPr>
      <w:r>
        <w:t xml:space="preserve">The difference sounds like lawyer’s hair-splitting. It is, in fact, the hinge on which whole fortunes turned. If the school lands were a gift from the federal government to the state, then a state could plausibly argue it kept the sovereign power to do something else with them later — to repurpose, to sell, to redirect the money — because that is what an owner of a gift may do. For most of the nineteenth century, that</w:t>
      </w:r>
      <w:r>
        <w:t xml:space="preserve"> </w:t>
      </w:r>
      <w:r>
        <w:t xml:space="preserve">“</w:t>
      </w:r>
      <w:r>
        <w:t xml:space="preserve">the state can do what it likes with its own</w:t>
      </w:r>
      <w:r>
        <w:t xml:space="preserve">”</w:t>
      </w:r>
      <w:r>
        <w:t xml:space="preserve"> </w:t>
      </w:r>
      <w:r>
        <w:t xml:space="preserve">view was exactly the cover under which the fire-sales and the raids happened.</w:t>
      </w:r>
    </w:p>
    <w:p>
      <w:pPr>
        <w:pStyle w:val="BodyText"/>
      </w:pPr>
      <w:r>
        <w:t xml:space="preserve">But if the grant was a</w:t>
      </w:r>
      <w:r>
        <w:t xml:space="preserve"> </w:t>
      </w:r>
      <w:r>
        <w:rPr>
          <w:i/>
        </w:rPr>
        <w:t xml:space="preserve">bargained-for compact</w:t>
      </w:r>
      <w:r>
        <w:t xml:space="preserve"> </w:t>
      </w:r>
      <w:r>
        <w:t xml:space="preserve">— something the state received in exchange for a binding commitment it gave back — then the state wears two hats at once. It is the sovereign, yes, but it is also a party to a deal, and the terms of that deal became part of its own fundamental law, not revisable at the next legislative whim. The Supreme Court put this with unusual clarity in</w:t>
      </w:r>
      <w:r>
        <w:t xml:space="preserve"> </w:t>
      </w:r>
      <w:r>
        <w:rPr>
          <w:i/>
        </w:rPr>
        <w:t xml:space="preserve">Andrus v. Utah</w:t>
      </w:r>
      <w:r>
        <w:t xml:space="preserve"> </w:t>
      </w:r>
      <w:r>
        <w:t xml:space="preserve">(1980): the school-land grant was a</w:t>
      </w:r>
      <w:r>
        <w:t xml:space="preserve"> </w:t>
      </w:r>
      <w:r>
        <w:t xml:space="preserve">“</w:t>
      </w:r>
      <w:r>
        <w:t xml:space="preserve">solemn agreement which in some ways may be analogized to a contract between private parties. The United States agreed to cede some of its land to the State in exchange for a commitment by the State to use the revenues derived from the land to educate the citizenry.</w:t>
      </w:r>
      <w:r>
        <w:t xml:space="preserve">”</w:t>
      </w:r>
      <w:r>
        <w:t xml:space="preserve"> </w:t>
      </w:r>
      <w:r>
        <w:t xml:space="preserve">(</w:t>
      </w:r>
      <w:r>
        <w:rPr>
          <w:i/>
        </w:rPr>
        <w:t xml:space="preserve">Andrus v. Utah</w:t>
      </w:r>
      <w:r>
        <w:t xml:space="preserve">, 446 U.S. 500, 507 (1980).) And from that the Court drew the firewall directly: no state could divert school lands to other public uses without compensating the trust for the full market value of what it took. (</w:t>
      </w:r>
      <w:r>
        <w:rPr>
          <w:i/>
        </w:rPr>
        <w:t xml:space="preserve">Andrus</w:t>
      </w:r>
      <w:r>
        <w:t xml:space="preserve">, 446 U.S. at 507, citing</w:t>
      </w:r>
      <w:r>
        <w:t xml:space="preserve"> </w:t>
      </w:r>
      <w:r>
        <w:rPr>
          <w:i/>
        </w:rPr>
        <w:t xml:space="preserve">Lassen</w:t>
      </w:r>
      <w:r>
        <w:t xml:space="preserve"> </w:t>
      </w:r>
      <w:r>
        <w:t xml:space="preserve">and</w:t>
      </w:r>
      <w:r>
        <w:t xml:space="preserve"> </w:t>
      </w:r>
      <w:r>
        <w:rPr>
          <w:i/>
        </w:rPr>
        <w:t xml:space="preserve">Alamo Land &amp; Cattle Co. v. Arizona</w:t>
      </w:r>
      <w:r>
        <w:t xml:space="preserve">, 424 U.S. 295 (1976).)</w:t>
      </w:r>
    </w:p>
    <w:p>
      <w:pPr>
        <w:pStyle w:val="BodyText"/>
      </w:pPr>
      <w:r>
        <w:t xml:space="preserve">State courts built the same wall higher. New Mexico’s courts held that its enabling act is</w:t>
      </w:r>
      <w:r>
        <w:t xml:space="preserve"> </w:t>
      </w:r>
      <w:r>
        <w:t xml:space="preserve">“</w:t>
      </w:r>
      <w:r>
        <w:t xml:space="preserve">fundamental law to the same extent as if it had been directly incorporated into the Constitution.</w:t>
      </w:r>
      <w:r>
        <w:t xml:space="preserve">”</w:t>
      </w:r>
      <w:r>
        <w:t xml:space="preserve"> </w:t>
      </w:r>
      <w:r>
        <w:t xml:space="preserve">(</w:t>
      </w:r>
      <w:r>
        <w:rPr>
          <w:i/>
        </w:rPr>
        <w:t xml:space="preserve">Lake Arthur Drainage Dist. v. Field</w:t>
      </w:r>
      <w:r>
        <w:t xml:space="preserve">, 27 N.M. 183 (1921).) Oklahoma’s supreme court called the acceptance provisions</w:t>
      </w:r>
      <w:r>
        <w:t xml:space="preserve"> </w:t>
      </w:r>
      <w:r>
        <w:t xml:space="preserve">“</w:t>
      </w:r>
      <w:r>
        <w:t xml:space="preserve">an irrevocable compact… which cannot be altered or abrogated.</w:t>
      </w:r>
      <w:r>
        <w:t xml:space="preserve">”</w:t>
      </w:r>
      <w:r>
        <w:t xml:space="preserve"> </w:t>
      </w:r>
      <w:r>
        <w:t xml:space="preserve">(</w:t>
      </w:r>
      <w:r>
        <w:rPr>
          <w:i/>
        </w:rPr>
        <w:t xml:space="preserve">Oklahoma Education Ass’n v. Nigh</w:t>
      </w:r>
      <w:r>
        <w:t xml:space="preserve">, 642 P.2d 230 (Okla. 1982).) South Dakota’s court said the legislature simply</w:t>
      </w:r>
      <w:r>
        <w:t xml:space="preserve"> </w:t>
      </w:r>
      <w:r>
        <w:t xml:space="preserve">“</w:t>
      </w:r>
      <w:r>
        <w:t xml:space="preserve">cannot give away trust property,</w:t>
      </w:r>
      <w:r>
        <w:t xml:space="preserve">”</w:t>
      </w:r>
      <w:r>
        <w:t xml:space="preserve"> </w:t>
      </w:r>
      <w:r>
        <w:t xml:space="preserve">and that any disposition had to return full value. (</w:t>
      </w:r>
      <w:r>
        <w:rPr>
          <w:i/>
        </w:rPr>
        <w:t xml:space="preserve">Kanaly v. State</w:t>
      </w:r>
      <w:r>
        <w:t xml:space="preserve">, 368 N.W.2d 819 (S.D. 1985).) In each of these, the move is the same: convert the founding deal from a gift the sovereign can reconsider into a contract the sovereign cannot unilaterally rewrite.</w:t>
      </w:r>
    </w:p>
    <w:p>
      <w:pPr>
        <w:pStyle w:val="BodyText"/>
      </w:pPr>
      <w:r>
        <w:t xml:space="preserve">Notice what this does to the honorary-trust problem from the first lesson. Where the bare grant looked merely</w:t>
      </w:r>
      <w:r>
        <w:t xml:space="preserve"> </w:t>
      </w:r>
      <w:r>
        <w:t xml:space="preserve">“</w:t>
      </w:r>
      <w:r>
        <w:t xml:space="preserve">honorary</w:t>
      </w:r>
      <w:r>
        <w:t xml:space="preserve">”</w:t>
      </w:r>
      <w:r>
        <w:t xml:space="preserve"> </w:t>
      </w:r>
      <w:r>
        <w:t xml:space="preserve">— an absolute gift with a moral gloss — the compact theory is the route out. It is how beneficiaries convert</w:t>
      </w:r>
      <w:r>
        <w:t xml:space="preserve"> </w:t>
      </w:r>
      <w:r>
        <w:t xml:space="preserve">“</w:t>
      </w:r>
      <w:r>
        <w:t xml:space="preserve">the duty exists but you can’t reach it</w:t>
      </w:r>
      <w:r>
        <w:t xml:space="preserve">”</w:t>
      </w:r>
      <w:r>
        <w:t xml:space="preserve"> </w:t>
      </w:r>
      <w:r>
        <w:t xml:space="preserve">into</w:t>
      </w:r>
      <w:r>
        <w:t xml:space="preserve"> </w:t>
      </w:r>
      <w:r>
        <w:t xml:space="preserve">“</w:t>
      </w:r>
      <w:r>
        <w:t xml:space="preserve">the duty is a binding agreement, and a court will enforce it.</w:t>
      </w:r>
      <w:r>
        <w:t xml:space="preserve">”</w:t>
      </w:r>
      <w:r>
        <w:t xml:space="preserve"> </w:t>
      </w:r>
      <w:r>
        <w:t xml:space="preserve">The two lessons work as a pair: explicit text names the duty and the enforcer; the compact form makes the whole thing irrevocable. Together they are the difference between a promise and a contract.</w:t>
      </w:r>
    </w:p>
    <w:p>
      <w:pPr>
        <w:pStyle w:val="BodyText"/>
      </w:pPr>
      <w:r>
        <w:t xml:space="preserve">For today’s designers the translation is exact, and it is the second rule:</w:t>
      </w:r>
      <w:r>
        <w:t xml:space="preserve"> </w:t>
      </w:r>
      <w:r>
        <w:rPr>
          <w:b/>
        </w:rPr>
        <w:t xml:space="preserve">a perpetual fund survives only if its founding charter is legally firewalled against the sovereign’s own future self.</w:t>
      </w:r>
      <w:r>
        <w:t xml:space="preserve"> </w:t>
      </w:r>
      <w:r>
        <w:t xml:space="preserve">If a future legislature — or a future board, or a future government — can change the fund’s purpose by ordinary act, then it will eventually be changed, because the money will eventually be wanted for something that feels urgent. Charter the institution as an irrevocable commitment to an external counterparty, made part of fundamental law, alterable only by some difficult, deliberate process and not by the same body that will one day be tempted to raid it. A gift can be revisited. A bargain, properly made, cannot. Build the bargain.</w:t>
      </w:r>
    </w:p>
    <w:p>
      <w:pPr>
        <w:pStyle w:val="Heading2"/>
      </w:pPr>
      <w:bookmarkStart w:id="54" w:name="X31164228a1bb37671799488013fabfebed3a00e"/>
      <w:r>
        <w:t xml:space="preserve">The third lesson: the purpose held its shape for a century, which is why it is worth fixing in writing</w:t>
      </w:r>
      <w:bookmarkEnd w:id="54"/>
    </w:p>
    <w:p>
      <w:pPr>
        <w:pStyle w:val="FirstParagraph"/>
      </w:pPr>
      <w:r>
        <w:t xml:space="preserve">There is a quiet, encouraging fact in the record that is easy to miss between the betrayals and the rescues, and it deserves its own place.</w:t>
      </w:r>
    </w:p>
    <w:p>
      <w:pPr>
        <w:pStyle w:val="BodyText"/>
      </w:pPr>
      <w:r>
        <w:t xml:space="preserve">The school grant</w:t>
      </w:r>
      <w:r>
        <w:t xml:space="preserve"> </w:t>
      </w:r>
      <w:r>
        <w:rPr>
          <w:i/>
        </w:rPr>
        <w:t xml:space="preserve">held its shape</w:t>
      </w:r>
      <w:r>
        <w:t xml:space="preserve">. The basic commitment that appeared in the Land Ordinance of 1785 and was carried into the Northwest Ordinance of 1787 — reserve section sixteen for the schools — rode forward through more than a century of statehood acts, across Congress after Congress, largely unargued. The 1802 act that admitted Ohio framed the grant as a proposition offered for the state’s</w:t>
      </w:r>
      <w:r>
        <w:t xml:space="preserve"> </w:t>
      </w:r>
      <w:r>
        <w:t xml:space="preserve">“</w:t>
      </w:r>
      <w:r>
        <w:t xml:space="preserve">free acceptance or rejection, which, if accepted… shall be obligatory upon the United States</w:t>
      </w:r>
      <w:r>
        <w:t xml:space="preserve">”</w:t>
      </w:r>
      <w:r>
        <w:t xml:space="preserve"> </w:t>
      </w:r>
      <w:r>
        <w:t xml:space="preserve">— the bilateral, binding-by-acceptance form that every later admission inherited. (Ohio Enabling Act, Act of Apr. 30, 1802, ch. 40, § 7, 2 Stat. 173, 175.) Later acts did not rewrite the commitment; they</w:t>
      </w:r>
      <w:r>
        <w:t xml:space="preserve"> </w:t>
      </w:r>
      <w:r>
        <w:rPr>
          <w:i/>
        </w:rPr>
        <w:t xml:space="preserve">added</w:t>
      </w:r>
      <w:r>
        <w:t xml:space="preserve"> </w:t>
      </w:r>
      <w:r>
        <w:t xml:space="preserve">to its skeleton. Colorado’s 1875 act put a price floor under the land. (Act of Mar. 3, 1875, ch. 139, 18 Stat. 474.) Utah’s 1894 act enlarged the grant to four sections per township. (Act of July 16, 1894, ch. 138, 28 Stat. 107.) The 1889 omnibus act admitting the Dakotas, Montana, and Washington put the lands expressly</w:t>
      </w:r>
      <w:r>
        <w:t xml:space="preserve"> </w:t>
      </w:r>
      <w:r>
        <w:t xml:space="preserve">“</w:t>
      </w:r>
      <w:r>
        <w:t xml:space="preserve">in trust</w:t>
      </w:r>
      <w:r>
        <w:t xml:space="preserve">”</w:t>
      </w:r>
      <w:r>
        <w:t xml:space="preserve"> </w:t>
      </w:r>
      <w:r>
        <w:t xml:space="preserve">and forbade selling them for less than ten dollars an acre. (Act of Feb. 22, 1889, ch. 180, 25 Stat. 676.) And the 1910 act for New Mexico and Arizona added the full apparatus of</w:t>
      </w:r>
      <w:r>
        <w:t xml:space="preserve"> </w:t>
      </w:r>
      <w:r>
        <w:t xml:space="preserve">“</w:t>
      </w:r>
      <w:r>
        <w:t xml:space="preserve">breach of trust</w:t>
      </w:r>
      <w:r>
        <w:t xml:space="preserve">”</w:t>
      </w:r>
      <w:r>
        <w:t xml:space="preserve"> </w:t>
      </w:r>
      <w:r>
        <w:t xml:space="preserve">and Attorney-General enforcement. (Act of June 20, 1910, ch. 310, 36 Stat. 557.) You can lay the four statutes side by side and watch the same purpose persist, gathering protective clauses as it goes.</w:t>
      </w:r>
    </w:p>
    <w:p>
      <w:pPr>
        <w:pStyle w:val="BodyText"/>
      </w:pPr>
      <w:r>
        <w:t xml:space="preserve">A word of honesty here, because the temptation is to tell this too neatly. It is tempting to say Congress methodically tightened the screws scandal by scandal — that every new restriction was a punishment for a documented abuse. The records do not actually support that tidy story. The best scholarship finds that many of the restrictions were first adopted by states and then copied</w:t>
      </w:r>
      <w:r>
        <w:t xml:space="preserve"> </w:t>
      </w:r>
      <w:r>
        <w:rPr>
          <w:i/>
        </w:rPr>
        <w:t xml:space="preserve">upward</w:t>
      </w:r>
      <w:r>
        <w:t xml:space="preserve"> </w:t>
      </w:r>
      <w:r>
        <w:t xml:space="preserve">into the federal acts, and that unmistakable congressional anti-abuse vigilance appears clearly only in 1910. (Souder &amp; Fairfax,</w:t>
      </w:r>
      <w:r>
        <w:t xml:space="preserve"> </w:t>
      </w:r>
      <w:r>
        <w:rPr>
          <w:i/>
        </w:rPr>
        <w:t xml:space="preserve">State Trust Lands</w:t>
      </w:r>
      <w:r>
        <w:t xml:space="preserve">; the located committee records — e.g., S. Rept. 586 (1888) on the Dakotas — argue admission-readiness, not an anti-fraud motive for the trust terms.) When we read the actual committee report behind the 1889 act, it argues about population and equal footing, not about preventing land fraud. So the careful claim is the modest one — and it is still powerful: across a full century, the</w:t>
      </w:r>
      <w:r>
        <w:t xml:space="preserve"> </w:t>
      </w:r>
      <w:r>
        <w:rPr>
          <w:i/>
        </w:rPr>
        <w:t xml:space="preserve">purpose</w:t>
      </w:r>
      <w:r>
        <w:t xml:space="preserve"> </w:t>
      </w:r>
      <w:r>
        <w:t xml:space="preserve">was constant. The grant rode forward as settled policy, never seriously up for debate. The framers’ idea — land set aside to fund the education of a self-governing people — proved durable in exactly the way a forever-institution’s purpose needs to be durable.</w:t>
      </w:r>
    </w:p>
    <w:p>
      <w:pPr>
        <w:pStyle w:val="BodyText"/>
      </w:pPr>
      <w:r>
        <w:t xml:space="preserve">The lesson for designers follows directly, and it is the third rule, the encouraging one. A clearly-defined purpose, written plainly and carried in fundamental documents,</w:t>
      </w:r>
      <w:r>
        <w:t xml:space="preserve"> </w:t>
      </w:r>
      <w:r>
        <w:rPr>
          <w:i/>
        </w:rPr>
        <w:t xml:space="preserve">can</w:t>
      </w:r>
      <w:r>
        <w:t xml:space="preserve"> </w:t>
      </w:r>
      <w:r>
        <w:t xml:space="preserve">survive a century of changing governments. Constancy of purpose is achievable; the record proves it. But notice the pairing with the first two lessons. The purpose held because it was written down, restated in every new admission, and treated as settled. It did not hold by being assumed. Write the purpose in clear, plain words, restate it in the founding documents rather than gesturing at it, and you give it the best chance the record offers of outliving everyone who wrote it.</w:t>
      </w:r>
    </w:p>
    <w:p>
      <w:pPr>
        <w:pStyle w:val="Heading2"/>
      </w:pPr>
      <w:bookmarkStart w:id="55" w:name="X7dc9ad9e1dcd11440b1442b4db5d5323cddae92"/>
      <w:r>
        <w:t xml:space="preserve">The fourth lesson: the specific clauses that did the work</w:t>
      </w:r>
      <w:bookmarkEnd w:id="55"/>
    </w:p>
    <w:p>
      <w:pPr>
        <w:pStyle w:val="FirstParagraph"/>
      </w:pPr>
      <w:r>
        <w:t xml:space="preserve">The first three lessons are the spine. But the record is also generous with detail — it tells you, clause by clause, what actually protected a fund and what left it exposed. A designer chartering a forever-institution today can lift these almost directly. Here are the provisions the two-century trial rewards.</w:t>
      </w:r>
    </w:p>
    <w:p>
      <w:pPr>
        <w:pStyle w:val="BodyText"/>
      </w:pPr>
      <w:r>
        <w:rPr>
          <w:b/>
        </w:rPr>
        <w:t xml:space="preserve">Name the adversary and bind it.</w:t>
      </w:r>
      <w:r>
        <w:t xml:space="preserve"> </w:t>
      </w:r>
      <w:r>
        <w:t xml:space="preserve">The trustee of a sovereign fund is, ultimately, the sovereign — the very body most tempted to raid the corpus when the money is wanted elsewhere. Do not pretend otherwise. Name the trustee explicitly, define its duties of loyalty and prudence in the document, and make clear the duty runs to the beneficiaries and not to the government’s general convenience. The trusts that fared worst left the trustee’s role implied, where a future official could argue the obligation was soft.</w:t>
      </w:r>
    </w:p>
    <w:p>
      <w:pPr>
        <w:pStyle w:val="BodyText"/>
      </w:pPr>
      <w:r>
        <w:rPr>
          <w:b/>
        </w:rPr>
        <w:t xml:space="preserve">Define the beneficiary narrowly and exclusively.</w:t>
      </w:r>
      <w:r>
        <w:t xml:space="preserve"> </w:t>
      </w:r>
      <w:r>
        <w:t xml:space="preserve">The school grants that survived best named the schools, and only the schools, as the beneficiary — the money was for them and could not be redirected to the general fund or to whatever the state found pressing. The clearest erosions came where the beneficiary class was loose enough that a legislature could argue some other public purpose qualified. State who benefits, and state that no one else does.</w:t>
      </w:r>
    </w:p>
    <w:p>
      <w:pPr>
        <w:pStyle w:val="BodyText"/>
      </w:pPr>
      <w:r>
        <w:rPr>
          <w:b/>
        </w:rPr>
        <w:t xml:space="preserve">Write in a plaintiff, a forum, a remedy — and waive immunity.</w:t>
      </w:r>
      <w:r>
        <w:t xml:space="preserve"> </w:t>
      </w:r>
      <w:r>
        <w:t xml:space="preserve">This is the lesson of New Mexico’s section 10 made into a checklist. A duty without a named enforcer is a duty no one can compel. Specify who has standing to sue — ideally someone independent of the government, a dedicated guardian or trust protector whose only job is to defend the corpus. Specify the court or tribunal that hears the claim. Specify the remedy — restoration of value, not a slap on the wrist. And because the trustee here is a sovereign, expressly waive the immunity defenses, or the beneficiaries will spend years, as Oregon’s did, fighting merely for the right to be heard. Every one of those clauses is a thing a court will not write in for you afterward.</w:t>
      </w:r>
    </w:p>
    <w:p>
      <w:pPr>
        <w:pStyle w:val="BodyTex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t xml:space="preserve">When a state takes trust land for its own use — a highway, a public building — the temptation is to credit the trust with the</w:t>
      </w:r>
      <w:r>
        <w:t xml:space="preserve"> </w:t>
      </w:r>
      <w:r>
        <w:rPr>
          <w:i/>
        </w:rPr>
        <w:t xml:space="preserve">indirect</w:t>
      </w:r>
      <w:r>
        <w:t xml:space="preserve"> </w:t>
      </w:r>
      <w:r>
        <w:t xml:space="preserve">benefit the public project supposedly brings, and so pay it less than the land is worth. The Supreme Court rejected exactly that move in the school-land context: the trust is owed full money value, not a discounted value reduced by some claimed collateral benefit. (</w:t>
      </w:r>
      <w:r>
        <w:rPr>
          <w:i/>
        </w:rPr>
        <w:t xml:space="preserve">Lassen v. Arizona</w:t>
      </w:r>
      <w:r>
        <w:t xml:space="preserve">, 385 U.S. 458 (1967).) For a modern fund the analog is the</w:t>
      </w:r>
      <w:r>
        <w:t xml:space="preserve"> </w:t>
      </w:r>
      <w:r>
        <w:t xml:space="preserve">“</w:t>
      </w:r>
      <w:r>
        <w:t xml:space="preserve">social discount</w:t>
      </w:r>
      <w:r>
        <w:t xml:space="preserve">”</w:t>
      </w:r>
      <w:r>
        <w:t xml:space="preserve"> </w:t>
      </w:r>
      <w:r>
        <w:t xml:space="preserve">— the argument that the fund should accept below-market terms when it deals with its own government because the public gets some other good out of the deal. Forbid it in the charter. Every internal transfer prices at full market value, full stop.</w:t>
      </w:r>
    </w:p>
    <w:p>
      <w:pPr>
        <w:pStyle w:val="BodyText"/>
      </w:pPr>
      <w:r>
        <w:rPr>
          <w:b/>
        </w:rPr>
        <w:t xml:space="preserve">Require independent valuation and segregated accounting.</w:t>
      </w:r>
      <w:r>
        <w:t xml:space="preserve"> </w:t>
      </w:r>
      <w:r>
        <w:t xml:space="preserve">A corpus you cannot see is a corpus that can be quietly drained. The funds that endured kept the trust money in a separate account, distinct from the general treasury, with its principal protected and only its earnings spent — and they valued assets through an independent process, not the trustee’s own say-so. A future official cannot spend what is walled off and audited. Segregate the corpus; require outside valuation; publish the accounting.</w:t>
      </w:r>
    </w:p>
    <w:p>
      <w:pPr>
        <w:pStyle w:val="BodyText"/>
      </w:pPr>
      <w:r>
        <w:rPr>
          <w:b/>
        </w:rPr>
        <w:t xml:space="preserve">Make exit honest and expensive — and here is the counter-example to remember.</w:t>
      </w:r>
      <w:r>
        <w:t xml:space="preserve"> </w:t>
      </w:r>
      <w:r>
        <w:t xml:space="preserve">Sooner or later someone will want the institution to dispose of a major asset, or to wind itself down, and will dress the disposal up as prudent management. The protection is to make any exit transparent, externally valued, and costly enough that it cannot be done casually. The cautionary tale is Oregon’s Elliott State Forest, the self-dealing sham anatomized in Chapter 3: a roughly $221-million</w:t>
      </w:r>
      <w:r>
        <w:t xml:space="preserve"> </w:t>
      </w:r>
      <w:r>
        <w:t xml:space="preserve">“</w:t>
      </w:r>
      <w:r>
        <w:t xml:space="preserve">buyout</w:t>
      </w:r>
      <w:r>
        <w:t xml:space="preserve">”</w:t>
      </w:r>
      <w:r>
        <w:t xml:space="preserve"> </w:t>
      </w:r>
      <w:r>
        <w:t xml:space="preserve">with a depressed</w:t>
      </w:r>
      <w:r>
        <w:t xml:space="preserve"> </w:t>
      </w:r>
      <w:r>
        <w:t xml:space="preserve">“</w:t>
      </w:r>
      <w:r>
        <w:t xml:space="preserve">investment</w:t>
      </w:r>
      <w:r>
        <w:t xml:space="preserve">”</w:t>
      </w:r>
      <w:r>
        <w:t xml:space="preserve"> </w:t>
      </w:r>
      <w:r>
        <w:t xml:space="preserve">valuation and circular funding — the trustee, in effect, buying the children’s forest from itself on terms it set. That is exactly the exit a well-drafted charter forecloses: it forbids the trustee from being the buyer, requires genuine independent valuation at full worth, and refuses to let a transfer be called compensation when the trust is made worse off. If your charter does not make exit honest and expensive, someone will eventually make it cheap and quiet.</w:t>
      </w:r>
    </w:p>
    <w:p>
      <w:pPr>
        <w:pStyle w:val="Heading2"/>
      </w:pPr>
      <w:bookmarkStart w:id="56" w:name="Xa3358e507f90deb1eba435c344df6d5feb7c34c"/>
      <w:r>
        <w:t xml:space="preserve">The fifth lesson: the machinery is inert without a constituency to work it</w:t>
      </w:r>
      <w:bookmarkEnd w:id="56"/>
    </w:p>
    <w:p>
      <w:pPr>
        <w:pStyle w:val="FirstParagraph"/>
      </w:pPr>
      <w:r>
        <w:t xml:space="preserve">There is one more lesson, and it keeps the other four honest.</w:t>
      </w:r>
    </w:p>
    <w:p>
      <w:pPr>
        <w:pStyle w:val="BodyText"/>
      </w:pPr>
      <w:r>
        <w:t xml:space="preserve">Every clause above is a lever. A lever does nothing until someone pulls it. The most carefully drafted charter — named trustee, enforcement clause, immunity waiver, full-value rule, segregated and audited corpus — is just words on paper unless there is a living constituency willing to go to court and</w:t>
      </w:r>
      <w:r>
        <w:t xml:space="preserve"> </w:t>
      </w:r>
      <w:r>
        <w:rPr>
          <w:i/>
        </w:rPr>
        <w:t xml:space="preserve">use</w:t>
      </w:r>
      <w:r>
        <w:t xml:space="preserve"> </w:t>
      </w:r>
      <w:r>
        <w:t xml:space="preserve">it when the trustee strays.</w:t>
      </w:r>
    </w:p>
    <w:p>
      <w:pPr>
        <w:pStyle w:val="BodyText"/>
      </w:pPr>
      <w:r>
        <w:t xml:space="preserve">Utah proved this in the hardest possible way, in the story Chapter 5 told at length. Utah had relatively strong protective text — and in the early 1980s, under Project BOLD, a large share of the corpus was nonetheless drained anyway. The strong text did not save it on its own. What turned the tide was the arrival of an organized constituency — the education coalition, led by Margaret Bird and the state’s school boards and education association, that mobilized to defend the trust and force the protections to be honored. The text was the lever; the constituency was the hand. Text without a constituency is inert. A constituency without enforceable text has nothing to pull. You need both, and the constituency is the active ingredient.</w:t>
      </w:r>
    </w:p>
    <w:p>
      <w:pPr>
        <w:pStyle w:val="BodyText"/>
      </w:pPr>
      <w:r>
        <w:t xml:space="preserve">For the architects of a forever-institution this is the rule that is easiest to skip and most fatal to skip. Do not stop at the charter. Charter alongside it a standing body whose permanent job is to watch the corpus and defend it — funded independently, with standing already written in, with the duty and the means to sue. Build the watchdog into the founding design, so that it does not depend on a crisis to summon a defender into being. The school trusts that survived two centuries did not survive because their founders were wiser than the founders who failed. They survived because somebody, generation after generation, was willing to stand up and insist the promise be kept — and because the law gave that somebody a lever worth pulling.</w:t>
      </w:r>
    </w:p>
    <w:p>
      <w:r>
        <w:pict>
          <v:rect style="width:0;height:1.5pt" o:hralign="center" o:hrstd="t" o:hr="t"/>
        </w:pict>
      </w:r>
    </w:p>
    <w:p>
      <w:pPr>
        <w:pStyle w:val="PullQuote"/>
      </w:pPr>
      <w:r>
        <w:rPr>
          <w:b/>
        </w:rPr>
        <w:t xml:space="preserve">BOX — The design rules, on one page</w:t>
      </w:r>
      <w:r>
        <w:t xml:space="preserve"> </w:t>
      </w:r>
      <w:r>
        <w:rPr>
          <w:i/>
        </w:rPr>
        <w:t xml:space="preserve">(charter the adversary)</w:t>
      </w:r>
    </w:p>
    <w:p>
      <w:pPr>
        <w:pStyle w:val="PullQuote"/>
      </w:pPr>
      <w:r>
        <w:t xml:space="preserve">If you are drafting a forever-institution and want the two-century trial reduced to a checklist, here it is. Each rule is earned by a state’s experience in the chapters behind it.</w:t>
      </w:r>
    </w:p>
    <w:p>
      <w:pPr>
        <w:numPr>
          <w:ilvl w:val="0"/>
          <w:numId w:val="1004"/>
        </w:numPr>
        <w:pStyle w:val="Compact"/>
      </w:pPr>
      <w:r>
        <w:rPr>
          <w:b/>
        </w:rPr>
        <w:t xml:space="preserve">Name the trustee — and name it as the adversary.</w:t>
      </w:r>
      <w:r>
        <w:t xml:space="preserve"> </w:t>
      </w:r>
      <w:r>
        <w:t xml:space="preserve">The sovereign is the body most tempted to raid the corpus. Write its duties of loyalty and prudence into the document; do not leave the role implied.</w:t>
      </w:r>
    </w:p>
    <w:p>
      <w:pPr>
        <w:numPr>
          <w:ilvl w:val="0"/>
          <w:numId w:val="1004"/>
        </w:numPr>
        <w:pStyle w:val="Compact"/>
      </w:pPr>
      <w:r>
        <w:rPr>
          <w:b/>
        </w:rPr>
        <w:t xml:space="preserve">Define the beneficiary narrowly and exclusively.</w:t>
      </w:r>
      <w:r>
        <w:t xml:space="preserve"> </w:t>
      </w:r>
      <w:r>
        <w:t xml:space="preserve">Name who benefits, and state plainly that no one else does — not the general fund, not whatever feels urgent next year.</w:t>
      </w:r>
    </w:p>
    <w:p>
      <w:pPr>
        <w:numPr>
          <w:ilvl w:val="0"/>
          <w:numId w:val="1004"/>
        </w:numPr>
        <w:pStyle w:val="Compact"/>
      </w:pPr>
      <w:r>
        <w:rPr>
          <w:b/>
        </w:rPr>
        <w:t xml:space="preserve">Write in a plaintiff, a forum, a remedy — and waive immunity.</w:t>
      </w:r>
      <w:r>
        <w:t xml:space="preserve"> </w:t>
      </w:r>
      <w:r>
        <w:t xml:space="preserve">A duty with no named enforcer is a duty no one can compel. New Mexico had section 10; Oregon spent five years just fighting for the right to be heard.</w:t>
      </w:r>
    </w:p>
    <w:p>
      <w:pPr>
        <w:numPr>
          <w:ilvl w:val="0"/>
          <w:numId w:val="1004"/>
        </w:numPr>
        <w:pStyle w:val="Compac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rPr>
          <w:i/>
        </w:rPr>
        <w:t xml:space="preserve">Lassen</w:t>
      </w:r>
      <w:r>
        <w:t xml:space="preserve">’s rule: the trust is owed full money value, never a discount for some claimed collateral public benefit.</w:t>
      </w:r>
    </w:p>
    <w:p>
      <w:pPr>
        <w:numPr>
          <w:ilvl w:val="0"/>
          <w:numId w:val="1004"/>
        </w:numPr>
        <w:pStyle w:val="Compact"/>
      </w:pPr>
      <w:r>
        <w:rPr>
          <w:b/>
        </w:rPr>
        <w:t xml:space="preserve">Require independent valuation and segregated, audited accounting.</w:t>
      </w:r>
      <w:r>
        <w:t xml:space="preserve"> </w:t>
      </w:r>
      <w:r>
        <w:t xml:space="preserve">A corpus you cannot see is a corpus that can be quietly drained.</w:t>
      </w:r>
    </w:p>
    <w:p>
      <w:pPr>
        <w:numPr>
          <w:ilvl w:val="0"/>
          <w:numId w:val="1004"/>
        </w:numPr>
        <w:pStyle w:val="Compact"/>
      </w:pPr>
      <w:r>
        <w:rPr>
          <w:b/>
        </w:rPr>
        <w:t xml:space="preserve">Make exit honest and expensive.</w:t>
      </w:r>
      <w:r>
        <w:t xml:space="preserve"> </w:t>
      </w:r>
      <w:r>
        <w:t xml:space="preserve">Forbid the trustee from being the buyer; require genuine outside valuation at full worth. The Elliott is the counter-example to remember.</w:t>
      </w:r>
    </w:p>
    <w:p>
      <w:pPr>
        <w:numPr>
          <w:ilvl w:val="0"/>
          <w:numId w:val="1004"/>
        </w:numPr>
        <w:pStyle w:val="Compact"/>
      </w:pPr>
      <w:r>
        <w:rPr>
          <w:b/>
        </w:rPr>
        <w:t xml:space="preserve">Charter a standing constituency to pull the levers.</w:t>
      </w:r>
      <w:r>
        <w:t xml:space="preserve"> </w:t>
      </w:r>
      <w:r>
        <w:t xml:space="preserve">Every clause above is inert without living people, with standing already written in, whose permanent job is to defend the corpus.</w:t>
      </w:r>
    </w:p>
    <w:p>
      <w:pPr>
        <w:pStyle w:val="PullQuote"/>
      </w:pPr>
      <w:r>
        <w:t xml:space="preserve">Make the founding deal a bargain the sovereign cannot rewrite, not a gift it can revisit.</w:t>
      </w:r>
    </w:p>
    <w:p>
      <w:r>
        <w:pict>
          <v:rect style="width:0;height:1.5pt" o:hralign="center" o:hrstd="t" o:hr="t"/>
        </w:pict>
      </w:r>
    </w:p>
    <w:p>
      <w:pPr>
        <w:pStyle w:val="Heading2"/>
      </w:pPr>
      <w:bookmarkStart w:id="57" w:name="Xfc84ac02c6ed5d3808d083b2815902fc6ab7dff"/>
      <w:r>
        <w:t xml:space="preserve">What this means for the institutions being chartered now</w:t>
      </w:r>
      <w:bookmarkEnd w:id="57"/>
    </w:p>
    <w:p>
      <w:pPr>
        <w:pStyle w:val="PullQuote"/>
      </w:pPr>
      <w:r>
        <w:t xml:space="preserve">“</w:t>
      </w:r>
      <w:r>
        <w:t xml:space="preserve">Our greatest responsibility is to be good ancestors.</w:t>
      </w:r>
      <w:r>
        <w:t xml:space="preserve">”</w:t>
      </w:r>
      <w:r>
        <w:t xml:space="preserve"> </w:t>
      </w:r>
      <w:r>
        <w:t xml:space="preserve">— Dr. Jonas Salk</w:t>
      </w:r>
    </w:p>
    <w:p>
      <w:pPr>
        <w:pStyle w:val="BodyText"/>
      </w:pPr>
      <w:r>
        <w:t xml:space="preserve">Step back, and look at what the people drafting today’s forever-funds are actually being told by two hundred years of evidence.</w:t>
      </w:r>
    </w:p>
    <w:p>
      <w:pPr>
        <w:pStyle w:val="BodyText"/>
      </w:pPr>
      <w:r>
        <w:t xml:space="preserve">They are designing sovereign funds to hold the wealth of the AI build-out, perpetual climate endowments, institutions meant to serve people not yet born. They feel, many of them, exactly what the framers of the school grants felt: that this windfall, or this duty, is too important to leave to the next budget cycle, and that they must reach across time to bind their successors. The school-trust record tells them that the reaching is possible — the school grant held its purpose for a century — but only if they design for it, and that good intentions are precisely the thing that does</w:t>
      </w:r>
      <w:r>
        <w:t xml:space="preserve"> </w:t>
      </w:r>
      <w:r>
        <w:rPr>
          <w:i/>
        </w:rPr>
        <w:t xml:space="preserve">not</w:t>
      </w:r>
      <w:r>
        <w:t xml:space="preserve"> </w:t>
      </w:r>
      <w:r>
        <w:t xml:space="preserve">carry across the generations. Loyalty is not transmitted by sentiment. It is transmitted by text, by structure, and by an institution standing ready to enforce both.</w:t>
      </w:r>
    </w:p>
    <w:p>
      <w:pPr>
        <w:pStyle w:val="PullQuote"/>
      </w:pPr>
      <w:r>
        <w:rPr>
          <w:b/>
        </w:rPr>
        <w:t xml:space="preserve">PULL-QUOTE:</w:t>
      </w:r>
      <w:r>
        <w:t xml:space="preserve"> </w:t>
      </w:r>
      <w:r>
        <w:t xml:space="preserve">“</w:t>
      </w:r>
      <w:r>
        <w:t xml:space="preserve">Loyalty is not transmitted by sentiment. It is transmitted by text, by structure, and by an institution standing ready to enforce both.</w:t>
      </w:r>
      <w:r>
        <w:t xml:space="preserve">”</w:t>
      </w:r>
    </w:p>
    <w:p>
      <w:pPr>
        <w:pStyle w:val="BodyText"/>
      </w:pPr>
      <w:r>
        <w:t xml:space="preserve">So, to the people writing those charters now: assume a future government will be tempted to take the money. Assume a court will not invent protections you failed to write down. Write the trust in express words, name the trustee and bind it, define the beneficiary and no one else, write in a plaintiff and a forum and a real remedy, waive the immunity, ban the discounted valuations, segregate and audit the corpus, make exit honest and expensive — and then charter a constituency whose standing job, forever, is to pull those levers. Make the founding deal a bargain the sovereign cannot rewrite, not a gift it can revisit. Restate the purpose plainly in the founding documents and let its constancy do its work.</w:t>
      </w:r>
    </w:p>
    <w:p>
      <w:pPr>
        <w:pStyle w:val="BodyText"/>
      </w:pPr>
      <w:r>
        <w:t xml:space="preserve">The framers who set aside section sixteen could not have imagined the institutions being built today. But they were running the same experiment, and they ran it long enough to give us the answer. The duty is constant. The enforcement is engineered. The people who learn that lesson will build things that last. The people who trust to good intentions will build things that get drained — slowly, lawfully, and with the best of motives — exactly as the schools’ inheritance was drained across the century we have just walked.</w:t>
      </w:r>
    </w:p>
    <w:p>
      <w:pPr>
        <w:pStyle w:val="BodyText"/>
      </w:pPr>
      <w:r>
        <w:t xml:space="preserve">We have the results of the experiment now. The only question left is whether the architects of the next forever read them.</w:t>
      </w:r>
    </w:p>
    <w:p>
      <w:r>
        <w:pict>
          <v:rect style="width:0;height:1.5pt" o:hralign="center" o:hrstd="t" o:hr="t"/>
        </w:pict>
      </w:r>
    </w:p>
    <w:p>
      <w:pPr>
        <w:pStyle w:val="FirstParagraph"/>
      </w:pPr>
      <w:r>
        <w:rPr>
          <w:i/>
        </w:rPr>
        <w:t xml:space="preserve">Endnotes to be compiled. Citation density in this draft is deliberately light per the workspace allergen rule; the case and statute pinpoints above have been verified against primary sources and the citation dossiers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 the Territories-Committee records); the Andrus keystone quotation and the Ervien</w:t>
      </w:r>
      <w:r>
        <w:rPr>
          <w:i/>
        </w:rPr>
        <w:t xml:space="preserve"> </w:t>
      </w:r>
      <w:r>
        <w:rPr>
          <w:i/>
        </w:rPr>
        <w:t xml:space="preserve">“</w:t>
      </w:r>
      <w:r>
        <w:rPr>
          <w:i/>
        </w:rPr>
        <w:t xml:space="preserve">special and exact</w:t>
      </w:r>
      <w:r>
        <w:rPr>
          <w:i/>
        </w:rPr>
        <w:t xml:space="preserve">”</w:t>
      </w:r>
      <w:r>
        <w:rPr>
          <w:i/>
        </w:rPr>
        <w:t xml:space="preserve"> </w:t>
      </w:r>
      <w:r>
        <w:rPr>
          <w:i/>
        </w:rPr>
        <w:t xml:space="preserve">quotation are verified against the opinions, and the discredited</w:t>
      </w:r>
      <w:r>
        <w:rPr>
          <w:i/>
        </w:rPr>
        <w:t xml:space="preserve"> </w:t>
      </w:r>
      <w:r>
        <w:rPr>
          <w:i/>
        </w:rPr>
        <w:t xml:space="preserve">“</w:t>
      </w:r>
      <w:r>
        <w:rPr>
          <w:i/>
        </w:rPr>
        <w:t xml:space="preserve">they must be regarded</w:t>
      </w:r>
      <w:r>
        <w:rPr>
          <w:i/>
        </w:rPr>
        <w:t xml:space="preserve">”</w:t>
      </w:r>
      <w:r>
        <w:rPr>
          <w:i/>
        </w:rPr>
        <w:t xml:space="preserve"> </w:t>
      </w:r>
      <w:r>
        <w:rPr>
          <w:i/>
        </w:rPr>
        <w:t xml:space="preserve">passage must not be reintroduced. One source task remains in this chapter: the Jan. 28, 2026 Oregon Court of Appeals standing ruling is confirmed by case number, court, date, and holding; only the internal slip-opinion page pincite remains to be filled against the published opinion at publication. The Elliott decoupling is now a cross-reference to Chapter 3, where its mechanics and financing record are handled.</w:t>
      </w:r>
    </w:p>
    <w:p>
      <w:r>
        <w:pict>
          <v:rect style="width:0;height:1.5pt" o:hralign="center" o:hrstd="t" o:hr="t"/>
        </w:pict>
      </w:r>
    </w:p>
    <w:p>
      <w:r>
        <w:br w:type="page"/>
      </w:r>
    </w:p>
    <w:p>
      <w:pPr>
        <w:pStyle w:val="Heading1"/>
      </w:pPr>
      <w:bookmarkStart w:id="58" w:name="part-one-apparatus"/>
      <w:r>
        <w:t xml:space="preserve">Part One — Apparatus</w:t>
      </w:r>
      <w:bookmarkEnd w:id="58"/>
    </w:p>
    <w:p>
      <w:pPr>
        <w:pStyle w:val="FirstParagraph"/>
      </w:pPr>
      <w:r>
        <w:rPr>
          <w:i/>
        </w:rPr>
        <w:t xml:space="preserve">Part I back-matter • v2 draft • May 29, 2026</w:t>
      </w:r>
    </w:p>
    <w:p>
      <w:pPr>
        <w:pStyle w:val="BodyText"/>
      </w:pPr>
      <w:r>
        <w:rPr>
          <w:i/>
        </w:rPr>
        <w:t xml:space="preserve">These four lenses re-cut the same record through alternative filters. They reveal patterns the narrative spine hides; they do not re-tell the book. Each is meant to be read in a sitting, by a reader who already knows the story and wants to see its skeleton. Voice rules per the Part I annotated ToC: plain, confident, no</w:t>
      </w:r>
      <w:r>
        <w:rPr>
          <w:i/>
        </w:rPr>
        <w:t xml:space="preserve"> </w:t>
      </w:r>
      <w:r>
        <w:rPr>
          <w:i/>
        </w:rPr>
        <w:t xml:space="preserve">“</w:t>
      </w:r>
      <w:r>
        <w:rPr>
          <w:i/>
        </w:rPr>
        <w:t xml:space="preserve">architecture</w:t>
      </w:r>
      <w:r>
        <w:rPr>
          <w:i/>
        </w:rPr>
        <w:t xml:space="preserve">”</w:t>
      </w:r>
      <w:r>
        <w:rPr>
          <w:i/>
        </w:rPr>
        <w:t xml:space="preserve"> </w:t>
      </w:r>
      <w:r>
        <w:rPr>
          <w:i/>
        </w:rPr>
        <w:t xml:space="preserve">frame, no</w:t>
      </w:r>
      <w:r>
        <w:rPr>
          <w:i/>
        </w:rPr>
        <w:t xml:space="preserve"> </w:t>
      </w:r>
      <w:r>
        <w:rPr>
          <w:i/>
        </w:rPr>
        <w:t xml:space="preserve">“</w:t>
      </w:r>
      <w:r>
        <w:rPr>
          <w:i/>
        </w:rPr>
        <w:t xml:space="preserve">language-strength score,</w:t>
      </w:r>
      <w:r>
        <w:rPr>
          <w:i/>
        </w:rPr>
        <w:t xml:space="preserve">”</w:t>
      </w:r>
      <w:r>
        <w:rPr>
          <w:i/>
        </w:rPr>
        <w:t xml:space="preserve"> </w:t>
      </w:r>
      <w:r>
        <w:rPr>
          <w:i/>
        </w:rPr>
        <w:t xml:space="preserve">every present-day figure and quotation either cited in the text or carried in the v11 verification ledger.</w:t>
      </w:r>
    </w:p>
    <w:p>
      <w:pPr>
        <w:pStyle w:val="PullQuote"/>
      </w:pPr>
      <w:r>
        <w:t xml:space="preserve">“</w:t>
      </w:r>
      <w:r>
        <w:t xml:space="preserve">But to say that a man is a fiduciary only begins analysis; it gives direction to further inquiry. To whom is he a fiduciary? What obligations does he owe as a fiduciary?</w:t>
      </w:r>
      <w:r>
        <w:t xml:space="preserve">”</w:t>
      </w:r>
    </w:p>
    <w:p>
      <w:pPr>
        <w:pStyle w:val="PullQuote"/>
      </w:pPr>
      <w:r>
        <w:t xml:space="preserve">— Justice Felix Frankfurter,</w:t>
      </w:r>
      <w:r>
        <w:t xml:space="preserve"> </w:t>
      </w:r>
      <w:r>
        <w:rPr>
          <w:i/>
        </w:rPr>
        <w:t xml:space="preserve">SEC v. Chenery Corp.</w:t>
      </w:r>
      <w:r>
        <w:t xml:space="preserve"> </w:t>
      </w:r>
      <w:r>
        <w:t xml:space="preserve">(1943)</w:t>
      </w:r>
    </w:p>
    <w:p>
      <w:r>
        <w:pict>
          <v:rect style="width:0;height:1.5pt" o:hralign="center" o:hrstd="t" o:hr="t"/>
        </w:pict>
      </w:r>
    </w:p>
    <w:p>
      <w:r>
        <w:br w:type="page"/>
      </w:r>
    </w:p>
    <w:p>
      <w:pPr>
        <w:pStyle w:val="Heading1"/>
      </w:pPr>
      <w:bookmarkStart w:id="59" w:name="X0fbc39ac66d30b4e93af9d89a97255e7da03a8e"/>
      <w:r>
        <w:t xml:space="preserve">Lens 1 — The Timeline: One Grant, Across a Century</w:t>
      </w:r>
      <w:bookmarkEnd w:id="59"/>
    </w:p>
    <w:p>
      <w:pPr>
        <w:pStyle w:val="CaptionedFigure"/>
      </w:pPr>
      <w:r>
        <w:drawing>
          <wp:inline>
            <wp:extent cx="4470400" cy="1266380"/>
            <wp:effectExtent b="0" l="0" r="0" t="0"/>
            <wp:docPr descr="Figure 2. One grant, across a century and a quarter. From the Land Ordinance of 1785 to the last grants in 1912, Congress wrote the same promise into one state after another — which the Supreme Court confirmed, in 1916, meant the same thing every time." title="" id="1" name="Picture"/>
            <a:graphic>
              <a:graphicData uri="http://schemas.openxmlformats.org/drawingml/2006/picture">
                <pic:pic>
                  <pic:nvPicPr>
                    <pic:cNvPr descr="/sessions/upbeat-blissful-albattani/mnt/Claude%20Cowork/_tools/_web_cache/fig_timeline_393294e7d0f3_1200x_q90.jpg" id="0" name="Picture"/>
                    <pic:cNvPicPr>
                      <a:picLocks noChangeArrowheads="1" noChangeAspect="1"/>
                    </pic:cNvPicPr>
                  </pic:nvPicPr>
                  <pic:blipFill>
                    <a:blip r:embed="rId60"/>
                    <a:stretch>
                      <a:fillRect/>
                    </a:stretch>
                  </pic:blipFill>
                  <pic:spPr bwMode="auto">
                    <a:xfrm>
                      <a:off x="0" y="0"/>
                      <a:ext cx="4470400" cy="1266380"/>
                    </a:xfrm>
                    <a:prstGeom prst="rect">
                      <a:avLst/>
                    </a:prstGeom>
                    <a:noFill/>
                    <a:ln w="9525">
                      <a:noFill/>
                      <a:headEnd/>
                      <a:tailEnd/>
                    </a:ln>
                  </pic:spPr>
                </pic:pic>
              </a:graphicData>
            </a:graphic>
          </wp:inline>
        </w:drawing>
      </w:r>
    </w:p>
    <w:p>
      <w:pPr>
        <w:pStyle w:val="ImageCaption"/>
      </w:pPr>
      <w:r>
        <w:rPr>
          <w:b/>
        </w:rPr>
        <w:t xml:space="preserve">Figure 2. One grant, across a century and a quarter.</w:t>
      </w:r>
      <w:r>
        <w:t xml:space="preserve"> </w:t>
      </w:r>
      <w:r>
        <w:t xml:space="preserve">From the Land Ordinance of 1785 to the last grants in 1912, Congress wrote the same promise into one state after another — which the Supreme Court confirmed, in 1916, meant the same thing every time.</w:t>
      </w:r>
    </w:p>
    <w:p>
      <w:pPr>
        <w:pStyle w:val="BodyText"/>
      </w:pPr>
      <w:r>
        <w:rPr>
          <w:i/>
        </w:rPr>
        <w:t xml:space="preserve">What this lens reveals: the grant itself almost never changed. From 1785 to 1910 Congress handed each new state the same school reservation (Figure 2), in the same compact form, tightening only the price floor and — at the very end — the enforcement teeth. The constancy is the story. The terms below are quoted or cited from the statutes themselves; where a committee said</w:t>
      </w:r>
      <w:r>
        <w:rPr>
          <w:i/>
        </w:rPr>
        <w:t xml:space="preserve"> </w:t>
      </w:r>
      <w:r>
        <w:t xml:space="preserve">why</w:t>
      </w:r>
      <w:r>
        <w:rPr>
          <w:i/>
        </w:rPr>
        <w:t xml:space="preserve">, that is noted.</w:t>
      </w:r>
    </w:p>
    <w:p>
      <w:pPr>
        <w:pStyle w:val="BodyText"/>
      </w:pPr>
      <w:r>
        <w:rPr>
          <w:b/>
        </w:rPr>
        <w:t xml:space="preserve">1785 — The Land Ordinance.</w:t>
      </w:r>
      <w:r>
        <w:t xml:space="preserve"> </w:t>
      </w:r>
      <w:r>
        <w:t xml:space="preserve">The original grant. The Confederation Congress reserves</w:t>
      </w:r>
      <w:r>
        <w:t xml:space="preserve"> </w:t>
      </w:r>
      <w:r>
        <w:t xml:space="preserve">“</w:t>
      </w:r>
      <w:r>
        <w:t xml:space="preserve">lot No. 16 of every township, for the maintenance of public schools within the said township.</w:t>
      </w:r>
      <w:r>
        <w:t xml:space="preserve">”</w:t>
      </w:r>
      <w:r>
        <w:t xml:space="preserve"> </w:t>
      </w:r>
      <w:r>
        <w:t xml:space="preserve">This is the actual source of the school section — not the 1787 Northwest Ordinance, which governs how territories become states. The reservation is policy before it is a bargain. [Land Ordinance of 1785, sec. on lot 16; see Founding_Origins_Verified.]</w:t>
      </w:r>
    </w:p>
    <w:p>
      <w:pPr>
        <w:pStyle w:val="BodyText"/>
      </w:pPr>
      <w:r>
        <w:rPr>
          <w:b/>
        </w:rPr>
        <w:t xml:space="preserve">1802 — Ohio: the compact form is born.</w:t>
      </w:r>
      <w:r>
        <w:t xml:space="preserve"> </w:t>
      </w:r>
      <w:r>
        <w:t xml:space="preserve">Ohio is the first state carved from federal territory, and the first to receive section 16 as a</w:t>
      </w:r>
      <w:r>
        <w:t xml:space="preserve"> </w:t>
      </w:r>
      <w:r>
        <w:rPr>
          <w:i/>
        </w:rPr>
        <w:t xml:space="preserve">proposition offered for free acceptance or rejection, which, if accepted by the convention, shall be obligatory upon the United States.</w:t>
      </w:r>
      <w:r>
        <w:t xml:space="preserve"> </w:t>
      </w:r>
      <w:r>
        <w:t xml:space="preserve">Acceptance is locked by</w:t>
      </w:r>
      <w:r>
        <w:t xml:space="preserve"> </w:t>
      </w:r>
      <w:r>
        <w:t xml:space="preserve">“</w:t>
      </w:r>
      <w:r>
        <w:t xml:space="preserve">an ordinance irrevocable, without the consent of the United States.</w:t>
      </w:r>
      <w:r>
        <w:t xml:space="preserve">”</w:t>
      </w:r>
      <w:r>
        <w:t xml:space="preserve"> </w:t>
      </w:r>
      <w:r>
        <w:t xml:space="preserve">The school reservation is not argued — it rides forward as settled policy. The novelty is the</w:t>
      </w:r>
      <w:r>
        <w:t xml:space="preserve"> </w:t>
      </w:r>
      <w:r>
        <w:rPr>
          <w:b/>
        </w:rPr>
        <w:t xml:space="preserve">bilateral, binding-by-acceptance form</w:t>
      </w:r>
      <w:r>
        <w:t xml:space="preserve"> </w:t>
      </w:r>
      <w:r>
        <w:t xml:space="preserve">every later admission inherits. [2 Stat. 173, ch. 40, §7; quoted verbatim at 2 Stat. 175.]</w:t>
      </w:r>
    </w:p>
    <w:p>
      <w:pPr>
        <w:pStyle w:val="BodyText"/>
      </w:pPr>
      <w:r>
        <w:rPr>
          <w:b/>
        </w:rPr>
        <w:t xml:space="preserve">1859 — Oregon: the grant doubles, before the war.</w:t>
      </w:r>
      <w:r>
        <w:t xml:space="preserve"> </w:t>
      </w:r>
      <w:r>
        <w:t xml:space="preserve">Oregon enters with sections</w:t>
      </w:r>
      <w:r>
        <w:t xml:space="preserve"> </w:t>
      </w:r>
      <w:r>
        <w:rPr>
          <w:b/>
        </w:rPr>
        <w:t xml:space="preserve">16 and 36</w:t>
      </w:r>
      <w:r>
        <w:t xml:space="preserve"> </w:t>
      </w:r>
      <w:r>
        <w:t xml:space="preserve">of every township, ~3.4 million acres, and a constitution carrying an</w:t>
      </w:r>
      <w:r>
        <w:t xml:space="preserve"> </w:t>
      </w:r>
      <w:r>
        <w:t xml:space="preserve">“</w:t>
      </w:r>
      <w:r>
        <w:t xml:space="preserve">irreducible fund.</w:t>
      </w:r>
      <w:r>
        <w:t xml:space="preserve">”</w:t>
      </w:r>
      <w:r>
        <w:t xml:space="preserve"> </w:t>
      </w:r>
      <w:r>
        <w:t xml:space="preserve">The doubling to two sections opened with California in 1850 and was written into enabling-act machinery with Minnesota in 1858 — a full decade before the Civil War. The war did not cause the doubling. (Do not narrate a war-and-Reconstruction cause here — #36.) [3,399,360 acres, Atlas Table 1; Art. VIII §2.]</w:t>
      </w:r>
    </w:p>
    <w:p>
      <w:pPr>
        <w:pStyle w:val="BodyText"/>
      </w:pPr>
      <w:r>
        <w:rPr>
          <w:b/>
        </w:rPr>
        <w:t xml:space="preserve">1875 — Colorado: the first price floor.</w:t>
      </w:r>
      <w:r>
        <w:t xml:space="preserve"> </w:t>
      </w:r>
      <w:r>
        <w:t xml:space="preserve">Colorado’s act is the first to forbid the states from selling school land cheap: not less than</w:t>
      </w:r>
      <w:r>
        <w:t xml:space="preserve"> </w:t>
      </w:r>
      <w:r>
        <w:rPr>
          <w:b/>
        </w:rPr>
        <w:t xml:space="preserve">$2.50 per acre</w:t>
      </w:r>
      <w:r>
        <w:t xml:space="preserve">, at public sale, with a permanent fund required at the federal level. It is the first hardening above the lean Ohio template. No located committee or floor statement ties the $2.50 floor to a named scandal — the floor codified practices states were already adopting. [18 Stat. 474, ch. 139, §14; motive UNCONFIRMED — Territories_Committee_Records.]</w:t>
      </w:r>
    </w:p>
    <w:p>
      <w:pPr>
        <w:pStyle w:val="BodyText"/>
      </w:pPr>
      <w:r>
        <w:rPr>
          <w:b/>
        </w:rPr>
        <w:t xml:space="preserve">1889 — The Omnibus: a $10 floor and</w:t>
      </w:r>
      <w:r>
        <w:rPr>
          <w:b/>
        </w:rPr>
        <w:t xml:space="preserve"> </w:t>
      </w:r>
      <w:r>
        <w:rPr>
          <w:b/>
        </w:rPr>
        <w:t xml:space="preserve">“</w:t>
      </w:r>
      <w:r>
        <w:rPr>
          <w:b/>
        </w:rPr>
        <w:t xml:space="preserve">in trust.</w:t>
      </w:r>
      <w:r>
        <w:rPr>
          <w:b/>
        </w:rPr>
        <w:t xml:space="preserve">”</w:t>
      </w:r>
      <w:r>
        <w:t xml:space="preserve"> </w:t>
      </w:r>
      <w:r>
        <w:t xml:space="preserve">One act admits North Dakota, South Dakota, Montana, and Washington. It quadruples the floor to</w:t>
      </w:r>
      <w:r>
        <w:t xml:space="preserve"> </w:t>
      </w:r>
      <w:r>
        <w:rPr>
          <w:b/>
        </w:rPr>
        <w:t xml:space="preserve">$10 per acre</w:t>
      </w:r>
      <w:r>
        <w:t xml:space="preserve">, declares the grant held</w:t>
      </w:r>
      <w:r>
        <w:t xml:space="preserve"> </w:t>
      </w:r>
      <w:r>
        <w:t xml:space="preserve">“</w:t>
      </w:r>
      <w:r>
        <w:t xml:space="preserve">in trust,</w:t>
      </w:r>
      <w:r>
        <w:t xml:space="preserve">”</w:t>
      </w:r>
      <w:r>
        <w:t xml:space="preserve"> </w:t>
      </w:r>
      <w:r>
        <w:t xml:space="preserve">and adds a null-and-void clause for non-conforming sales. The Platt committee report that survives (S. Rept. 586, 1888) argues admission-readiness — population, railroads, schoolhouses — and does</w:t>
      </w:r>
      <w:r>
        <w:t xml:space="preserve"> </w:t>
      </w:r>
      <w:r>
        <w:rPr>
          <w:b/>
        </w:rPr>
        <w:t xml:space="preserve">not</w:t>
      </w:r>
      <w:r>
        <w:t xml:space="preserve"> </w:t>
      </w:r>
      <w:r>
        <w:t xml:space="preserve">state an anti-fraud motive for the trust or price-floor language. So the constancy is on the record; the</w:t>
      </w:r>
      <w:r>
        <w:t xml:space="preserve"> </w:t>
      </w:r>
      <w:r>
        <w:t xml:space="preserve">“</w:t>
      </w:r>
      <w:r>
        <w:t xml:space="preserve">teeth because of betrayal</w:t>
      </w:r>
      <w:r>
        <w:t xml:space="preserve">”</w:t>
      </w:r>
      <w:r>
        <w:t xml:space="preserve"> </w:t>
      </w:r>
      <w:r>
        <w:t xml:space="preserve">motive is not. [25 Stat. 676, ch. 180; S. Rept. 586 read in full — no abuse-response rationale found.]</w:t>
      </w:r>
    </w:p>
    <w:p>
      <w:pPr>
        <w:pStyle w:val="BodyText"/>
      </w:pPr>
      <w:r>
        <w:rPr>
          <w:b/>
        </w:rPr>
        <w:t xml:space="preserve">1894 — Utah: four sections.</w:t>
      </w:r>
      <w:r>
        <w:t xml:space="preserve"> </w:t>
      </w:r>
      <w:r>
        <w:t xml:space="preserve">Utah is the first state granted</w:t>
      </w:r>
      <w:r>
        <w:t xml:space="preserve"> </w:t>
      </w:r>
      <w:r>
        <w:rPr>
          <w:b/>
        </w:rPr>
        <w:t xml:space="preserve">four sections per township — 2, 16, 32, and 36</w:t>
      </w:r>
      <w:r>
        <w:t xml:space="preserve"> </w:t>
      </w:r>
      <w:r>
        <w:t xml:space="preserve">—</w:t>
      </w:r>
      <w:r>
        <w:t xml:space="preserve"> </w:t>
      </w:r>
      <w:r>
        <w:t xml:space="preserve">“</w:t>
      </w:r>
      <w:r>
        <w:t xml:space="preserve">for the support of common schools,</w:t>
      </w:r>
      <w:r>
        <w:t xml:space="preserve">”</w:t>
      </w:r>
      <w:r>
        <w:t xml:space="preserve"> </w:t>
      </w:r>
      <w:r>
        <w:t xml:space="preserve">with permanent-fund language. Congress is growing</w:t>
      </w:r>
      <w:r>
        <w:t xml:space="preserve"> </w:t>
      </w:r>
      <w:r>
        <w:rPr>
          <w:i/>
        </w:rPr>
        <w:t xml:space="preserve">more</w:t>
      </w:r>
      <w:r>
        <w:t xml:space="preserve"> </w:t>
      </w:r>
      <w:r>
        <w:t xml:space="preserve">generous with land, not less. [28 Stat. 107, ch. 138, §6.]</w:t>
      </w:r>
    </w:p>
    <w:p>
      <w:pPr>
        <w:pStyle w:val="BodyText"/>
      </w:pPr>
      <w:r>
        <w:rPr>
          <w:b/>
        </w:rPr>
        <w:t xml:space="preserve">1910 — New Mexico and Arizona: the enforcement engine.</w:t>
      </w:r>
      <w:r>
        <w:t xml:space="preserve"> </w:t>
      </w:r>
      <w:r>
        <w:t xml:space="preserve">The high-water mark. Section 10 (New Mexico) and section 28 (Arizona) of the 1910 Enabling Act say the lands</w:t>
      </w:r>
      <w:r>
        <w:t xml:space="preserve"> </w:t>
      </w:r>
      <w:r>
        <w:t xml:space="preserve">“</w:t>
      </w:r>
      <w:r>
        <w:t xml:space="preserve">shall be by the said state held in trust,</w:t>
      </w:r>
      <w:r>
        <w:t xml:space="preserve">”</w:t>
      </w:r>
      <w:r>
        <w:t xml:space="preserve"> </w:t>
      </w:r>
      <w:r>
        <w:t xml:space="preserve">that any diversion to a non-enumerated purpose</w:t>
      </w:r>
      <w:r>
        <w:t xml:space="preserve"> </w:t>
      </w:r>
      <w:r>
        <w:t xml:space="preserve">“</w:t>
      </w:r>
      <w:r>
        <w:t xml:space="preserve">shall be deemed a breach of trust,</w:t>
      </w:r>
      <w:r>
        <w:t xml:space="preserve">”</w:t>
      </w:r>
      <w:r>
        <w:t xml:space="preserve"> </w:t>
      </w:r>
      <w:r>
        <w:t xml:space="preserve">that non-conforming dispositions are</w:t>
      </w:r>
      <w:r>
        <w:t xml:space="preserve"> </w:t>
      </w:r>
      <w:r>
        <w:t xml:space="preserve">“</w:t>
      </w:r>
      <w:r>
        <w:t xml:space="preserve">null and void,</w:t>
      </w:r>
      <w:r>
        <w:t xml:space="preserve">”</w:t>
      </w:r>
      <w:r>
        <w:t xml:space="preserve"> </w:t>
      </w:r>
      <w:r>
        <w:t xml:space="preserve">and — uniquely — that it is</w:t>
      </w:r>
      <w:r>
        <w:t xml:space="preserve"> </w:t>
      </w:r>
      <w:r>
        <w:rPr>
          <w:b/>
        </w:rPr>
        <w:t xml:space="preserve">“</w:t>
      </w:r>
      <w:r>
        <w:rPr>
          <w:b/>
        </w:rPr>
        <w:t xml:space="preserve">the duty of the Attorney General of the United States to prosecute</w:t>
      </w:r>
      <w:r>
        <w:rPr>
          <w:b/>
        </w:rPr>
        <w:t xml:space="preserve">”</w:t>
      </w:r>
      <w:r>
        <w:t xml:space="preserve"> </w:t>
      </w:r>
      <w:r>
        <w:t xml:space="preserve">proceedings to enforce the trust. Express trust + named enforcer + breach definition: the first grant that builds in its own remedy. [36 Stat. 557, ch. 310, §§10, 28.]</w:t>
      </w:r>
    </w:p>
    <w:p>
      <w:pPr>
        <w:pStyle w:val="BodyText"/>
      </w:pPr>
      <w:r>
        <w:rPr>
          <w:b/>
        </w:rPr>
        <w:t xml:space="preserve">The 20th-century raids.</w:t>
      </w:r>
      <w:r>
        <w:t xml:space="preserve"> </w:t>
      </w:r>
      <w:r>
        <w:t xml:space="preserve">With the grants in place and the floors set, the losses came not from Congress but from the states. Fire-sales (Ohio, Kansas), sweetheart leases (Mississippi’s $7.50, 99-year forest leases), and fund raids (Utah’s 1982–83 corpus drain under Project BOLD) emptied trusts the statutes had carefully created. The text was constant; the stewardship was not. [Ch. 4; Hill v. Thompson; Jensen v. Dinehart.]</w:t>
      </w:r>
    </w:p>
    <w:p>
      <w:pPr>
        <w:pStyle w:val="BodyText"/>
      </w:pPr>
      <w:r>
        <w:rPr>
          <w:b/>
        </w:rPr>
        <w:t xml:space="preserve">The modern recoveries.</w:t>
      </w:r>
      <w:r>
        <w:t xml:space="preserve"> </w:t>
      </w:r>
      <w:r>
        <w:t xml:space="preserve">The same century produced the counter-pattern: New Mexico’s ~$32.6B Land Grant Permanent Fund built on enforced §10 trust terms; South Dakota’s Beadle legacy and the $10 floor; Utah’s recovery after the coalition that beat Project BOLD; Mississippi’s reform under Dick Molpus; North Dakota’s oil-driven ~$8.4B fund. Where a constituency organized and the text had teeth, the trusts came back. [Ch. 5; corpus figures dated and sourced in Chapter 4 and Lens 4.]</w:t>
      </w:r>
    </w:p>
    <w:p>
      <w:pPr>
        <w:pStyle w:val="BodyText"/>
      </w:pPr>
      <w:r>
        <w:rPr>
          <w:b/>
        </w:rPr>
        <w:t xml:space="preserve">2022 — The Elliott.</w:t>
      </w:r>
      <w:r>
        <w:t xml:space="preserve"> </w:t>
      </w:r>
      <w:r>
        <w:t xml:space="preserve">Oregon’s $221M Elliott State Forest</w:t>
      </w:r>
      <w:r>
        <w:t xml:space="preserve"> </w:t>
      </w:r>
      <w:r>
        <w:t xml:space="preserve">“</w:t>
      </w:r>
      <w:r>
        <w:t xml:space="preserve">buyout</w:t>
      </w:r>
      <w:r>
        <w:t xml:space="preserve">”</w:t>
      </w:r>
      <w:r>
        <w:t xml:space="preserve"> </w:t>
      </w:r>
      <w:r>
        <w:t xml:space="preserve">— a directed seizure dressed as compensated decoupling, with depressed</w:t>
      </w:r>
      <w:r>
        <w:t xml:space="preserve"> </w:t>
      </w:r>
      <w:r>
        <w:t xml:space="preserve">“</w:t>
      </w:r>
      <w:r>
        <w:t xml:space="preserve">investment value</w:t>
      </w:r>
      <w:r>
        <w:t xml:space="preserve">”</w:t>
      </w:r>
      <w:r>
        <w:t xml:space="preserve"> </w:t>
      </w:r>
      <w:r>
        <w:t xml:space="preserve">and circular funding. The newest entry in the raids column, and the live case study. [Ch. 4.]</w:t>
      </w:r>
    </w:p>
    <w:p>
      <w:pPr>
        <w:pStyle w:val="BodyText"/>
      </w:pPr>
      <w:r>
        <w:rPr>
          <w:i/>
        </w:rPr>
        <w:t xml:space="preserve">The throughline: across 125 years and four cohorts of statehood, Congress handed every new state the same school grant in the same compact form. What changed was small and late — a price floor in 1875, a higher one and</w:t>
      </w:r>
      <w:r>
        <w:rPr>
          <w:i/>
        </w:rPr>
        <w:t xml:space="preserve"> </w:t>
      </w:r>
      <w:r>
        <w:rPr>
          <w:i/>
        </w:rPr>
        <w:t xml:space="preserve">“</w:t>
      </w:r>
      <w:r>
        <w:rPr>
          <w:i/>
        </w:rPr>
        <w:t xml:space="preserve">in trust</w:t>
      </w:r>
      <w:r>
        <w:rPr>
          <w:i/>
        </w:rPr>
        <w:t xml:space="preserve">”</w:t>
      </w:r>
      <w:r>
        <w:rPr>
          <w:i/>
        </w:rPr>
        <w:t xml:space="preserve"> </w:t>
      </w:r>
      <w:r>
        <w:rPr>
          <w:i/>
        </w:rPr>
        <w:t xml:space="preserve">in 1889, an enforcement clause in 1910. The grant was the constant. The variable was always what each state did with it afterward.</w:t>
      </w:r>
    </w:p>
    <w:p>
      <w:pPr>
        <w:pStyle w:val="PullQuote"/>
      </w:pPr>
      <w:r>
        <w:rPr>
          <w:b/>
        </w:rPr>
        <w:t xml:space="preserve">PULL-QUOTE:</w:t>
      </w:r>
      <w:r>
        <w:t xml:space="preserve"> </w:t>
      </w:r>
      <w:r>
        <w:t xml:space="preserve">“</w:t>
      </w:r>
      <w:r>
        <w:t xml:space="preserve">The grant was the constant. The variable was always what each state did with it afterward.</w:t>
      </w:r>
      <w:r>
        <w:t xml:space="preserve">”</w:t>
      </w:r>
    </w:p>
    <w:p>
      <w:r>
        <w:pict>
          <v:rect style="width:0;height:1.5pt" o:hralign="center" o:hrstd="t" o:hr="t"/>
        </w:pict>
      </w:r>
    </w:p>
    <w:p>
      <w:r>
        <w:br w:type="page"/>
      </w:r>
    </w:p>
    <w:p>
      <w:pPr>
        <w:pStyle w:val="Heading1"/>
      </w:pPr>
      <w:bookmarkStart w:id="61" w:name="X02ac1befa52f35ac6cd2c41fc2d317eddca79f4"/>
      <w:r>
        <w:t xml:space="preserve">Lens 2 — The Cases: How Courts Read the Trust</w:t>
      </w:r>
      <w:bookmarkEnd w:id="61"/>
    </w:p>
    <w:p>
      <w:pPr>
        <w:pStyle w:val="FirstParagraph"/>
      </w:pPr>
      <w:r>
        <w:rPr>
          <w:i/>
        </w:rPr>
        <w:t xml:space="preserve">What this lens reveals: courts have agreed the duty exists since 1855 — but whether a beneficiary can compel the trustee to perform turns on how explicit the founding text is. Read top to bottom, the cases split cleanly: the lean grants left the remedy contested; the express 1910-style grants produced real enforcement. Pinpoints carried from the Enforceability dossier and the Compact note and verified against primary sources; only the 2026 Oregon standing cite remains to be confirmed at publication.</w:t>
      </w:r>
    </w:p>
    <w:p>
      <w:pPr>
        <w:pStyle w:val="BodyText"/>
      </w:pPr>
      <w:r>
        <w:rPr>
          <w:b/>
        </w:rPr>
        <w:t xml:space="preserve">Cooper v. Roberts, 59 U.S. (18 How.) 173 (1855) – the contested foundation.</w:t>
      </w:r>
      <w:r>
        <w:t xml:space="preserve"> </w:t>
      </w:r>
      <w:r>
        <w:t xml:space="preserve">The Court recognizes the school-section grant as charitable in character, but the same opinion also describes the State’s power over the land as broad. So Cooper is double-edged: it is the existence baseline and the language nineteenth-century legislatures used to justify liquidating the lands. For pull-quote purposes, use only the approved quotation file’s verified Cooper passage (the</w:t>
      </w:r>
      <w:r>
        <w:t xml:space="preserve"> </w:t>
      </w:r>
      <w:r>
        <w:t xml:space="preserve">‘</w:t>
      </w:r>
      <w:r>
        <w:t xml:space="preserve">cherished policy</w:t>
      </w:r>
      <w:r>
        <w:t xml:space="preserve">’</w:t>
      </w:r>
      <w:r>
        <w:t xml:space="preserve"> </w:t>
      </w:r>
      <w:r>
        <w:t xml:space="preserve">line); keep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phrases out of display treatment until added to that file. [Enforceability dossier, Part B.]</w:t>
      </w:r>
    </w:p>
    <w:p>
      <w:pPr>
        <w:pStyle w:val="BodyText"/>
      </w:pPr>
      <w:r>
        <w:rPr>
          <w:b/>
        </w:rPr>
        <w:t xml:space="preserve">Alabama v. Schmidt, 232 U.S. 168 (1914) / Papasan v. Allain, 478 U.S. 265 (1986) — the honorary-trust problem.</w:t>
      </w:r>
      <w:r>
        <w:t xml:space="preserve"> </w:t>
      </w:r>
      <w:r>
        <w:t xml:space="preserve">Together these say the quiet part: under the lean early grants, the obligation may be merely</w:t>
      </w:r>
      <w:r>
        <w:t xml:space="preserve"> </w:t>
      </w:r>
      <w:r>
        <w:t xml:space="preserve">“</w:t>
      </w:r>
      <w:r>
        <w:t xml:space="preserve">honorary</w:t>
      </w:r>
      <w:r>
        <w:t xml:space="preserve">”</w:t>
      </w:r>
      <w:r>
        <w:t xml:space="preserve"> </w:t>
      </w:r>
      <w:r>
        <w:t xml:space="preserve">and the gift</w:t>
      </w:r>
      <w:r>
        <w:t xml:space="preserve"> </w:t>
      </w:r>
      <w:r>
        <w:t xml:space="preserve">“</w:t>
      </w:r>
      <w:r>
        <w:t xml:space="preserve">absolute</w:t>
      </w:r>
      <w:r>
        <w:t xml:space="preserve">”</w:t>
      </w:r>
      <w:r>
        <w:t xml:space="preserve"> </w:t>
      </w:r>
      <w:r>
        <w:t xml:space="preserve">(Schmidt), and it is</w:t>
      </w:r>
      <w:r>
        <w:t xml:space="preserve"> </w:t>
      </w:r>
      <w:r>
        <w:t xml:space="preserve">“</w:t>
      </w:r>
      <w:r>
        <w:t xml:space="preserve">not at all clear</w:t>
      </w:r>
      <w:r>
        <w:t xml:space="preserve">”</w:t>
      </w:r>
      <w:r>
        <w:t xml:space="preserve"> </w:t>
      </w:r>
      <w:r>
        <w:t xml:space="preserve">the early grants created a binding trust at all (Papasan) — which then barred the claim on Eleventh Amendment grounds even assuming a trust existed. The lesson is not that thin text made enforcement</w:t>
      </w:r>
      <w:r>
        <w:t xml:space="preserve"> </w:t>
      </w:r>
      <w:r>
        <w:rPr>
          <w:i/>
        </w:rPr>
        <w:t xml:space="preserve">harder</w:t>
      </w:r>
      <w:r>
        <w:t xml:space="preserve">; for the earliest grants it left open whether there was a federally enforceable trust to enforce at all. This is the problem the compact theory exists to solve. [Existence-vs-Enforceability memo, addendum.]</w:t>
      </w:r>
    </w:p>
    <w:p>
      <w:pPr>
        <w:pStyle w:val="BodyText"/>
      </w:pPr>
      <w:r>
        <w:rPr>
          <w:b/>
        </w:rPr>
        <w:t xml:space="preserve">Ervien v. United States, 251 U.S. 41 (1919) — the teeth bite.</w:t>
      </w:r>
      <w:r>
        <w:t xml:space="preserve"> </w:t>
      </w:r>
      <w:r>
        <w:t xml:space="preserve">The U.S. Attorney General actually sued New Mexico under the §10 enforcement clause and enjoined the Land Commissioner from spending trust proceeds to advertise the state’s resources. The Court read the trust purposes strictly: the enumeration is</w:t>
      </w:r>
      <w:r>
        <w:t xml:space="preserve"> </w:t>
      </w:r>
      <w:r>
        <w:t xml:space="preserve">“</w:t>
      </w:r>
      <w:r>
        <w:t xml:space="preserve">special and exact, precluding any supplementary or aiding sense,</w:t>
      </w:r>
      <w:r>
        <w:t xml:space="preserve">”</w:t>
      </w:r>
      <w:r>
        <w:t xml:space="preserve"> </w:t>
      </w:r>
      <w:r>
        <w:t xml:space="preserve">and</w:t>
      </w:r>
      <w:r>
        <w:t xml:space="preserve"> </w:t>
      </w:r>
      <w:r>
        <w:t xml:space="preserve">“</w:t>
      </w:r>
      <w:r>
        <w:t xml:space="preserve">preclud[es] any license of construction or liberties of inference.</w:t>
      </w:r>
      <w:r>
        <w:t xml:space="preserve">”</w:t>
      </w:r>
      <w:r>
        <w:t xml:space="preserve"> </w:t>
      </w:r>
      <w:r>
        <w:t xml:space="preserve">The single best proof an express enforcement clause works. (Do</w:t>
      </w:r>
      <w:r>
        <w:t xml:space="preserve"> </w:t>
      </w:r>
      <w:r>
        <w:rPr>
          <w:b/>
        </w:rPr>
        <w:t xml:space="preserve">not</w:t>
      </w:r>
      <w:r>
        <w:t xml:space="preserve"> </w:t>
      </w:r>
      <w:r>
        <w:t xml:space="preserve">attribute the</w:t>
      </w:r>
      <w:r>
        <w:t xml:space="preserve"> </w:t>
      </w:r>
      <w:r>
        <w:t xml:space="preserve">“</w:t>
      </w:r>
      <w:r>
        <w:t xml:space="preserve">they must be performed; they admit of no substitution; no addition</w:t>
      </w:r>
      <w:r>
        <w:t xml:space="preserve">”</w:t>
      </w:r>
      <w:r>
        <w:t xml:space="preserve"> </w:t>
      </w:r>
      <w:r>
        <w:t xml:space="preserve">line to Ervien — it is not in the opinion.) [251 U.S. at 47.]</w:t>
      </w:r>
    </w:p>
    <w:p>
      <w:pPr>
        <w:pStyle w:val="BodyText"/>
      </w:pPr>
      <w:r>
        <w:rPr>
          <w:b/>
        </w:rPr>
        <w:t xml:space="preserve">Lassen v. Arizona ex rel. Highway Dep’t, 385 U.S. 458 (1967) — a hard money remedy.</w:t>
      </w:r>
      <w:r>
        <w:t xml:space="preserve"> </w:t>
      </w:r>
      <w:r>
        <w:t xml:space="preserve">Construing the same 1910 trust terms, the Court holds the State must pay the trust the</w:t>
      </w:r>
      <w:r>
        <w:t xml:space="preserve"> </w:t>
      </w:r>
      <w:r>
        <w:rPr>
          <w:b/>
        </w:rPr>
        <w:t xml:space="preserve">full appraised value, in money,</w:t>
      </w:r>
      <w:r>
        <w:t xml:space="preserve"> </w:t>
      </w:r>
      <w:r>
        <w:t xml:space="preserve">for any rights-of-way or material sites it takes from trust land — no offset for speculative</w:t>
      </w:r>
      <w:r>
        <w:t xml:space="preserve"> </w:t>
      </w:r>
      <w:r>
        <w:t xml:space="preserve">“</w:t>
      </w:r>
      <w:r>
        <w:t xml:space="preserve">enhancement</w:t>
      </w:r>
      <w:r>
        <w:t xml:space="preserve">”</w:t>
      </w:r>
      <w:r>
        <w:t xml:space="preserve"> </w:t>
      </w:r>
      <w:r>
        <w:t xml:space="preserve">of the remaining land. The Act</w:t>
      </w:r>
      <w:r>
        <w:t xml:space="preserve"> </w:t>
      </w:r>
      <w:r>
        <w:t xml:space="preserve">“</w:t>
      </w:r>
      <w:r>
        <w:t xml:space="preserve">unequivocally demands</w:t>
      </w:r>
      <w:r>
        <w:t xml:space="preserve">”</w:t>
      </w:r>
      <w:r>
        <w:t xml:space="preserve"> </w:t>
      </w:r>
      <w:r>
        <w:t xml:space="preserve">the trust receive full value. Explicit terms produced an enforceable cash remedy. [385 U.S. at 465–69.]</w:t>
      </w:r>
    </w:p>
    <w:p>
      <w:pPr>
        <w:pStyle w:val="BodyText"/>
      </w:pPr>
      <w:r>
        <w:rPr>
          <w:b/>
        </w:rPr>
        <w:t xml:space="preserve">County of Skamania v. State, 102 Wn.2d 127 (1984) —</w:t>
      </w:r>
      <w:r>
        <w:rPr>
          <w:b/>
        </w:rPr>
        <w:t xml:space="preserve"> </w:t>
      </w:r>
      <w:r>
        <w:rPr>
          <w:b/>
        </w:rPr>
        <w:t xml:space="preserve">“</w:t>
      </w:r>
      <w:r>
        <w:rPr>
          <w:b/>
        </w:rPr>
        <w:t xml:space="preserve">real, not illusory.</w:t>
      </w:r>
      <w:r>
        <w:rPr>
          <w:b/>
        </w:rPr>
        <w:t xml:space="preserve">”</w:t>
      </w:r>
      <w:r>
        <w:t xml:space="preserve"> </w:t>
      </w:r>
      <w:r>
        <w:t xml:space="preserve">Washington imported</w:t>
      </w:r>
      <w:r>
        <w:t xml:space="preserve"> </w:t>
      </w:r>
      <w:r>
        <w:rPr>
          <w:i/>
        </w:rPr>
        <w:t xml:space="preserve">Lassen</w:t>
      </w:r>
      <w:r>
        <w:t xml:space="preserve">’s strict trust standard onto its older 1889 enabling act and struck down a timber-contract bailout for breaching the trustee’s undivided loyalty. Proof the strict reading is not confined to the 1910 states — a court will extend it to a leaner grant when the duty of loyalty is breached. [</w:t>
      </w:r>
      <w:r>
        <w:rPr>
          <w:i/>
        </w:rPr>
        <w:t xml:space="preserve">County of Skamania v. State</w:t>
      </w:r>
      <w:r>
        <w:t xml:space="preserve">, 102 Wn.2d 127 (1984); Compact note.]</w:t>
      </w:r>
    </w:p>
    <w:p>
      <w:pPr>
        <w:pStyle w:val="BodyText"/>
      </w:pPr>
      <w:r>
        <w:rPr>
          <w:b/>
        </w:rPr>
        <w:t xml:space="preserve">Andrus v. Utah, 446 U.S. 500 (1980) — the compact keystone.</w:t>
      </w:r>
      <w:r>
        <w:t xml:space="preserve"> </w:t>
      </w:r>
      <w:r>
        <w:t xml:space="preserve">The school-land grant was</w:t>
      </w:r>
      <w:r>
        <w:t xml:space="preserve"> </w:t>
      </w:r>
      <w:r>
        <w:t xml:space="preserve">“</w:t>
      </w:r>
      <w:r>
        <w:t xml:space="preserve">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the United States ceded land</w:t>
      </w:r>
      <w:r>
        <w:t xml:space="preserve"> </w:t>
      </w:r>
      <w:r>
        <w:t xml:space="preserve">“</w:t>
      </w:r>
      <w:r>
        <w:t xml:space="preserve">in exchange for a commitment by the State to use the revenues … to educate the citizenry.</w:t>
      </w:r>
      <w:r>
        <w:t xml:space="preserve">”</w:t>
      </w:r>
      <w:r>
        <w:t xml:space="preserve"> </w:t>
      </w:r>
      <w:r>
        <w:t xml:space="preserve">And the firewall:</w:t>
      </w:r>
      <w:r>
        <w:t xml:space="preserve"> </w:t>
      </w:r>
      <w:r>
        <w:t xml:space="preserve">“</w:t>
      </w:r>
      <w:r>
        <w:t xml:space="preserve">No State could divert school lands to other public uses without compensating the trust for the full market value of the interest taken.</w:t>
      </w:r>
      <w:r>
        <w:t xml:space="preserve">”</w:t>
      </w:r>
      <w:r>
        <w:t xml:space="preserve"> </w:t>
      </w:r>
      <w:r>
        <w:t xml:space="preserve">This is the doctrinal bridge over the honorary-trust problem — gift becomes contract. [446 U.S. at 507; VERIFIED against the opinion.]</w:t>
      </w:r>
    </w:p>
    <w:p>
      <w:pPr>
        <w:pStyle w:val="BodyText"/>
      </w:pPr>
      <w:r>
        <w:rPr>
          <w:b/>
        </w:rPr>
        <w:t xml:space="preserve">Kanaly v. State, 368 N.W.2d 819 (S.D. 1985) / Oklahoma Ed. Ass’n v. Nigh, 642 P.2d 230 (Okla. 1982) — the legislature’s hands are tied.</w:t>
      </w:r>
      <w:r>
        <w:t xml:space="preserve"> </w:t>
      </w:r>
      <w:r>
        <w:t xml:space="preserve">Kanaly calls the grant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w:t>
      </w:r>
      <w:r>
        <w:t xml:space="preserve"> </w:t>
      </w:r>
      <w:r>
        <w:t xml:space="preserve">“</w:t>
      </w:r>
      <w:r>
        <w:t xml:space="preserve">contract</w:t>
      </w:r>
      <w:r>
        <w:t xml:space="preserve">”</w:t>
      </w:r>
      <w:r>
        <w:t xml:space="preserve">; the legislature</w:t>
      </w:r>
      <w:r>
        <w:t xml:space="preserve"> </w:t>
      </w:r>
      <w:r>
        <w:t xml:space="preserve">“</w:t>
      </w:r>
      <w:r>
        <w:t xml:space="preserve">cannot give away trust property,</w:t>
      </w:r>
      <w:r>
        <w:t xml:space="preserve">”</w:t>
      </w:r>
      <w:r>
        <w:t xml:space="preserve"> </w:t>
      </w:r>
      <w:r>
        <w:t xml:space="preserve">and any disposition must return full value. Nigh holds the acceptance provisions</w:t>
      </w:r>
      <w:r>
        <w:t xml:space="preserve"> </w:t>
      </w:r>
      <w:r>
        <w:t xml:space="preserve">“</w:t>
      </w:r>
      <w:r>
        <w:t xml:space="preserve">constitute an irrevocable compact … which cannot be altered or abrogated.</w:t>
      </w:r>
      <w:r>
        <w:t xml:space="preserve">”</w:t>
      </w:r>
      <w:r>
        <w:t xml:space="preserve"> </w:t>
      </w:r>
      <w:r>
        <w:t xml:space="preserve">The sharpest statements that a sitting legislature cannot rewrite the deal by ordinary statute. [</w:t>
      </w:r>
      <w:r>
        <w:rPr>
          <w:i/>
        </w:rPr>
        <w:t xml:space="preserve">Kanaly v. State</w:t>
      </w:r>
      <w:r>
        <w:t xml:space="preserve">, 368 N.W.2d 819 (S.D. 1985);</w:t>
      </w:r>
      <w:r>
        <w:t xml:space="preserve"> </w:t>
      </w:r>
      <w:r>
        <w:rPr>
          <w:i/>
        </w:rPr>
        <w:t xml:space="preserve">Oklahoma Ed. Ass’n v. Nigh</w:t>
      </w:r>
      <w:r>
        <w:t xml:space="preserve">, 642 P.2d 230 (Okla. 1982); Compact note.]</w:t>
      </w:r>
    </w:p>
    <w:p>
      <w:pPr>
        <w:pStyle w:val="BodyText"/>
      </w:pPr>
      <w:r>
        <w:rPr>
          <w:b/>
        </w:rPr>
        <w:t xml:space="preserve">Advocates for School Trust Lands v. State of Oregon (Coos County 23CV39056; Or. Ct. App. A184055, reversed Jan. 28, 2026) — the live case.</w:t>
      </w:r>
      <w:r>
        <w:t xml:space="preserve"> </w:t>
      </w:r>
      <w:r>
        <w:t xml:space="preserve">Oregon’s Article VIII text is general — an</w:t>
      </w:r>
      <w:r>
        <w:t xml:space="preserve"> </w:t>
      </w:r>
      <w:r>
        <w:t xml:space="preserve">“</w:t>
      </w:r>
      <w:r>
        <w:t xml:space="preserve">irreducible fund,</w:t>
      </w:r>
      <w:r>
        <w:t xml:space="preserve">”</w:t>
      </w:r>
      <w:r>
        <w:t xml:space="preserve"> </w:t>
      </w:r>
      <w:r>
        <w:t xml:space="preserve">an executive trustee board, but no express enforcement clause. The result was a five-year war fought entirely</w:t>
      </w:r>
      <w:r>
        <w:t xml:space="preserve"> </w:t>
      </w:r>
      <w:r>
        <w:rPr>
          <w:i/>
        </w:rPr>
        <w:t xml:space="preserve">before</w:t>
      </w:r>
      <w:r>
        <w:t xml:space="preserve"> </w:t>
      </w:r>
      <w:r>
        <w:t xml:space="preserve">the merits: standing, justiciability, sovereign immunity, legislative immunity, Tort Claims Act notice. On January 28, 2026 the Court of Appeals reversed and held the beneficiaries have</w:t>
      </w:r>
      <w:r>
        <w:t xml:space="preserve"> </w:t>
      </w:r>
      <w:r>
        <w:rPr>
          <w:b/>
        </w:rPr>
        <w:t xml:space="preserve">standing</w:t>
      </w:r>
      <w:r>
        <w:t xml:space="preserve"> </w:t>
      </w:r>
      <w:r>
        <w:t xml:space="preserve">to sue the State over management of the Common School Fund — a catch-up standing win, not a first of its kind. The whole fight was over access to a remedy, not whether the duty existed. (published at</w:t>
      </w:r>
      <w:r>
        <w:t xml:space="preserve"> </w:t>
      </w:r>
      <w:r>
        <w:rPr>
          <w:i/>
        </w:rPr>
        <w:t xml:space="preserve">Advocates for School Trust Lands v. State</w:t>
      </w:r>
      <w:r>
        <w:t xml:space="preserve">, 346 Or. App. 668 (2026)).</w:t>
      </w:r>
    </w:p>
    <w:p>
      <w:pPr>
        <w:pStyle w:val="BodyText"/>
      </w:pPr>
      <w:r>
        <w:rPr>
          <w:i/>
        </w:rPr>
        <w:t xml:space="preserve">The split is clean. The duty has been recognized since 1855. But the lean grants left the remedy contested (Cooper, Schmidt, Papasan) or buried under a five-year procedural gauntlet (Oregon); the express grants produced a century of real enforcement (Ervien, Lassen, King v. Lyons); and the compact cases (Andrus, Kanaly, Nigh, Skamania) are the bridge between them — the move that turns a gift a legislature can rewrite into a contract it cannot.</w:t>
      </w:r>
    </w:p>
    <w:p>
      <w:r>
        <w:pict>
          <v:rect style="width:0;height:1.5pt" o:hralign="center" o:hrstd="t" o:hr="t"/>
        </w:pict>
      </w:r>
    </w:p>
    <w:p>
      <w:r>
        <w:br w:type="page"/>
      </w:r>
    </w:p>
    <w:p>
      <w:pPr>
        <w:pStyle w:val="Heading1"/>
      </w:pPr>
      <w:bookmarkStart w:id="62" w:name="X3c7f9f70721c4aab03c47a6c7d2ae3078fd73f1"/>
      <w:r>
        <w:t xml:space="preserve">Lens 3 — A Field Guide to the Kinds of Theft</w:t>
      </w:r>
      <w:bookmarkEnd w:id="62"/>
    </w:p>
    <w:p>
      <w:pPr>
        <w:pStyle w:val="FirstParagraph"/>
      </w:pPr>
      <w:r>
        <w:rPr>
          <w:i/>
        </w:rPr>
        <w:t xml:space="preserve">What this lens reveals: the trusts were not lost in one way. There are five distinct mechanisms, and once you can name them you can spot them anywhere — including in trusts being chartered today. One entry each: what it is, and one state where it happened.</w:t>
      </w:r>
    </w:p>
    <w:p>
      <w:pPr>
        <w:pStyle w:val="BodyText"/>
      </w:pPr>
      <w:r>
        <w:rPr>
          <w:b/>
        </w:rPr>
        <w:t xml:space="preserve">1. Drift.</w:t>
      </w:r>
      <w:r>
        <w:t xml:space="preserve"> </w:t>
      </w:r>
      <w:r>
        <w:rPr>
          <w:i/>
        </w:rPr>
        <w:t xml:space="preserve">Definition:</w:t>
      </w:r>
      <w:r>
        <w:t xml:space="preserve"> </w:t>
      </w:r>
      <w:r>
        <w:t xml:space="preserve">the slow, lawful-looking erosion of trust value through inattention — underpriced sales, uncollected rents, no permanent-fund discipline, no one watching — so the corpus bleeds out without a single dramatic act.</w:t>
      </w:r>
      <w:r>
        <w:t xml:space="preserve"> </w:t>
      </w:r>
      <w:r>
        <w:rPr>
          <w:i/>
        </w:rPr>
        <w:t xml:space="preserve">Example:</w:t>
      </w:r>
      <w:r>
        <w:t xml:space="preserve"> </w:t>
      </w:r>
      <w:r>
        <w:rPr>
          <w:b/>
        </w:rPr>
        <w:t xml:space="preserve">California</w:t>
      </w:r>
      <w:r>
        <w:t xml:space="preserve">, where the trust was lost largely by omission — no mechanism, no constituency, the endowment never built. [Ch. 5.]</w:t>
      </w:r>
    </w:p>
    <w:p>
      <w:pPr>
        <w:pStyle w:val="BodyText"/>
      </w:pPr>
      <w:r>
        <w:rPr>
          <w:b/>
        </w:rPr>
        <w:t xml:space="preserve">2. Fire-sale liquidation.</w:t>
      </w:r>
      <w:r>
        <w:t xml:space="preserve"> </w:t>
      </w:r>
      <w:r>
        <w:rPr>
          <w:i/>
        </w:rPr>
        <w:t xml:space="preserve">Definition:</w:t>
      </w:r>
      <w:r>
        <w:t xml:space="preserve"> </w:t>
      </w:r>
      <w:r>
        <w:t xml:space="preserve">selling trust land fast and cheap, often with no minimum price and no requirement to capitalize the proceeds, converting a perpetual endowment into a one-time spend.</w:t>
      </w:r>
      <w:r>
        <w:t xml:space="preserve"> </w:t>
      </w:r>
      <w:r>
        <w:rPr>
          <w:i/>
        </w:rPr>
        <w:t xml:space="preserve">Example:</w:t>
      </w:r>
      <w:r>
        <w:t xml:space="preserve"> </w:t>
      </w:r>
      <w:r>
        <w:rPr>
          <w:b/>
        </w:rPr>
        <w:t xml:space="preserve">Kansas</w:t>
      </w:r>
      <w:r>
        <w:t xml:space="preserve">, which</w:t>
      </w:r>
      <w:r>
        <w:t xml:space="preserve"> </w:t>
      </w:r>
      <w:r>
        <w:t xml:space="preserve">“</w:t>
      </w:r>
      <w:r>
        <w:t xml:space="preserve">did what Ohio did — sold fast, no mechanism</w:t>
      </w:r>
      <w:r>
        <w:t xml:space="preserve">”</w:t>
      </w:r>
      <w:r>
        <w:t xml:space="preserve"> </w:t>
      </w:r>
      <w:r>
        <w:t xml:space="preserve">— and Ohio itself, the original cautionary tale that the price floors of 1875 and 1889 were written to prevent. [Ch. 5.]</w:t>
      </w:r>
    </w:p>
    <w:p>
      <w:pPr>
        <w:pStyle w:val="BodyText"/>
      </w:pPr>
      <w:r>
        <w:rPr>
          <w:b/>
        </w:rPr>
        <w:t xml:space="preserve">3. Sweetheart lease.</w:t>
      </w:r>
      <w:r>
        <w:t xml:space="preserve"> </w:t>
      </w:r>
      <w:r>
        <w:rPr>
          <w:i/>
        </w:rPr>
        <w:t xml:space="preserve">Definition:</w:t>
      </w:r>
      <w:r>
        <w:t xml:space="preserve"> </w:t>
      </w:r>
      <w:r>
        <w:t xml:space="preserve">leasing trust land to insiders or favored interests at far below market rent, often for absurdly long terms, so the value flows to the lessee instead of the schools.</w:t>
      </w:r>
      <w:r>
        <w:t xml:space="preserve"> </w:t>
      </w:r>
      <w:r>
        <w:rPr>
          <w:i/>
        </w:rPr>
        <w:t xml:space="preserve">Example:</w:t>
      </w:r>
      <w:r>
        <w:t xml:space="preserve"> </w:t>
      </w:r>
      <w:r>
        <w:rPr>
          <w:b/>
        </w:rPr>
        <w:t xml:space="preserve">Mississippi</w:t>
      </w:r>
      <w:r>
        <w:t xml:space="preserve"> </w:t>
      </w:r>
      <w:r>
        <w:t xml:space="preserve">before reform — the notorious $7.50, 99-year forest leases litigated in</w:t>
      </w:r>
      <w:r>
        <w:t xml:space="preserve"> </w:t>
      </w:r>
      <w:r>
        <w:rPr>
          <w:i/>
        </w:rPr>
        <w:t xml:space="preserve">Hill v. Thompson</w:t>
      </w:r>
      <w:r>
        <w:t xml:space="preserve">; compare Arizona’s below-market grazing and the Fondomonte water lease. [Ch. 7; Hill v. Thompson.]</w:t>
      </w:r>
    </w:p>
    <w:p>
      <w:pPr>
        <w:pStyle w:val="BodyText"/>
      </w:pPr>
      <w:r>
        <w:rPr>
          <w:b/>
        </w:rPr>
        <w:t xml:space="preserve">4. Fund raid / diversion.</w:t>
      </w:r>
      <w:r>
        <w:t xml:space="preserve"> </w:t>
      </w:r>
      <w:r>
        <w:rPr>
          <w:i/>
        </w:rPr>
        <w:t xml:space="preserve">Definition:</w:t>
      </w:r>
      <w:r>
        <w:t xml:space="preserve"> </w:t>
      </w:r>
      <w:r>
        <w:t xml:space="preserve">spending the trust’s principal or redirecting its income to non-beneficiary purposes — raiding the corpus or skimming the stream.</w:t>
      </w:r>
      <w:r>
        <w:t xml:space="preserve"> </w:t>
      </w:r>
      <w:r>
        <w:rPr>
          <w:i/>
        </w:rPr>
        <w:t xml:space="preserve">Example:</w:t>
      </w:r>
      <w:r>
        <w:t xml:space="preserve"> </w:t>
      </w:r>
      <w:r>
        <w:rPr>
          <w:b/>
        </w:rPr>
        <w:t xml:space="preserve">Utah’s</w:t>
      </w:r>
      <w:r>
        <w:t xml:space="preserve"> </w:t>
      </w:r>
      <w:r>
        <w:t xml:space="preserve">1982–83 corpus drain under Project BOLD (the raid that provoked the recovery — note</w:t>
      </w:r>
      <w:r>
        <w:t xml:space="preserve"> </w:t>
      </w:r>
      <w:r>
        <w:rPr>
          <w:i/>
        </w:rPr>
        <w:t xml:space="preserve">Jensen v. Dinehart</w:t>
      </w:r>
      <w:r>
        <w:t xml:space="preserve"> </w:t>
      </w:r>
      <w:r>
        <w:t xml:space="preserve">is the trust</w:t>
      </w:r>
      <w:r>
        <w:t xml:space="preserve"> </w:t>
      </w:r>
      <w:r>
        <w:rPr>
          <w:i/>
        </w:rPr>
        <w:t xml:space="preserve">winning</w:t>
      </w:r>
      <w:r>
        <w:t xml:space="preserve">, do not invert); compare Colorado’s gross-income BEST diversion (engage it, but the corpus there actually grows on royalties — drop the</w:t>
      </w:r>
      <w:r>
        <w:t xml:space="preserve"> </w:t>
      </w:r>
      <w:r>
        <w:t xml:space="preserve">“</w:t>
      </w:r>
      <w:r>
        <w:t xml:space="preserve">spending the seed corn</w:t>
      </w:r>
      <w:r>
        <w:t xml:space="preserve">”</w:t>
      </w:r>
      <w:r>
        <w:t xml:space="preserve"> </w:t>
      </w:r>
      <w:r>
        <w:t xml:space="preserve">overstatement). [Ch. 5; Jensen v. Dinehart.]</w:t>
      </w:r>
    </w:p>
    <w:p>
      <w:pPr>
        <w:pStyle w:val="BodyText"/>
      </w:pPr>
      <w:r>
        <w:rPr>
          <w:b/>
        </w:rPr>
        <w:t xml:space="preserve">5. Self-dealing sham.</w:t>
      </w:r>
      <w:r>
        <w:t xml:space="preserve"> </w:t>
      </w:r>
      <w:r>
        <w:rPr>
          <w:i/>
        </w:rPr>
        <w:t xml:space="preserve">Definition:</w:t>
      </w:r>
      <w:r>
        <w:t xml:space="preserve"> </w:t>
      </w:r>
      <w:r>
        <w:t xml:space="preserve">a transaction structured to look like a compensated, arm’s-length deal but in fact engineered by the trustee for its own ends — a depressed valuation, circular funding, a directed outcome dressed as a market sale.</w:t>
      </w:r>
      <w:r>
        <w:t xml:space="preserve"> </w:t>
      </w:r>
      <w:r>
        <w:rPr>
          <w:i/>
        </w:rPr>
        <w:t xml:space="preserve">Example:</w:t>
      </w:r>
      <w:r>
        <w:t xml:space="preserve"> </w:t>
      </w:r>
      <w:r>
        <w:rPr>
          <w:b/>
        </w:rPr>
        <w:t xml:space="preserve">Oregon’s</w:t>
      </w:r>
      <w:r>
        <w:t xml:space="preserve"> </w:t>
      </w:r>
      <w:r>
        <w:t xml:space="preserve">Elliott State Forest</w:t>
      </w:r>
      <w:r>
        <w:t xml:space="preserve"> </w:t>
      </w:r>
      <w:r>
        <w:t xml:space="preserve">“</w:t>
      </w:r>
      <w:r>
        <w:t xml:space="preserve">$221M buyout</w:t>
      </w:r>
      <w:r>
        <w:t xml:space="preserve">”</w:t>
      </w:r>
      <w:r>
        <w:t xml:space="preserve"> </w:t>
      </w:r>
      <w:r>
        <w:t xml:space="preserve">— a directed seizure with a depressed</w:t>
      </w:r>
      <w:r>
        <w:t xml:space="preserve"> </w:t>
      </w:r>
      <w:r>
        <w:t xml:space="preserve">“</w:t>
      </w:r>
      <w:r>
        <w:t xml:space="preserve">investment value</w:t>
      </w:r>
      <w:r>
        <w:t xml:space="preserve">”</w:t>
      </w:r>
      <w:r>
        <w:t xml:space="preserve"> </w:t>
      </w:r>
      <w:r>
        <w:t xml:space="preserve">and circular funding, not the compensated decoupling the State calls it. [Ch. 4.]</w:t>
      </w:r>
    </w:p>
    <w:p>
      <w:pPr>
        <w:pStyle w:val="BodyText"/>
      </w:pPr>
      <w:r>
        <w:rPr>
          <w:i/>
        </w:rPr>
        <w:t xml:space="preserve">Five mechanisms, one pattern: in every case the trustee — the State itself — found a way to serve some interest other than the beneficiary. The trust’s only defense is a charter that names the breach in advance and gives someone standing to stop it.</w:t>
      </w:r>
    </w:p>
    <w:p>
      <w:r>
        <w:pict>
          <v:rect style="width:0;height:1.5pt" o:hralign="center" o:hrstd="t" o:hr="t"/>
        </w:pict>
      </w:r>
    </w:p>
    <w:p>
      <w:r>
        <w:br w:type="page"/>
      </w:r>
    </w:p>
    <w:p>
      <w:pPr>
        <w:pStyle w:val="Heading1"/>
      </w:pPr>
      <w:bookmarkStart w:id="63" w:name="Xd60d1208b308a58abd9571e6a071ae0ff88126c"/>
      <w:r>
        <w:t xml:space="preserve">Lens 4 — The Comparative Matrix: Keyed to Enforceability</w:t>
      </w:r>
      <w:bookmarkEnd w:id="63"/>
    </w:p>
    <w:p>
      <w:pPr>
        <w:pStyle w:val="FirstParagraph"/>
      </w:pPr>
      <w:r>
        <w:rPr>
          <w:i/>
        </w:rPr>
        <w:t xml:space="preserve">What this lens reveals: the old instinct was to rank states by how strong their trust</w:t>
      </w:r>
      <w:r>
        <w:rPr>
          <w:i/>
        </w:rPr>
        <w:t xml:space="preserve"> </w:t>
      </w:r>
      <w:r>
        <w:t xml:space="preserve">language* sounds. That score is retired (#3) — it predicts almost nothing. New Mexico and Arizona have the identical federal text and funds that differ by more than three to one. What actually determines whether a beneficiary can compel performance is the</w:t>
      </w:r>
      <w:r>
        <w:t xml:space="preserve"> </w:t>
      </w:r>
      <w:r>
        <w:rPr>
          <w:b/>
        </w:rPr>
        <w:t xml:space="preserve">remedy structure</w:t>
      </w:r>
      <w:r>
        <w:t xml:space="preserve">: is there express trust text, a named trustee, a sovereign-immunity waiver, an identified enforcer, and how hard is the founding deal to amend. The matrix below re-cuts the Atlas on those axes. The anchor states (TX, NM, AZ, UT, OR, WA, ND, NV) are populated from verified sources with dated corpus figures; the lower block (OH, CA, CO, MN, MT, MS, SD) shows the outcome column only, with the structural columns still to be filled from the Comparative Atlas before final print — they now say</w:t>
      </w:r>
      <w:r>
        <w:t xml:space="preserve"> </w:t>
      </w:r>
      <w:r>
        <w:t xml:space="preserve">‘</w:t>
      </w:r>
      <w:r>
        <w:t xml:space="preserve">deferred to Atlas</w:t>
      </w:r>
      <w:r>
        <w:t xml:space="preserve">’</w:t>
      </w:r>
      <w:r>
        <w:t xml:space="preserve"> </w:t>
      </w:r>
      <w:r>
        <w:t xml:space="preserve">rather than carrying print-facing verification brackets.*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Express</w:t>
            </w:r>
            <w:r>
              <w:t xml:space="preserve"> </w:t>
            </w:r>
            <w:r>
              <w:t xml:space="preserve">“</w:t>
            </w:r>
            <w:r>
              <w:t xml:space="preserve">in trust</w:t>
            </w:r>
            <w:r>
              <w:t xml:space="preserve">”</w:t>
            </w:r>
            <w:r>
              <w:t xml:space="preserve"> </w:t>
            </w:r>
            <w:r>
              <w:t xml:space="preserve">text?</w:t>
            </w:r>
          </w:p>
        </w:tc>
        <w:tc>
          <w:tcPr>
            <w:tcBorders>
              <w:bottom w:val="single"/>
            </w:tcBorders>
            <w:vAlign w:val="bottom"/>
          </w:tcPr>
          <w:p>
            <w:pPr>
              <w:pStyle w:val="Compact"/>
              <w:jc w:val="left"/>
            </w:pPr>
            <w:r>
              <w:t xml:space="preserve">Named trustee?</w:t>
            </w:r>
          </w:p>
        </w:tc>
        <w:tc>
          <w:tcPr>
            <w:tcBorders>
              <w:bottom w:val="single"/>
            </w:tcBorders>
            <w:vAlign w:val="bottom"/>
          </w:tcPr>
          <w:p>
            <w:pPr>
              <w:pStyle w:val="Compact"/>
              <w:jc w:val="left"/>
            </w:pPr>
            <w:r>
              <w:t xml:space="preserve">Sovereign-immunity waiver / standing?</w:t>
            </w:r>
          </w:p>
        </w:tc>
        <w:tc>
          <w:tcPr>
            <w:tcBorders>
              <w:bottom w:val="single"/>
            </w:tcBorders>
            <w:vAlign w:val="bottom"/>
          </w:tcPr>
          <w:p>
            <w:pPr>
              <w:pStyle w:val="Compact"/>
              <w:jc w:val="left"/>
            </w:pPr>
            <w:r>
              <w:t xml:space="preserve">Enforcer identity</w:t>
            </w:r>
          </w:p>
        </w:tc>
        <w:tc>
          <w:tcPr>
            <w:tcBorders>
              <w:bottom w:val="single"/>
            </w:tcBorders>
            <w:vAlign w:val="bottom"/>
          </w:tcPr>
          <w:p>
            <w:pPr>
              <w:pStyle w:val="Compact"/>
              <w:jc w:val="left"/>
            </w:pPr>
            <w:r>
              <w:t xml:space="preserve">Amendment difficulty</w:t>
            </w:r>
          </w:p>
        </w:tc>
        <w:tc>
          <w:tcPr>
            <w:tcBorders>
              <w:bottom w:val="single"/>
            </w:tcBorders>
            <w:vAlign w:val="bottom"/>
          </w:tcPr>
          <w:p>
            <w:pPr>
              <w:pStyle w:val="Compact"/>
              <w:jc w:val="left"/>
            </w:pPr>
            <w:r>
              <w:t xml:space="preserve">Outcome</w:t>
            </w:r>
          </w:p>
        </w:tc>
      </w:tr>
      <w:tr>
        <w:tc>
          <w:p>
            <w:pPr>
              <w:pStyle w:val="Compact"/>
              <w:jc w:val="left"/>
            </w:pPr>
            <w:r>
              <w:rPr>
                <w:b/>
              </w:rPr>
              <w:t xml:space="preserve">TX</w:t>
            </w:r>
          </w:p>
        </w:tc>
        <w:tc>
          <w:p>
            <w:pPr>
              <w:pStyle w:val="Compact"/>
              <w:jc w:val="left"/>
            </w:pPr>
            <w:r>
              <w:t xml:space="preserve">No federal grant; state-derived (Art. VII)</w:t>
            </w:r>
          </w:p>
        </w:tc>
        <w:tc>
          <w:p>
            <w:pPr>
              <w:pStyle w:val="Compact"/>
              <w:jc w:val="left"/>
            </w:pPr>
            <w:r>
              <w:t xml:space="preserve">Yes — School Land Board / GLO (elected Commissioner)</w:t>
            </w:r>
          </w:p>
        </w:tc>
        <w:tc>
          <w:p>
            <w:pPr>
              <w:pStyle w:val="Compact"/>
              <w:jc w:val="left"/>
            </w:pPr>
            <w:r>
              <w:t xml:space="preserve">State constitutional standing; no §10-style federal route</w:t>
            </w:r>
          </w:p>
        </w:tc>
        <w:tc>
          <w:p>
            <w:pPr>
              <w:pStyle w:val="Compact"/>
              <w:jc w:val="left"/>
            </w:pPr>
            <w:r>
              <w:t xml:space="preserve">Beneficiaries / state officers via Art. VII</w:t>
            </w:r>
          </w:p>
        </w:tc>
        <w:tc>
          <w:p>
            <w:pPr>
              <w:pStyle w:val="Compact"/>
              <w:jc w:val="left"/>
            </w:pPr>
            <w:r>
              <w:t xml:space="preserve">Constitutional amendment (hard)</w:t>
            </w:r>
          </w:p>
        </w:tc>
        <w:tc>
          <w:p>
            <w:pPr>
              <w:pStyle w:val="Compact"/>
              <w:jc w:val="left"/>
            </w:pPr>
            <w:r>
              <w:t xml:space="preserve">PSF ~$60.6B [AS OF Aug. 31, 2025] — largest in nation</w:t>
            </w:r>
          </w:p>
        </w:tc>
      </w:tr>
      <w:tr>
        <w:tc>
          <w:p>
            <w:pPr>
              <w:pStyle w:val="Compact"/>
              <w:jc w:val="left"/>
            </w:pPr>
            <w:r>
              <w:rPr>
                <w:b/>
              </w:rPr>
              <w:t xml:space="preserve">NM</w:t>
            </w:r>
          </w:p>
        </w:tc>
        <w:tc>
          <w:p>
            <w:pPr>
              <w:pStyle w:val="Compact"/>
              <w:jc w:val="left"/>
            </w:pPr>
            <w:r>
              <w:rPr>
                <w:b/>
              </w:rPr>
              <w:t xml:space="preserve">Yes</w:t>
            </w:r>
            <w:r>
              <w:t xml:space="preserve"> </w:t>
            </w:r>
            <w:r>
              <w:t xml:space="preserve">— 1910 Act §10,</w:t>
            </w:r>
            <w:r>
              <w:t xml:space="preserve"> </w:t>
            </w:r>
            <w:r>
              <w:t xml:space="preserve">“</w:t>
            </w:r>
            <w:r>
              <w:t xml:space="preserve">held in trust,</w:t>
            </w:r>
            <w:r>
              <w:t xml:space="preserve">”</w:t>
            </w:r>
            <w:r>
              <w:t xml:space="preserve"> </w:t>
            </w:r>
            <w:r>
              <w:t xml:space="preserve">“</w:t>
            </w:r>
            <w:r>
              <w:t xml:space="preserve">breach of trust,</w:t>
            </w:r>
            <w:r>
              <w:t xml:space="preserve">”</w:t>
            </w:r>
            <w:r>
              <w:t xml:space="preserve"> </w:t>
            </w:r>
            <w:r>
              <w:t xml:space="preserve">“</w:t>
            </w:r>
            <w:r>
              <w:t xml:space="preserve">null and void</w:t>
            </w:r>
            <w:r>
              <w:t xml:space="preserve">”</w:t>
            </w:r>
          </w:p>
        </w:tc>
        <w:tc>
          <w:p>
            <w:pPr>
              <w:pStyle w:val="Compact"/>
              <w:jc w:val="left"/>
            </w:pPr>
            <w:r>
              <w:t xml:space="preserve">Yes — Commissioner of Public Lands (elected)</w:t>
            </w:r>
          </w:p>
        </w:tc>
        <w:tc>
          <w:p>
            <w:pPr>
              <w:pStyle w:val="Compact"/>
              <w:jc w:val="left"/>
            </w:pPr>
            <w:r>
              <w:t xml:space="preserve">Federal route: AG</w:t>
            </w:r>
            <w:r>
              <w:t xml:space="preserve"> </w:t>
            </w:r>
            <w:r>
              <w:rPr>
                <w:i/>
              </w:rPr>
              <w:t xml:space="preserve">must</w:t>
            </w:r>
            <w:r>
              <w:t xml:space="preserve"> </w:t>
            </w:r>
            <w:r>
              <w:t xml:space="preserve">sue; compact is</w:t>
            </w:r>
            <w:r>
              <w:t xml:space="preserve"> </w:t>
            </w:r>
            <w:r>
              <w:t xml:space="preserve">“</w:t>
            </w:r>
            <w:r>
              <w:t xml:space="preserve">fundamental law</w:t>
            </w:r>
            <w:r>
              <w:t xml:space="preserve">”</w:t>
            </w:r>
          </w:p>
        </w:tc>
        <w:tc>
          <w:p>
            <w:pPr>
              <w:pStyle w:val="Compact"/>
              <w:jc w:val="left"/>
            </w:pPr>
            <w:r>
              <w:rPr>
                <w:b/>
              </w:rPr>
              <w:t xml:space="preserve">U.S. Attorney General</w:t>
            </w:r>
            <w:r>
              <w:t xml:space="preserve"> </w:t>
            </w:r>
            <w:r>
              <w:t xml:space="preserve">(express §10 mandate) + state AG mandamus</w:t>
            </w:r>
          </w:p>
        </w:tc>
        <w:tc>
          <w:p>
            <w:pPr>
              <w:pStyle w:val="Compact"/>
              <w:jc w:val="left"/>
            </w:pPr>
            <w:r>
              <w:t xml:space="preserve">Enabling Act = fundamental law; near-irrevocable</w:t>
            </w:r>
          </w:p>
        </w:tc>
        <w:tc>
          <w:p>
            <w:pPr>
              <w:pStyle w:val="Compact"/>
              <w:jc w:val="left"/>
            </w:pPr>
            <w:r>
              <w:t xml:space="preserve">LGPF ~$32.6B [AS OF Oct. 31, 2024];</w:t>
            </w:r>
            <w:r>
              <w:t xml:space="preserve"> </w:t>
            </w:r>
            <w:r>
              <w:rPr>
                <w:i/>
              </w:rPr>
              <w:t xml:space="preserve">Ervien</w:t>
            </w:r>
            <w:r>
              <w:t xml:space="preserve">,</w:t>
            </w:r>
            <w:r>
              <w:t xml:space="preserve"> </w:t>
            </w:r>
            <w:r>
              <w:rPr>
                <w:i/>
              </w:rPr>
              <w:t xml:space="preserve">King v. Lyons</w:t>
            </w:r>
            <w:r>
              <w:t xml:space="preserve"> </w:t>
            </w:r>
            <w:r>
              <w:t xml:space="preserve">enforced</w:t>
            </w:r>
          </w:p>
        </w:tc>
      </w:tr>
      <w:tr>
        <w:tc>
          <w:p>
            <w:pPr>
              <w:pStyle w:val="Compact"/>
              <w:jc w:val="left"/>
            </w:pPr>
            <w:r>
              <w:rPr>
                <w:b/>
              </w:rPr>
              <w:t xml:space="preserve">AZ</w:t>
            </w:r>
          </w:p>
        </w:tc>
        <w:tc>
          <w:p>
            <w:pPr>
              <w:pStyle w:val="Compact"/>
              <w:jc w:val="left"/>
            </w:pPr>
            <w:r>
              <w:rPr>
                <w:b/>
              </w:rPr>
              <w:t xml:space="preserve">Yes</w:t>
            </w:r>
            <w:r>
              <w:t xml:space="preserve"> </w:t>
            </w:r>
            <w:r>
              <w:t xml:space="preserve">— 1910 Act §28 (parallel to §10)</w:t>
            </w:r>
          </w:p>
        </w:tc>
        <w:tc>
          <w:p>
            <w:pPr>
              <w:pStyle w:val="Compact"/>
              <w:jc w:val="left"/>
            </w:pPr>
            <w:r>
              <w:t xml:space="preserve">Yes — State Land Dept. (appointed Commissioner)</w:t>
            </w:r>
          </w:p>
        </w:tc>
        <w:tc>
          <w:p>
            <w:pPr>
              <w:pStyle w:val="Compact"/>
              <w:jc w:val="left"/>
            </w:pPr>
            <w:r>
              <w:t xml:space="preserve">Federal §28 route +</w:t>
            </w:r>
            <w:r>
              <w:t xml:space="preserve"> </w:t>
            </w:r>
            <w:r>
              <w:rPr>
                <w:i/>
              </w:rPr>
              <w:t xml:space="preserve">Lassen</w:t>
            </w:r>
            <w:r>
              <w:t xml:space="preserve"> </w:t>
            </w:r>
            <w:r>
              <w:t xml:space="preserve">full-value rule</w:t>
            </w:r>
          </w:p>
        </w:tc>
        <w:tc>
          <w:p>
            <w:pPr>
              <w:pStyle w:val="Compact"/>
              <w:jc w:val="left"/>
            </w:pPr>
            <w:r>
              <w:t xml:space="preserve">U.S. Attorney General (express)</w:t>
            </w:r>
          </w:p>
        </w:tc>
        <w:tc>
          <w:p>
            <w:pPr>
              <w:pStyle w:val="Compact"/>
              <w:jc w:val="left"/>
            </w:pPr>
            <w:r>
              <w:t xml:space="preserve">Enabling Act = fundamental law</w:t>
            </w:r>
          </w:p>
        </w:tc>
        <w:tc>
          <w:p>
            <w:pPr>
              <w:pStyle w:val="Compact"/>
              <w:jc w:val="left"/>
            </w:pPr>
            <w:r>
              <w:t xml:space="preserve">Permanent Land Endowment ~$9.9B [AS OF Nov. 30, 2025] — same text as NM, a fraction of the corpus</w:t>
            </w:r>
          </w:p>
        </w:tc>
      </w:tr>
      <w:tr>
        <w:tc>
          <w:p>
            <w:pPr>
              <w:pStyle w:val="Compact"/>
              <w:jc w:val="left"/>
            </w:pPr>
            <w:r>
              <w:rPr>
                <w:b/>
              </w:rPr>
              <w:t xml:space="preserve">UT</w:t>
            </w:r>
          </w:p>
        </w:tc>
        <w:tc>
          <w:p>
            <w:pPr>
              <w:pStyle w:val="Compact"/>
              <w:jc w:val="left"/>
            </w:pPr>
            <w:r>
              <w:t xml:space="preserve">Partial — 1894 Act + Art. X;</w:t>
            </w:r>
            <w:r>
              <w:t xml:space="preserve"> </w:t>
            </w:r>
            <w:r>
              <w:t xml:space="preserve">“</w:t>
            </w:r>
            <w:r>
              <w:t xml:space="preserve">permanent,</w:t>
            </w:r>
            <w:r>
              <w:t xml:space="preserve">”</w:t>
            </w:r>
            <w:r>
              <w:t xml:space="preserve"> </w:t>
            </w:r>
            <w:r>
              <w:t xml:space="preserve">irreducible by name</w:t>
            </w:r>
          </w:p>
        </w:tc>
        <w:tc>
          <w:p>
            <w:pPr>
              <w:pStyle w:val="Compact"/>
              <w:jc w:val="left"/>
            </w:pPr>
            <w:r>
              <w:t xml:space="preserve">Yes — SITLA (agency, statutory)</w:t>
            </w:r>
          </w:p>
        </w:tc>
        <w:tc>
          <w:p>
            <w:pPr>
              <w:pStyle w:val="Compact"/>
              <w:jc w:val="left"/>
            </w:pPr>
            <w:r>
              <w:t xml:space="preserve">State standing; recovery via state courts (</w:t>
            </w:r>
            <w:r>
              <w:rPr>
                <w:i/>
              </w:rPr>
              <w:t xml:space="preserve">Jensen</w:t>
            </w:r>
            <w:r>
              <w:t xml:space="preserve">)</w:t>
            </w:r>
          </w:p>
        </w:tc>
        <w:tc>
          <w:p>
            <w:pPr>
              <w:pStyle w:val="Compact"/>
              <w:jc w:val="left"/>
            </w:pPr>
            <w:r>
              <w:t xml:space="preserve">State officers / coalition; no federal §10 enforcer</w:t>
            </w:r>
          </w:p>
        </w:tc>
        <w:tc>
          <w:p>
            <w:pPr>
              <w:pStyle w:val="Compact"/>
              <w:jc w:val="left"/>
            </w:pPr>
            <w:r>
              <w:t xml:space="preserve">Constitutional (hard)</w:t>
            </w:r>
          </w:p>
        </w:tc>
        <w:tc>
          <w:p>
            <w:pPr>
              <w:pStyle w:val="Compact"/>
              <w:jc w:val="left"/>
            </w:pPr>
            <w:r>
              <w:t xml:space="preserve">Permanent State School Fund ~$3.7B [AS OF 2025]; recovered after Project BOLD raid</w:t>
            </w:r>
          </w:p>
        </w:tc>
      </w:tr>
      <w:tr>
        <w:tc>
          <w:p>
            <w:pPr>
              <w:pStyle w:val="Compact"/>
              <w:jc w:val="left"/>
            </w:pPr>
            <w:r>
              <w:rPr>
                <w:b/>
              </w:rPr>
              <w:t xml:space="preserve">OR</w:t>
            </w:r>
          </w:p>
        </w:tc>
        <w:tc>
          <w:p>
            <w:pPr>
              <w:pStyle w:val="Compact"/>
              <w:jc w:val="left"/>
            </w:pPr>
            <w:r>
              <w:t xml:space="preserve">No express trust/enforcement clause — Art. VIII general (</w:t>
            </w:r>
            <w:r>
              <w:t xml:space="preserve">“</w:t>
            </w:r>
            <w:r>
              <w:t xml:space="preserve">irreducible fund</w:t>
            </w:r>
            <w:r>
              <w:t xml:space="preserve">”</w:t>
            </w:r>
            <w:r>
              <w:t xml:space="preserve">)</w:t>
            </w:r>
          </w:p>
        </w:tc>
        <w:tc>
          <w:p>
            <w:pPr>
              <w:pStyle w:val="Compact"/>
              <w:jc w:val="left"/>
            </w:pPr>
            <w:r>
              <w:t xml:space="preserve">Yes — State Land Board (ex-officio executive officers)</w:t>
            </w:r>
          </w:p>
        </w:tc>
        <w:tc>
          <w:p>
            <w:pPr>
              <w:pStyle w:val="Compact"/>
              <w:jc w:val="left"/>
            </w:pPr>
            <w:r>
              <w:rPr>
                <w:b/>
              </w:rPr>
              <w:t xml:space="preserve">Contested</w:t>
            </w:r>
            <w:r>
              <w:t xml:space="preserve"> </w:t>
            </w:r>
            <w:r>
              <w:t xml:space="preserve">— won by beneficiaries only on Jan. 28, 2026 (A184055); OTCA/sovereign-immunity gauntlet</w:t>
            </w:r>
          </w:p>
        </w:tc>
        <w:tc>
          <w:p>
            <w:pPr>
              <w:pStyle w:val="Compact"/>
              <w:jc w:val="left"/>
            </w:pPr>
            <w:r>
              <w:t xml:space="preserve">Beneficiaries (standing newly confirmed); no named enforcer</w:t>
            </w:r>
          </w:p>
        </w:tc>
        <w:tc>
          <w:p>
            <w:pPr>
              <w:pStyle w:val="Compact"/>
              <w:jc w:val="left"/>
            </w:pPr>
            <w:r>
              <w:t xml:space="preserve">Constitutional amendment + ballot (Art. VIII §8 added 2000)</w:t>
            </w:r>
          </w:p>
        </w:tc>
        <w:tc>
          <w:p>
            <w:pPr>
              <w:pStyle w:val="Compact"/>
              <w:jc w:val="left"/>
            </w:pPr>
            <w:r>
              <w:t xml:space="preserve">Common School Fund audited fund balance</w:t>
            </w:r>
            <w:r>
              <w:t xml:space="preserve"> </w:t>
            </w:r>
            <w:r>
              <w:rPr>
                <w:b/>
              </w:rPr>
              <w:t xml:space="preserve">$2,585,199,612 as of June 30, 2025</w:t>
            </w:r>
            <w:r>
              <w:t xml:space="preserve">; Elliott loss; remedy reached only after 5-yr fight</w:t>
            </w:r>
          </w:p>
        </w:tc>
      </w:tr>
      <w:tr>
        <w:tc>
          <w:p>
            <w:pPr>
              <w:pStyle w:val="Compact"/>
              <w:jc w:val="left"/>
            </w:pPr>
            <w:r>
              <w:rPr>
                <w:b/>
              </w:rPr>
              <w:t xml:space="preserve">WA</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no §10 enforcer</w:t>
            </w:r>
          </w:p>
        </w:tc>
        <w:tc>
          <w:p>
            <w:pPr>
              <w:pStyle w:val="Compact"/>
              <w:jc w:val="left"/>
            </w:pPr>
            <w:r>
              <w:t xml:space="preserve">Yes — Commissioner of Public Lands (elected)</w:t>
            </w:r>
          </w:p>
        </w:tc>
        <w:tc>
          <w:p>
            <w:pPr>
              <w:pStyle w:val="Compact"/>
              <w:jc w:val="left"/>
            </w:pPr>
            <w:r>
              <w:t xml:space="preserve">State standing; strict trust applied in</w:t>
            </w:r>
            <w:r>
              <w:t xml:space="preserve"> </w:t>
            </w:r>
            <w:r>
              <w:rPr>
                <w:i/>
              </w:rPr>
              <w:t xml:space="preserve">Skamania</w:t>
            </w:r>
          </w:p>
        </w:tc>
        <w:tc>
          <w:p>
            <w:pPr>
              <w:pStyle w:val="Compact"/>
              <w:jc w:val="left"/>
            </w:pPr>
            <w:r>
              <w:t xml:space="preserve">State courts (</w:t>
            </w:r>
            <w:r>
              <w:rPr>
                <w:i/>
              </w:rPr>
              <w:t xml:space="preserve">Skamania</w:t>
            </w:r>
            <w:r>
              <w:t xml:space="preserve"> </w:t>
            </w:r>
            <w:r>
              <w:t xml:space="preserve">loyalty rule)</w:t>
            </w:r>
          </w:p>
        </w:tc>
        <w:tc>
          <w:p>
            <w:pPr>
              <w:pStyle w:val="Compact"/>
              <w:jc w:val="left"/>
            </w:pPr>
            <w:r>
              <w:t xml:space="preserve">Constitutional (hard)</w:t>
            </w:r>
          </w:p>
        </w:tc>
        <w:tc>
          <w:p>
            <w:pPr>
              <w:pStyle w:val="Compact"/>
              <w:jc w:val="left"/>
            </w:pPr>
            <w:r>
              <w:t xml:space="preserve">Trust</w:t>
            </w:r>
            <w:r>
              <w:t xml:space="preserve"> </w:t>
            </w:r>
            <w:r>
              <w:t xml:space="preserve">“</w:t>
            </w:r>
            <w:r>
              <w:t xml:space="preserve">real, not illusory</w:t>
            </w:r>
            <w:r>
              <w:t xml:space="preserve">”</w:t>
            </w:r>
            <w:r>
              <w:t xml:space="preserve"> </w:t>
            </w:r>
            <w:r>
              <w:t xml:space="preserve">—</w:t>
            </w:r>
            <w:r>
              <w:t xml:space="preserve"> </w:t>
            </w:r>
            <w:r>
              <w:rPr>
                <w:i/>
              </w:rPr>
              <w:t xml:space="preserve">Skamania</w:t>
            </w:r>
            <w:r>
              <w:t xml:space="preserve"> </w:t>
            </w:r>
            <w:r>
              <w:t xml:space="preserve">struck timber bailout</w:t>
            </w:r>
          </w:p>
        </w:tc>
      </w:tr>
      <w:tr>
        <w:tc>
          <w:p>
            <w:pPr>
              <w:pStyle w:val="Compact"/>
              <w:jc w:val="left"/>
            </w:pPr>
            <w:r>
              <w:rPr>
                <w:b/>
              </w:rPr>
              <w:t xml:space="preserve">ND</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null-and-void</w:t>
            </w:r>
          </w:p>
        </w:tc>
        <w:tc>
          <w:p>
            <w:pPr>
              <w:pStyle w:val="Compact"/>
              <w:jc w:val="left"/>
            </w:pPr>
            <w:r>
              <w:t xml:space="preserve">Yes — Board of University &amp; School Lands</w:t>
            </w:r>
          </w:p>
        </w:tc>
        <w:tc>
          <w:p>
            <w:pPr>
              <w:pStyle w:val="Compact"/>
              <w:jc w:val="left"/>
            </w:pPr>
            <w:r>
              <w:t xml:space="preserve">State standing</w:t>
            </w:r>
          </w:p>
        </w:tc>
        <w:tc>
          <w:p>
            <w:pPr>
              <w:pStyle w:val="Compact"/>
              <w:jc w:val="left"/>
            </w:pPr>
            <w:r>
              <w:t xml:space="preserve">State officers / board</w:t>
            </w:r>
          </w:p>
        </w:tc>
        <w:tc>
          <w:p>
            <w:pPr>
              <w:pStyle w:val="Compact"/>
              <w:jc w:val="left"/>
            </w:pPr>
            <w:r>
              <w:t xml:space="preserve">Constitutional (hard)</w:t>
            </w:r>
          </w:p>
        </w:tc>
        <w:tc>
          <w:p>
            <w:pPr>
              <w:pStyle w:val="Compact"/>
              <w:jc w:val="left"/>
            </w:pPr>
            <w:r>
              <w:t xml:space="preserve">Common Schools Trust Fund ~$8.4B [AS OF Nov. 30, 2025], oil-driven — among strongest recoveries</w:t>
            </w:r>
          </w:p>
        </w:tc>
      </w:tr>
      <w:tr>
        <w:tc>
          <w:p>
            <w:pPr>
              <w:pStyle w:val="Compact"/>
              <w:jc w:val="left"/>
            </w:pPr>
            <w:r>
              <w:rPr>
                <w:b/>
              </w:rPr>
              <w:t xml:space="preserve">NV</w:t>
            </w:r>
          </w:p>
        </w:tc>
        <w:tc>
          <w:p>
            <w:pPr>
              <w:pStyle w:val="Compact"/>
              <w:jc w:val="left"/>
            </w:pPr>
            <w:r>
              <w:t xml:space="preserve">Partial — 2-section 1864 grant; general text</w:t>
            </w:r>
          </w:p>
        </w:tc>
        <w:tc>
          <w:p>
            <w:pPr>
              <w:pStyle w:val="Compact"/>
              <w:jc w:val="left"/>
            </w:pPr>
            <w:r>
              <w:t xml:space="preserve">Yes — state land office</w:t>
            </w:r>
          </w:p>
        </w:tc>
        <w:tc>
          <w:p>
            <w:pPr>
              <w:pStyle w:val="Compact"/>
              <w:jc w:val="left"/>
            </w:pPr>
            <w:r>
              <w:t xml:space="preserve">State route; general text</w:t>
            </w:r>
          </w:p>
        </w:tc>
        <w:tc>
          <w:p>
            <w:pPr>
              <w:pStyle w:val="Compact"/>
              <w:jc w:val="left"/>
            </w:pPr>
            <w:r>
              <w:t xml:space="preserve">State officers</w:t>
            </w:r>
          </w:p>
        </w:tc>
        <w:tc>
          <w:p>
            <w:pPr>
              <w:pStyle w:val="Compact"/>
              <w:jc w:val="left"/>
            </w:pPr>
            <w:r>
              <w:t xml:space="preserve">Constitutional/statutory</w:t>
            </w:r>
          </w:p>
        </w:tc>
        <w:tc>
          <w:p>
            <w:pPr>
              <w:pStyle w:val="Compact"/>
              <w:jc w:val="left"/>
            </w:pPr>
            <w:r>
              <w:t xml:space="preserve">Broad statutory Permanent School Fund balance</w:t>
            </w:r>
            <w:r>
              <w:t xml:space="preserve"> </w:t>
            </w:r>
            <w:r>
              <w:rPr>
                <w:b/>
              </w:rPr>
              <w:t xml:space="preserve">$531,127,843 as of June 30, 2025</w:t>
            </w:r>
            <w:r>
              <w:t xml:space="preserve"> </w:t>
            </w:r>
            <w:r>
              <w:t xml:space="preserve">(unaudited) — not the tiny surviving land-trust corpus; figures are often conflated</w:t>
            </w:r>
          </w:p>
        </w:tc>
      </w:tr>
      <w:tr>
        <w:tc>
          <w:p>
            <w:pPr>
              <w:pStyle w:val="Compact"/>
              <w:jc w:val="left"/>
            </w:pPr>
            <w:r>
              <w:t xml:space="preserve">OH</w:t>
            </w:r>
          </w:p>
        </w:tc>
        <w:tc>
          <w:p>
            <w:pPr>
              <w:pStyle w:val="Compact"/>
              <w:jc w:val="left"/>
            </w:pPr>
            <w:r>
              <w:t xml:space="preserve">1802 template, no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Fire-sale liquidation; little corpus survived</w:t>
            </w:r>
          </w:p>
        </w:tc>
      </w:tr>
      <w:tr>
        <w:tc>
          <w:p>
            <w:pPr>
              <w:pStyle w:val="Compact"/>
              <w:jc w:val="left"/>
            </w:pPr>
            <w:r>
              <w:t xml:space="preserve">CA</w:t>
            </w:r>
          </w:p>
        </w:tc>
        <w:tc>
          <w:p>
            <w:pPr>
              <w:pStyle w:val="Compact"/>
              <w:jc w:val="left"/>
            </w:pPr>
            <w:r>
              <w:t xml:space="preserve">1850 2-section, general</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Lost by drift/omission</w:t>
            </w:r>
          </w:p>
        </w:tc>
      </w:tr>
      <w:tr>
        <w:tc>
          <w:p>
            <w:pPr>
              <w:pStyle w:val="Compact"/>
              <w:jc w:val="left"/>
            </w:pPr>
            <w:r>
              <w:t xml:space="preserve">CO</w:t>
            </w:r>
          </w:p>
        </w:tc>
        <w:tc>
          <w:p>
            <w:pPr>
              <w:pStyle w:val="Compact"/>
              <w:jc w:val="left"/>
            </w:pPr>
            <w:r>
              <w:t xml:space="preserve">1875 grant with price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Public School Permanent Fund</w:t>
            </w:r>
            <w:r>
              <w:t xml:space="preserve"> </w:t>
            </w:r>
            <w:r>
              <w:rPr>
                <w:b/>
              </w:rPr>
              <w:t xml:space="preserve">$1,845,545,326 as of June 30, 2025</w:t>
            </w:r>
            <w:r>
              <w:t xml:space="preserve">; BEST gross-income diversion</w:t>
            </w:r>
          </w:p>
        </w:tc>
      </w:tr>
      <w:tr>
        <w:tc>
          <w:p>
            <w:pPr>
              <w:pStyle w:val="Compact"/>
              <w:jc w:val="left"/>
            </w:pPr>
            <w:r>
              <w:t xml:space="preserve">MN</w:t>
            </w:r>
          </w:p>
        </w:tc>
        <w:tc>
          <w:p>
            <w:pPr>
              <w:pStyle w:val="Compact"/>
              <w:jc w:val="left"/>
            </w:pPr>
            <w:r>
              <w:t xml:space="preserve">1858 2-section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Permanent School Fund about</w:t>
            </w:r>
            <w:r>
              <w:t xml:space="preserve"> </w:t>
            </w:r>
            <w:r>
              <w:rPr>
                <w:b/>
              </w:rPr>
              <w:t xml:space="preserve">$2.3 billion as of 2025</w:t>
            </w:r>
            <w:r>
              <w:t xml:space="preserve">; reform amendment on Nov. 2026 ballot</w:t>
            </w:r>
          </w:p>
        </w:tc>
      </w:tr>
      <w:tr>
        <w:tc>
          <w:p>
            <w:pPr>
              <w:pStyle w:val="Compact"/>
              <w:jc w:val="left"/>
            </w:pPr>
            <w:r>
              <w:t xml:space="preserve">MT</w:t>
            </w:r>
          </w:p>
        </w:tc>
        <w:tc>
          <w:p>
            <w:pPr>
              <w:pStyle w:val="Compact"/>
              <w:jc w:val="left"/>
            </w:pPr>
            <w:r>
              <w:t xml:space="preserve">1889 Omnibus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MonTrust constituency; 2022 MT 53 merits loss</w:t>
            </w:r>
          </w:p>
        </w:tc>
      </w:tr>
      <w:tr>
        <w:tc>
          <w:p>
            <w:pPr>
              <w:pStyle w:val="Compact"/>
              <w:jc w:val="left"/>
            </w:pPr>
            <w:r>
              <w:t xml:space="preserve">MS</w:t>
            </w:r>
          </w:p>
        </w:tc>
        <w:tc>
          <w:p>
            <w:pPr>
              <w:pStyle w:val="Compact"/>
              <w:jc w:val="left"/>
            </w:pPr>
            <w:r>
              <w:t xml:space="preserve">1817 1-section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Sweetheart leases (</w:t>
            </w:r>
            <w:r>
              <w:rPr>
                <w:i/>
              </w:rPr>
              <w:t xml:space="preserve">Hill v. Thompson</w:t>
            </w:r>
            <w:r>
              <w:t xml:space="preserve">); Molpus reform</w:t>
            </w:r>
          </w:p>
        </w:tc>
      </w:tr>
      <w:tr>
        <w:tc>
          <w:p>
            <w:pPr>
              <w:pStyle w:val="Compact"/>
              <w:jc w:val="left"/>
            </w:pPr>
            <w:r>
              <w:t xml:space="preserve">SD</w:t>
            </w:r>
          </w:p>
        </w:tc>
        <w:tc>
          <w:p>
            <w:pPr>
              <w:pStyle w:val="Compact"/>
              <w:jc w:val="left"/>
            </w:pPr>
            <w:r>
              <w:t xml:space="preserve">1889 Omnibus, $10 floor (Beadle)</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School and Public Lands Fund</w:t>
            </w:r>
            <w:r>
              <w:t xml:space="preserve"> </w:t>
            </w:r>
            <w:r>
              <w:rPr>
                <w:b/>
              </w:rPr>
              <w:t xml:space="preserve">$430,690,564 as of June 30, 2025</w:t>
            </w:r>
            <w:r>
              <w:t xml:space="preserve">; FY2025 returned to public schools</w:t>
            </w:r>
            <w:r>
              <w:t xml:space="preserve"> </w:t>
            </w:r>
            <w:r>
              <w:rPr>
                <w:b/>
              </w:rPr>
              <w:t xml:space="preserve">$15,590,737.54</w:t>
            </w:r>
          </w:p>
        </w:tc>
      </w:tr>
    </w:tbl>
    <w:p>
      <w:pPr>
        <w:pStyle w:val="BodyText"/>
      </w:pPr>
      <w:r>
        <w:rPr>
          <w:i/>
        </w:rPr>
        <w:t xml:space="preserve">Reading the matrix: the columns that move outcomes are the enforcer-identity and amendment-difficulty columns, not any single</w:t>
      </w:r>
      <w:r>
        <w:rPr>
          <w:i/>
        </w:rPr>
        <w:t xml:space="preserve"> </w:t>
      </w:r>
      <w:r>
        <w:rPr>
          <w:i/>
        </w:rPr>
        <w:t xml:space="preserve">“</w:t>
      </w:r>
      <w:r>
        <w:rPr>
          <w:i/>
        </w:rPr>
        <w:t xml:space="preserve">how strong does the text sound</w:t>
      </w:r>
      <w:r>
        <w:rPr>
          <w:i/>
        </w:rPr>
        <w:t xml:space="preserve">”</w:t>
      </w:r>
      <w:r>
        <w:rPr>
          <w:i/>
        </w:rPr>
        <w:t xml:space="preserve"> </w:t>
      </w:r>
      <w:r>
        <w:rPr>
          <w:i/>
        </w:rPr>
        <w:t xml:space="preserve">rating. New Mexico and Arizona share every cell except the corpus — same express text, same named federal enforcer — yet the funds differ by more than three to one, which is exactly why language strength alone is the wrong score. Texas, with no federal trust text at all, holds the largest fund in the country on state-derived architecture plus a durable constituency. Oregon is the cautionary cell: a real trust, a named trustee board, and constitutional standing — but no express enforcement clause, so the beneficiaries spent five years just reaching the courthouse door. The matrix predicts what the narrative argues: drafting the duty is easy and courts will find it; drafting the</w:t>
      </w:r>
      <w:r>
        <w:rPr>
          <w:i/>
        </w:rPr>
        <w:t xml:space="preserve"> </w:t>
      </w:r>
      <w:r>
        <w:rPr>
          <w:b/>
          <w:i/>
        </w:rPr>
        <w:t xml:space="preserve">remedy</w:t>
      </w:r>
      <w:r>
        <w:rPr>
          <w:i/>
        </w:rPr>
        <w:t xml:space="preserve"> </w:t>
      </w:r>
      <w:r>
        <w:rPr>
          <w:i/>
        </w:rPr>
        <w:t xml:space="preserve">— named enforcer, immunity waiver, near-irrevocable compact — is what decides whether the duty can ever be compelled.</w:t>
      </w:r>
    </w:p>
    <w:p>
      <w:r>
        <w:pict>
          <v:rect style="width:0;height:1.5pt" o:hralign="center" o:hrstd="t" o:hr="t"/>
        </w:pict>
      </w:r>
    </w:p>
    <w:p>
      <w:pPr>
        <w:pStyle w:val="FirstParagraph"/>
      </w:pPr>
      <w:r>
        <w:rPr>
          <w:i/>
        </w:rPr>
        <w:t xml:space="preserve">End of lenses. All citations carried from</w:t>
      </w:r>
      <w:r>
        <w:rPr>
          <w:i/>
        </w:rPr>
        <w:t xml:space="preserve">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w:t>
      </w:r>
      <w:r>
        <w:rPr>
          <w:i/>
        </w:rPr>
        <w:t xml:space="preserve"> </w:t>
      </w:r>
      <w:r>
        <w:rPr>
          <w:rStyle w:val="VerbatimChar"/>
          <w:i/>
        </w:rPr>
        <w:t xml:space="preserve">SotR_Existence_vs_Enforceability_Memo</w:t>
      </w:r>
      <w:r>
        <w:rPr>
          <w:i/>
        </w:rPr>
        <w:t xml:space="preserve">, the Territories-Committee records, and the v1.3 Comparative Atlas. Unpopulated matrix cells should be filled from the Comparative Atlas before final print; dated as-of stamps mark corpus figures confirmed against current state reports in the 2026-05-29 and v11 finishing passes.</w:t>
      </w:r>
    </w:p>
    <w:p>
      <w:r>
        <w:br w:type="page"/>
      </w:r>
    </w:p>
    <w:p>
      <w:pPr>
        <w:pStyle w:val="BoxedHeaderSimple"/>
      </w:pPr>
      <w:r>
        <w:t xml:space="preserve">It Is Not Too Late</w:t>
      </w:r>
    </w:p>
    <w:p>
      <w:pPr>
        <w:pStyle w:val="BoxBody"/>
      </w:pPr>
      <w:r>
        <w:t xml:space="preserve">A reader could finish Part One in despair. Do not. The gift is not gone. About twenty states still hold their trust lands and their permanent funds, and even most of the states that hollowed theirs out long ago still keep a residual window — a fund of a few million here, a block of unsold acreage there — that could be rebuilt rather than written off. Nothing in the law prevents a state that broke faith in 1850 from beginning to keep it now: re-funding the corpus, recovering misused land, insisting on full value. The duty never expired. The opportunity is still open. That is the whole reason this book looks back — so that the states still holding the gift will recognize what they have before it, too, is quietly let go.</w:t>
      </w:r>
    </w:p>
    <w:p>
      <w:r>
        <w:pict>
          <v:rect style="width:0;height:1.5pt" o:hralign="center" o:hrstd="t" o:hr="t"/>
        </w:pict>
      </w:r>
    </w:p>
    <w:p>
      <w:pPr>
        <w:pStyle w:val="FirstParagraph"/>
      </w:pPr>
      <w:r>
        <w:rPr>
          <w:i/>
        </w:rPr>
        <w:t xml:space="preserve">A reminder before the dossiers: this is one grant, not fifty different ones. As the Supreme Court held in 1916, Congress used the same words for the same purpose in state after state, and they</w:t>
      </w:r>
      <w:r>
        <w:rPr>
          <w:i/>
        </w:rPr>
        <w:t xml:space="preserve"> </w:t>
      </w:r>
      <w:r>
        <w:rPr>
          <w:i/>
        </w:rPr>
        <w:t xml:space="preserve">“</w:t>
      </w:r>
      <w:r>
        <w:rPr>
          <w:i/>
        </w:rPr>
        <w:t xml:space="preserve">did not have one meaning in one grant and a different meaning in another.</w:t>
      </w:r>
      <w:r>
        <w:rPr>
          <w:i/>
        </w:rPr>
        <w:t xml:space="preserve">”</w:t>
      </w:r>
      <w:r>
        <w:rPr>
          <w:i/>
        </w:rPr>
        <w:t xml:space="preserve"> </w:t>
      </w:r>
      <w:r>
        <w:rPr>
          <w:i/>
        </w:rPr>
        <w:t xml:space="preserve">Read each state below as a variation on a single promise — kept, broken, or both.</w:t>
      </w:r>
    </w:p>
    <w:p>
      <w:r>
        <w:br w:type="page"/>
      </w:r>
    </w:p>
    <w:p>
      <w:pPr>
        <w:pStyle w:val="Heading1"/>
      </w:pPr>
      <w:bookmarkStart w:id="64" w:name="part-two-the-granted-states-a-to-z"/>
      <w:r>
        <w:t xml:space="preserve">PART TWO — The Granted States, A to Z</w:t>
      </w:r>
      <w:bookmarkEnd w:id="64"/>
    </w:p>
    <w:p>
      <w:pPr>
        <w:pStyle w:val="FirstParagraph"/>
      </w:pPr>
      <w:r>
        <w:rPr>
          <w:i/>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PullQuote"/>
      </w:pPr>
      <w:r>
        <w:t xml:space="preserve">“</w:t>
      </w:r>
      <w:r>
        <w:t xml:space="preserve">It has been the cherished policy of the government</w:t>
      </w:r>
      <w:r>
        <w:rPr>
          <w:vertAlign w:val="superscript"/>
        </w:rPr>
        <w:t xml:space="preserve">1</w:t>
      </w:r>
      <w:r>
        <w:t xml:space="preserve"> </w:t>
      </w:r>
      <w:r>
        <w:t xml:space="preserve">of the United States to promote the establishment and progress of common schools, and to reserve for their endowment the sixteenth section in each township of the public lands.</w:t>
      </w:r>
      <w:r>
        <w:t xml:space="preserve">”</w:t>
      </w:r>
      <w:r>
        <w:t xml:space="preserve"> </w:t>
      </w:r>
      <w:r>
        <w:t xml:space="preserve">—</w:t>
      </w:r>
      <w:r>
        <w:t xml:space="preserve"> </w:t>
      </w:r>
      <w:r>
        <w:rPr>
          <w:i/>
        </w:rPr>
        <w:t xml:space="preserve">Cooper v. Roberts</w:t>
      </w:r>
      <w:r>
        <w:t xml:space="preserve">, 59 U.S. (18 How.) 173, 178 (1855)</w:t>
      </w:r>
    </w:p>
    <w:p>
      <w:pPr>
        <w:pStyle w:val="BodyText"/>
      </w:pPr>
      <w:r>
        <w:rPr>
          <w:i/>
        </w:rPr>
        <w:t xml:space="preserve">Each of the thirty-three states that received the federal school-land grant, in the same six-part form: the ledger line, a telling fact, the story, and the lesson it leaves. The verdict is in the title; the arc is in the entry.</w:t>
      </w:r>
    </w:p>
    <w:p>
      <w:r>
        <w:br w:type="page"/>
      </w:r>
    </w:p>
    <w:p>
      <w:pPr>
        <w:pStyle w:val="Heading2"/>
      </w:pPr>
      <w:bookmarkStart w:id="65" w:name="Xb16fcdc8c5a6f53e79c670a141aec405accb04d"/>
      <w:r>
        <w:t xml:space="preserve">Alabama — The Bank That Ate the Schoolhouse</w:t>
      </w:r>
      <w:bookmarkEnd w:id="65"/>
    </w:p>
    <w:p>
      <w:pPr>
        <w:pStyle w:val="FirstParagraph"/>
      </w:pPr>
      <w:r>
        <w:rPr>
          <w:i/>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rPr>
        <w:t xml:space="preserve">The Story.</w:t>
      </w:r>
      <w:r>
        <w:t xml:space="preserve"> </w:t>
      </w:r>
      <w:r>
        <w:t xml:space="preserve">Alabama walked through a door that had already been opened twice — for Ohio in 1802, for Mississippi in 1817 — and the frame was thin every time. The 1819 grant handed over Section 16 of each township</w:t>
      </w:r>
      <w:r>
        <w:t xml:space="preserve"> </w:t>
      </w:r>
      <w:r>
        <w:t xml:space="preserve">“</w:t>
      </w:r>
      <w:r>
        <w:t xml:space="preserve">for the use of schools,</w:t>
      </w:r>
      <w:r>
        <w:t xml:space="preserve">”</w:t>
      </w:r>
      <w:r>
        <w:t xml:space="preserve"> </w:t>
      </w:r>
      <w:r>
        <w:t xml:space="preserve">with no trust language, no enforcement officer, and no rule that the money be kept whole. Then Alabama did something worse than neglect. In 1827 Congress let the state sell its school sections, and Alabama poured the proceeds into the State Bank of Alabama — using the children’s money as ordinary lending capital for the state’s general finances. The bank failed in 1843. Later federal findings put the loss at $1.3 million in school-land proceeds plus over $300,000 in university money, gone in a single collapse. Worse still, the federal Surplus Distribution Act of 1836 had deposited $669,086.78 with Alabama, a sum the state likewise routed through the same bank — so it too was swept away in the 1843 failure. The state papered over the hole with certificates and interest promises, but those too went untraceable. Reform tried and failed: Judge Benjamin Porter’s bill to rebuild a permanent fund died in the legislature. Then the federal floor itself cracked. In</w:t>
      </w:r>
      <w:r>
        <w:t xml:space="preserve"> </w:t>
      </w:r>
      <w:r>
        <w:rPr>
          <w:i/>
        </w:rPr>
        <w:t xml:space="preserve">Alabama v. Schmidt</w:t>
      </w:r>
      <w:r>
        <w:t xml:space="preserve"> </w:t>
      </w:r>
      <w:r>
        <w:t xml:space="preserve">(1914), Justice Holmes ruled that the school-use promise was an</w:t>
      </w:r>
      <w:r>
        <w:t xml:space="preserve"> </w:t>
      </w:r>
      <w:r>
        <w:t xml:space="preserve">“</w:t>
      </w:r>
      <w:r>
        <w:t xml:space="preserve">honorary obligation</w:t>
      </w:r>
      <w:r>
        <w:t xml:space="preserve">”</w:t>
      </w:r>
      <w:r>
        <w:t xml:space="preserve"> </w:t>
      </w:r>
      <w:r>
        <w:t xml:space="preserve">— not federally enforceable — which freed Alabama’s ordinary adverse-possession statutes to run against school land one twenty-year occupation at a time. The 1956 Amendment 111, adopted in the massive-resistance era, quietly broadened where school-fund income could go. The statutes still say the lands are</w:t>
      </w:r>
      <w:r>
        <w:t xml:space="preserve"> </w:t>
      </w:r>
      <w:r>
        <w:t xml:space="preserve">“</w:t>
      </w:r>
      <w:r>
        <w:t xml:space="preserve">vested in the State in trust.</w:t>
      </w:r>
      <w:r>
        <w:t xml:space="preserve">”</w:t>
      </w:r>
      <w:r>
        <w:t xml:space="preserve"> </w:t>
      </w:r>
      <w:r>
        <w:t xml:space="preserve">What survives in proportion to those words is the paperwork, not the corpus.</w:t>
      </w:r>
    </w:p>
    <w:p>
      <w:pPr>
        <w:pStyle w:val="BodyText"/>
      </w:pPr>
      <w:r>
        <w:rPr>
          <w:b/>
        </w:rPr>
        <w:t xml:space="preserve">Then→now:</w:t>
      </w:r>
      <w:r>
        <w:t xml:space="preserve"> </w:t>
      </w:r>
      <w:r>
        <w:t xml:space="preserve">A grant of roughly 903,000 acres → a residual sixteenth-section fund that is a rounding error against a billions-dollar K-12 budget.</w:t>
      </w:r>
    </w:p>
    <w:p>
      <w:pPr>
        <w:pStyle w:val="BodyText"/>
      </w:pPr>
      <w:r>
        <w:rPr>
          <w:b/>
        </w:rPr>
        <w:t xml:space="preserve">Lesson:</w:t>
      </w:r>
      <w:r>
        <w:t xml:space="preserve"> </w:t>
      </w:r>
      <w:r>
        <w:t xml:space="preserve">A trust whose proceeds become bank capital is a trust betting the children’s future on the state’s balance sheet — and the bank can fail. (See Ch. 4,</w:t>
      </w:r>
      <w:r>
        <w:t xml:space="preserve"> </w:t>
      </w:r>
      <w:r>
        <w:t xml:space="preserve">“</w:t>
      </w:r>
      <w:r>
        <w:t xml:space="preserve">Directed seizure</w:t>
      </w:r>
      <w:r>
        <w:t xml:space="preserve">”</w:t>
      </w:r>
      <w:r>
        <w:t xml:space="preserve"> </w:t>
      </w:r>
      <w:r>
        <w:t xml:space="preserve">and</w:t>
      </w:r>
      <w:r>
        <w:t xml:space="preserve"> </w:t>
      </w:r>
      <w:r>
        <w:t xml:space="preserve">“</w:t>
      </w:r>
      <w:r>
        <w:t xml:space="preserve">Fire-sale dissipation.</w:t>
      </w:r>
      <w:r>
        <w:t xml:space="preserve">”</w:t>
      </w:r>
      <w:r>
        <w:t xml:space="preserve">)</w:t>
      </w:r>
    </w:p>
    <w:p>
      <w:pPr>
        <w:pStyle w:val="BodyText"/>
      </w:pPr>
      <w:r>
        <w:rPr>
          <w:i/>
        </w:rPr>
        <w:t xml:space="preserve">Sources/notes:</w:t>
      </w:r>
      <w:r>
        <w:t xml:space="preserve"> </w:t>
      </w:r>
      <w:r>
        <w:t xml:space="preserve">1819 Enabling Act sec. 6, 3 Stat. 489;</w:t>
      </w:r>
      <w:r>
        <w:t xml:space="preserve"> </w:t>
      </w:r>
      <w:r>
        <w:rPr>
          <w:i/>
        </w:rPr>
        <w:t xml:space="preserve">Alabama v. Schmidt</w:t>
      </w:r>
      <w:r>
        <w:t xml:space="preserve">, 232 U.S. 168 (1914); Weeks,</w:t>
      </w:r>
      <w:r>
        <w:t xml:space="preserve"> </w:t>
      </w:r>
      <w:r>
        <w:rPr>
          <w:i/>
        </w:rPr>
        <w:t xml:space="preserve">History of Public School Education in Alabama</w:t>
      </w:r>
      <w:r>
        <w:t xml:space="preserve"> </w:t>
      </w:r>
      <w:r>
        <w:t xml:space="preserve">(1915), on the bank collapse and the 1869 Reynolds audit;</w:t>
      </w:r>
      <w:r>
        <w:t xml:space="preserve"> </w:t>
      </w:r>
      <w:r>
        <w:rPr>
          <w:i/>
        </w:rPr>
        <w:t xml:space="preserve">Knight v. Alabama</w:t>
      </w:r>
      <w:r>
        <w:t xml:space="preserve">, 458 F. Supp. 2d 1273 (N.D. Ala. 2004) (loss figures). The $669,086.78 1836 federal surplus deposit, lost in the 1843 bank collapse, is the verified figure added per the consolidated verification sweep. Residual corpus remains to be pinned against State Lands Division / Dept. of Education records.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l_bad729d0bd1b_1200x_q90.jpg" id="0" name="Picture"/>
                    <pic:cNvPicPr>
                      <a:picLocks noChangeArrowheads="1" noChangeAspect="1"/>
                    </pic:cNvPicPr>
                  </pic:nvPicPr>
                  <pic:blipFill>
                    <a:blip r:embed="rId66"/>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schooltrusts.net/reading/us-al, for current figures, recent developments, and sources.</w:t>
      </w:r>
    </w:p>
    <w:p>
      <w:r>
        <w:br w:type="page"/>
      </w:r>
    </w:p>
    <w:p>
      <w:pPr>
        <w:pStyle w:val="Heading2"/>
      </w:pPr>
      <w:bookmarkStart w:id="67" w:name="alaska-the-state-that-opted-out"/>
      <w:r>
        <w:t xml:space="preserve">Alaska — The State That Opted Out</w:t>
      </w:r>
      <w:bookmarkEnd w:id="67"/>
    </w:p>
    <w:p>
      <w:pPr>
        <w:pStyle w:val="FirstParagraph"/>
      </w:pPr>
      <w:r>
        <w:rPr>
          <w:i/>
        </w:rPr>
        <w:t xml:space="preserve">Admitted Jan. 3, 1959 · Grant: no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a trust with no federal land (and chose a constitution hostile to dedicated funds).</w:t>
      </w:r>
    </w:p>
    <w:p>
      <w:pPr>
        <w:pStyle w:val="BodyText"/>
      </w:pPr>
      <w:r>
        <w:rPr>
          <w:b/>
        </w:rPr>
        <w:t xml:space="preserve">Telling fact:</w:t>
      </w:r>
      <w:r>
        <w:t xml:space="preserve"> </w:t>
      </w:r>
      <w:r>
        <w:t xml:space="preserve">When Congress wanted to write fiduciary trust language in 1958, it knew exactly how — it did so for Alaska’s Mental Health Trust in the very same Statehood Act — and for the 102-million-acre school-and-development block, it pointedly chose not to.</w:t>
      </w:r>
    </w:p>
    <w:p>
      <w:pPr>
        <w:pStyle w:val="BodyText"/>
      </w:pPr>
      <w:r>
        <w:rPr>
          <w:b/>
        </w:rPr>
        <w:t xml:space="preserve">The Story.</w:t>
      </w:r>
      <w:r>
        <w:t xml:space="preserve"> </w:t>
      </w:r>
      <w:r>
        <w:t xml:space="preserve">Every other state in this book entered under some version of the section-grant template. Alaska refused the template, and so did the people who drafted its constitution. The 1958 Statehood Act gave the new state the largest single land grant in American history — over 102 million acres — but it was a general-purposes conveyance: no</w:t>
      </w:r>
      <w:r>
        <w:t xml:space="preserve"> </w:t>
      </w:r>
      <w:r>
        <w:t xml:space="preserve">“</w:t>
      </w:r>
      <w:r>
        <w:t xml:space="preserve">in trust,</w:t>
      </w:r>
      <w:r>
        <w:t xml:space="preserve">”</w:t>
      </w:r>
      <w:r>
        <w:t xml:space="preserve"> </w:t>
      </w:r>
      <w:r>
        <w:t xml:space="preserve">no named schoolchild beneficiary, no price floor, no enforcement officer. The only real school-trust land Alaska owns traces to a modest 1915 territorial reservation of Sections 16 and 36 in the few surveyed townships. Then the framers went further. The 1956 constitution’s Dedicated Funds Clause (Article IX, §7) forbids setting any revenue aside for any particular fund or purpose except by constitutional amendment — the structural opposite of the section-16 states’</w:t>
      </w:r>
      <w:r>
        <w:t xml:space="preserve"> </w:t>
      </w:r>
      <w:r>
        <w:t xml:space="preserve">“</w:t>
      </w:r>
      <w:r>
        <w:t xml:space="preserve">irreducible fund</w:t>
      </w:r>
      <w:r>
        <w:t xml:space="preserve">”</w:t>
      </w:r>
      <w:r>
        <w:t xml:space="preserve"> </w:t>
      </w:r>
      <w:r>
        <w:t xml:space="preserve">rule. Alaska didn’t forget to build a school trust; it built a wall against trusts of every kind. The voters carved two famous exceptions: the Alaska Permanent Fund in 1976 (a much larger citizens’ fund ), whose dividend goes to every resident, not to schools; and the Budget Reserve in 1990. The courts have enforced the no-dedication rule even against the legislature’s own wishes — striking the Permanent Fund Dividend’s claim to protection in</w:t>
      </w:r>
      <w:r>
        <w:t xml:space="preserve"> </w:t>
      </w:r>
      <w:r>
        <w:rPr>
          <w:i/>
        </w:rPr>
        <w:t xml:space="preserve">Wielechowski</w:t>
      </w:r>
      <w:r>
        <w:t xml:space="preserve"> </w:t>
      </w:r>
      <w:r>
        <w:t xml:space="preserve">(2017) and</w:t>
      </w:r>
      <w:r>
        <w:t xml:space="preserve"> </w:t>
      </w:r>
      <w:r>
        <w:t xml:space="preserve">“</w:t>
      </w:r>
      <w:r>
        <w:t xml:space="preserve">forward funding</w:t>
      </w:r>
      <w:r>
        <w:t xml:space="preserve">”</w:t>
      </w:r>
      <w:r>
        <w:t xml:space="preserve"> </w:t>
      </w:r>
      <w:r>
        <w:t xml:space="preserve">of schools in</w:t>
      </w:r>
      <w:r>
        <w:t xml:space="preserve"> </w:t>
      </w:r>
      <w:r>
        <w:rPr>
          <w:i/>
        </w:rPr>
        <w:t xml:space="preserve">Dunleavy</w:t>
      </w:r>
      <w:r>
        <w:t xml:space="preserve"> </w:t>
      </w:r>
      <w:r>
        <w:t xml:space="preserve">(2022). The small surviving school trust has its own scar: in 1978 the state converted the school lands to a cash trust without ever valuing them, and in</w:t>
      </w:r>
      <w:r>
        <w:t xml:space="preserve"> </w:t>
      </w:r>
      <w:r>
        <w:rPr>
          <w:i/>
        </w:rPr>
        <w:t xml:space="preserve">Kasayulie</w:t>
      </w:r>
      <w:r>
        <w:t xml:space="preserve"> </w:t>
      </w:r>
      <w:r>
        <w:t xml:space="preserve">(1999) a superior court found that a breach.</w:t>
      </w:r>
    </w:p>
    <w:p>
      <w:pPr>
        <w:pStyle w:val="BodyText"/>
      </w:pPr>
      <w:r>
        <w:rPr>
          <w:b/>
        </w:rPr>
        <w:t xml:space="preserve">Lesson:</w:t>
      </w:r>
      <w:r>
        <w:t xml:space="preserve"> </w:t>
      </w:r>
      <w:r>
        <w:t xml:space="preserve">A state can decline the trust paradigm honestly and on purpose — but then schoolchildren depend entirely on each year’s appropriation, with no corpus standing guard. (See Ch. 6,</w:t>
      </w:r>
      <w:r>
        <w:t xml:space="preserve"> </w:t>
      </w:r>
      <w:r>
        <w:t xml:space="preserve">“</w:t>
      </w:r>
      <w:r>
        <w:t xml:space="preserve">The road not taken.</w:t>
      </w:r>
      <w:r>
        <w:t xml:space="preserve">”</w:t>
      </w:r>
      <w:r>
        <w:t xml:space="preserve">)</w:t>
      </w:r>
    </w:p>
    <w:p>
      <w:pPr>
        <w:pStyle w:val="BodyText"/>
      </w:pPr>
      <w:r>
        <w:rPr>
          <w:i/>
        </w:rPr>
        <w:t xml:space="preserve">Sources/notes:</w:t>
      </w:r>
      <w:r>
        <w:t xml:space="preserve"> </w:t>
      </w:r>
      <w:r>
        <w:t xml:space="preserve">Alaska Statehood Act §6, 72 Stat. 339; Act of Mar. 4, 1915, 38 Stat. 1214; Alaska Const. art. VII §1, art. VIII, art. IX §§7, 15, 17;</w:t>
      </w:r>
      <w:r>
        <w:t xml:space="preserve"> </w:t>
      </w:r>
      <w:r>
        <w:rPr>
          <w:i/>
        </w:rPr>
        <w:t xml:space="preserve">Wielechowski v. State</w:t>
      </w:r>
      <w:r>
        <w:t xml:space="preserve">, 403 P.3d 1141 (2017);</w:t>
      </w:r>
      <w:r>
        <w:t xml:space="preserve"> </w:t>
      </w:r>
      <w:r>
        <w:rPr>
          <w:i/>
        </w:rPr>
        <w:t xml:space="preserve">Dunleavy v. Alaska Legislative Council</w:t>
      </w:r>
      <w:r>
        <w:t xml:space="preserve">, 515 P.3d 117 (2022);</w:t>
      </w:r>
      <w:r>
        <w:t xml:space="preserve"> </w:t>
      </w:r>
      <w:r>
        <w:rPr>
          <w:i/>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k_6a179a6215da_1200x_q90.jpg" id="0" name="Picture"/>
                    <pic:cNvPicPr>
                      <a:picLocks noChangeArrowheads="1" noChangeAspect="1"/>
                    </pic:cNvPicPr>
                  </pic:nvPicPr>
                  <pic:blipFill>
                    <a:blip r:embed="rId68"/>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schooltrusts.net/reading/us-ak, for current figures, recent developments, and sources.</w:t>
      </w:r>
    </w:p>
    <w:p>
      <w:r>
        <w:br w:type="page"/>
      </w:r>
    </w:p>
    <w:p>
      <w:pPr>
        <w:pStyle w:val="Heading2"/>
      </w:pPr>
      <w:bookmarkStart w:id="69" w:name="Xa3bfab9f14770571d43ae812c1ce919cb3afc3d"/>
      <w:r>
        <w:t xml:space="preserve">Arizona — The Strongest Words, the Softer Hand</w:t>
      </w:r>
      <w:bookmarkEnd w:id="69"/>
    </w:p>
    <w:p>
      <w:pPr>
        <w:pStyle w:val="FirstParagraph"/>
      </w:pPr>
      <w:r>
        <w:rPr>
          <w:i/>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(on the federal text) — but left money on the table.</w:t>
      </w:r>
    </w:p>
    <w:p>
      <w:pPr>
        <w:pStyle w:val="BodyText"/>
      </w:pPr>
      <w:r>
        <w:rPr>
          <w:b/>
        </w:rPr>
        <w:t xml:space="preserve">Telling fact:</w:t>
      </w:r>
      <w:r>
        <w:t xml:space="preserve"> </w:t>
      </w:r>
      <w:r>
        <w:t xml:space="preserve">Arizona and New Mexico hold their school lands under the exact same statute, word for word — and a century later New Mexico’s fund is around $30 billion while Arizona’s is roughly a third of that.</w:t>
      </w:r>
    </w:p>
    <w:p>
      <w:pPr>
        <w:pStyle w:val="BodyText"/>
      </w:pPr>
      <w:r>
        <w:rPr>
          <w:b/>
        </w:rPr>
        <w:t xml:space="preserve">The Story.</w:t>
      </w:r>
      <w:r>
        <w:t xml:space="preserve"> </w:t>
      </w:r>
      <w:r>
        <w:t xml:space="preserve">Nowhere in America is the granting language harder than Arizona’s. The 1910 Enabling Act calls the lands</w:t>
      </w:r>
      <w:r>
        <w:t xml:space="preserve"> </w:t>
      </w:r>
      <w:r>
        <w:t xml:space="preserve">“</w:t>
      </w:r>
      <w:r>
        <w:t xml:space="preserve">in trust,</w:t>
      </w:r>
      <w:r>
        <w:t xml:space="preserve">”</w:t>
      </w:r>
      <w:r>
        <w:t xml:space="preserve"> </w:t>
      </w:r>
      <w:r>
        <w:t xml:space="preserve">brands any wrong disposition a</w:t>
      </w:r>
      <w:r>
        <w:t xml:space="preserve"> </w:t>
      </w:r>
      <w:r>
        <w:t xml:space="preserve">“</w:t>
      </w:r>
      <w:r>
        <w:t xml:space="preserve">breach of trust,</w:t>
      </w:r>
      <w:r>
        <w:t xml:space="preserve">”</w:t>
      </w:r>
      <w:r>
        <w:t xml:space="preserve"> </w:t>
      </w:r>
      <w:r>
        <w:t xml:space="preserve">voids non-conforming sales</w:t>
      </w:r>
      <w:r>
        <w:t xml:space="preserve"> </w:t>
      </w:r>
      <w:r>
        <w:t xml:space="preserve">“</w:t>
      </w:r>
      <w:r>
        <w:t xml:space="preserve">any provision of the constitution or laws of the said State to the contrary notwithstanding,</w:t>
      </w:r>
      <w:r>
        <w:t xml:space="preserve">”</w:t>
      </w:r>
      <w:r>
        <w:t xml:space="preserve"> </w:t>
      </w:r>
      <w:r>
        <w:t xml:space="preserve">and lets the U.S. Attorney General sue to enforce. Four teeth — express trust, breach label, automatic nullity, federal enforcement — and Arizona’s own constitution mirrors them. So why does Arizona trail its identical twin? The answer is the office that runs the trust. New Mexico’s land commissioner is elected and answers to voters; Arizona’s is appointed and answers to the governor. The incentives ran differently, and the corpus shows it. The federal language</w:t>
      </w:r>
      <w:r>
        <w:t xml:space="preserve"> </w:t>
      </w:r>
      <w:r>
        <w:rPr>
          <w:i/>
        </w:rPr>
        <w:t xml:space="preserve">does</w:t>
      </w:r>
      <w:r>
        <w:t xml:space="preserve"> </w:t>
      </w:r>
      <w:r>
        <w:t xml:space="preserve">bite when invoked: in</w:t>
      </w:r>
      <w:r>
        <w:t xml:space="preserve"> </w:t>
      </w:r>
      <w:r>
        <w:rPr>
          <w:i/>
        </w:rPr>
        <w:t xml:space="preserve">Lassen</w:t>
      </w:r>
      <w:r>
        <w:t xml:space="preserve"> </w:t>
      </w:r>
      <w:r>
        <w:t xml:space="preserve">(1967), the U.S. Supreme Court made Arizona pay the trust in real money for thousands of miles of highway easements it had been taking for free since 1929; in</w:t>
      </w:r>
      <w:r>
        <w:t xml:space="preserve"> </w:t>
      </w:r>
      <w:r>
        <w:rPr>
          <w:i/>
        </w:rPr>
        <w:t xml:space="preserve">Kadish</w:t>
      </w:r>
      <w:r>
        <w:t xml:space="preserve"> </w:t>
      </w:r>
      <w:r>
        <w:t xml:space="preserve">(1988), the courts struck a flat-rate mineral royalty and declared the state a</w:t>
      </w:r>
      <w:r>
        <w:t xml:space="preserve"> </w:t>
      </w:r>
      <w:r>
        <w:t xml:space="preserve">“</w:t>
      </w:r>
      <w:r>
        <w:t xml:space="preserve">trustee,</w:t>
      </w:r>
      <w:r>
        <w:t xml:space="preserve">”</w:t>
      </w:r>
      <w:r>
        <w:t xml:space="preserve"> </w:t>
      </w:r>
      <w:r>
        <w:t xml:space="preserve">not merely</w:t>
      </w:r>
      <w:r>
        <w:t xml:space="preserve"> </w:t>
      </w:r>
      <w:r>
        <w:t xml:space="preserve">“</w:t>
      </w:r>
      <w:r>
        <w:t xml:space="preserve">a good business manager.</w:t>
      </w:r>
      <w:r>
        <w:t xml:space="preserve">”</w:t>
      </w:r>
      <w:r>
        <w:t xml:space="preserve"> </w:t>
      </w:r>
      <w:r>
        <w:t xml:space="preserve">But the slow leaks went unfixed. A 1997 audit found grazing leases among the lowest in the West — 8.5 million acres earning about thirty cents an acre. A 2024 audit found the state had not adjusted some agricultural rents in seventeen years and had never charged the Saudi-owned firm Fondomonte for the groundwater it pumped to grow alfalfa for export — even though Arizona’s own law says groundwater under trust land is a</w:t>
      </w:r>
      <w:r>
        <w:t xml:space="preserve"> </w:t>
      </w:r>
      <w:r>
        <w:t xml:space="preserve">“</w:t>
      </w:r>
      <w:r>
        <w:t xml:space="preserve">product of the land.</w:t>
      </w:r>
      <w:r>
        <w:t xml:space="preserve">”</w:t>
      </w:r>
      <w:r>
        <w:t xml:space="preserve"> </w:t>
      </w:r>
      <w:r>
        <w:t xml:space="preserve">And in 2016, Proposition 123 raised the payout to 6.9% — drawing down principal to settle a school-funding suit, a tradeoff the trust instrument never authorized.</w:t>
      </w:r>
    </w:p>
    <w:p>
      <w:pPr>
        <w:pStyle w:val="BodyText"/>
      </w:pPr>
      <w:r>
        <w:rPr>
          <w:b/>
        </w:rPr>
        <w:t xml:space="preserve">Pull-quote:</w:t>
      </w:r>
      <w:r>
        <w:t xml:space="preserve"> </w:t>
      </w:r>
      <w:r>
        <w:rPr>
          <w:i/>
        </w:rPr>
        <w:t xml:space="preserve">“</w:t>
      </w:r>
      <w:r>
        <w:rPr>
          <w:i/>
        </w:rPr>
        <w:t xml:space="preserve">The state’s duties are those of a trustee, not those of a good business manager.</w:t>
      </w:r>
      <w:r>
        <w:rPr>
          <w:i/>
        </w:rPr>
        <w:t xml:space="preserve">”</w:t>
      </w:r>
      <w:r>
        <w:rPr>
          <w:i/>
        </w:rPr>
        <w:t xml:space="preserve"> </w:t>
      </w:r>
      <w:r>
        <w:rPr>
          <w:i/>
        </w:rPr>
        <w:t xml:space="preserve">— the rule distilled from</w:t>
      </w:r>
      <w:r>
        <w:t xml:space="preserve"> </w:t>
      </w:r>
      <w:r>
        <w:t xml:space="preserve">Kadish v. Arizona State Land Department</w:t>
      </w:r>
      <w:r>
        <w:t xml:space="preserve"> </w:t>
      </w:r>
      <w:r>
        <w:rPr>
          <w:i/>
        </w:rPr>
        <w:t xml:space="preserve">(1988)</w:t>
      </w:r>
    </w:p>
    <w:p>
      <w:pPr>
        <w:pStyle w:val="BodyText"/>
      </w:pPr>
      <w:r>
        <w:rPr>
          <w:b/>
        </w:rPr>
        <w:t xml:space="preserve">Lesson:</w:t>
      </w:r>
      <w:r>
        <w:t xml:space="preserve"> </w:t>
      </w:r>
      <w:r>
        <w:t xml:space="preserve">Maximal words on the page do not guarantee maximal results in the fund. Who the trustee answers to, and whether anyone prices the water, is what sets the ceiling. (See Ch. 5,</w:t>
      </w:r>
      <w:r>
        <w:t xml:space="preserve"> </w:t>
      </w:r>
      <w:r>
        <w:t xml:space="preserve">“</w:t>
      </w:r>
      <w:r>
        <w:t xml:space="preserve">Same floor, different ceiling,</w:t>
      </w:r>
      <w:r>
        <w:t xml:space="preserve">”</w:t>
      </w:r>
      <w:r>
        <w:t xml:space="preserve"> </w:t>
      </w:r>
      <w:r>
        <w:t xml:space="preserve">and Ch. 6.)</w:t>
      </w:r>
    </w:p>
    <w:p>
      <w:pPr>
        <w:pStyle w:val="BodyText"/>
      </w:pPr>
      <w:r>
        <w:rPr>
          <w:i/>
        </w:rPr>
        <w:t xml:space="preserve">Sources/notes:</w:t>
      </w:r>
      <w:r>
        <w:t xml:space="preserve"> </w:t>
      </w:r>
      <w:r>
        <w:t xml:space="preserve">New Mexico-Arizona Enabling Act of June 20, 1910, §28, 36 Stat. 574–75;</w:t>
      </w:r>
      <w:r>
        <w:t xml:space="preserve"> </w:t>
      </w:r>
      <w:r>
        <w:rPr>
          <w:i/>
        </w:rPr>
        <w:t xml:space="preserve">Lassen v. Arizona</w:t>
      </w:r>
      <w:r>
        <w:t xml:space="preserve">, 385 U.S. 458 (1967);</w:t>
      </w:r>
      <w:r>
        <w:t xml:space="preserve"> </w:t>
      </w:r>
      <w:r>
        <w:rPr>
          <w:i/>
        </w:rPr>
        <w:t xml:space="preserve">ASARCO Inc. v. Kadish</w:t>
      </w:r>
      <w:r>
        <w:t xml:space="preserve">, 490 U.S. 605 (1989); 2024 Auditor General Fondomonte audit; Prop 123 (2016, drew down principal). PLETF ~$8.8B is [AS OF June 2024] per State Treasurer; New Mexico comparator is about $32.6B [AS OF Oct. 31, 2024] per the NM State Investment Council verification packet. Fondomonte groundwater is the live</w:t>
      </w:r>
      <w:r>
        <w:t xml:space="preserve"> </w:t>
      </w:r>
      <w:r>
        <w:t xml:space="preserve">“</w:t>
      </w:r>
      <w:r>
        <w:t xml:space="preserve">natural products</w:t>
      </w:r>
      <w:r>
        <w:t xml:space="preserve">”</w:t>
      </w:r>
      <w:r>
        <w:t xml:space="preserve"> </w:t>
      </w:r>
      <w:r>
        <w:t xml:space="preserve">breach question; Lassen (true-value compensation for highway easements) is the doctrinal anchor.</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z_20d70c38ad0a_1200x_q90.jpg" id="0" name="Picture"/>
                    <pic:cNvPicPr>
                      <a:picLocks noChangeArrowheads="1" noChangeAspect="1"/>
                    </pic:cNvPicPr>
                  </pic:nvPicPr>
                  <pic:blipFill>
                    <a:blip r:embed="rId70"/>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schooltrusts.net/reading/us-az, for current figures, recent developments, and sources.</w:t>
      </w:r>
    </w:p>
    <w:p>
      <w:r>
        <w:br w:type="page"/>
      </w:r>
    </w:p>
    <w:p>
      <w:pPr>
        <w:pStyle w:val="Heading2"/>
      </w:pPr>
      <w:bookmarkStart w:id="71" w:name="X874e082d843603f4125cd8c9eebe92a0b66a682"/>
      <w:r>
        <w:t xml:space="preserve">Arkansas — The Endowment That Was Gone Before Anyone Looked</w:t>
      </w:r>
      <w:bookmarkEnd w:id="71"/>
    </w:p>
    <w:p>
      <w:pPr>
        <w:pStyle w:val="FirstParagraph"/>
      </w:pPr>
      <w:r>
        <w:rPr>
          <w:i/>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whole file as an archival matter rather than a living trust.</w:t>
      </w:r>
    </w:p>
    <w:p>
      <w:pPr>
        <w:pStyle w:val="BodyText"/>
      </w:pPr>
      <w:r>
        <w:rPr>
          <w:b/>
        </w:rPr>
        <w:t xml:space="preserve">The Story.</w:t>
      </w:r>
      <w:r>
        <w:t xml:space="preserve"> </w:t>
      </w:r>
      <w:r>
        <w:t xml:space="preserve">Arkansas is the leanest school-trust story in the country, and the loss here is not a dramatic theft but a slow disappearance. The 1836 grant was the bare single-section template — Section 16</w:t>
      </w:r>
      <w:r>
        <w:t xml:space="preserve"> </w:t>
      </w:r>
      <w:r>
        <w:t xml:space="preserve">“</w:t>
      </w:r>
      <w:r>
        <w:t xml:space="preserve">for the use of schools,</w:t>
      </w:r>
      <w:r>
        <w:t xml:space="preserve">”</w:t>
      </w:r>
      <w:r>
        <w:t xml:space="preserve"> </w:t>
      </w:r>
      <w:r>
        <w:t xml:space="preserve">with no</w:t>
      </w:r>
      <w:r>
        <w:t xml:space="preserve"> </w:t>
      </w:r>
      <w:r>
        <w:t xml:space="preserve">“</w:t>
      </w:r>
      <w:r>
        <w:t xml:space="preserve">in trust</w:t>
      </w:r>
      <w:r>
        <w:t xml:space="preserve">”</w:t>
      </w:r>
      <w:r>
        <w:t xml:space="preserve"> </w:t>
      </w:r>
      <w:r>
        <w:t xml:space="preserve">language, no restoration clause, no federal enforcer. Whatever fiduciary weight it carried came entirely from later court doctrine, chiefly</w:t>
      </w:r>
      <w:r>
        <w:t xml:space="preserve"> </w:t>
      </w:r>
      <w:r>
        <w:rPr>
          <w:i/>
        </w:rPr>
        <w:t xml:space="preserve">Cooper v. Roberts</w:t>
      </w:r>
      <w:r>
        <w:t xml:space="preserve"> </w:t>
      </w:r>
      <w:r>
        <w:t xml:space="preserve">(1855). Then the 1843 federal sale authority converted the reserved land into sale proceeds, pushing the trust off the visible map and into the hard-to-track ledgers of township-level administration. There was no Arkansas equivalent of Oregon’s elected land board to stand guard; fiduciary discipline depended entirely on how strictly the state supreme court would read Article 14, §2’s anti-diversion rule — and the court read it functionally, not strictly. Under the</w:t>
      </w:r>
      <w:r>
        <w:t xml:space="preserve"> </w:t>
      </w:r>
      <w:r>
        <w:rPr>
          <w:i/>
        </w:rPr>
        <w:t xml:space="preserve">Rainwater</w:t>
      </w:r>
      <w:r>
        <w:t xml:space="preserve"> </w:t>
      </w:r>
      <w:r>
        <w:t xml:space="preserve">benefit test, school money could be spent on anything that</w:t>
      </w:r>
      <w:r>
        <w:t xml:space="preserve"> </w:t>
      </w:r>
      <w:r>
        <w:t xml:space="preserve">“</w:t>
      </w:r>
      <w:r>
        <w:t xml:space="preserve">benefited</w:t>
      </w:r>
      <w:r>
        <w:t xml:space="preserve">”</w:t>
      </w:r>
      <w:r>
        <w:t xml:space="preserve"> </w:t>
      </w:r>
      <w:r>
        <w:t xml:space="preserve">schools. By the time Arkansas’s modern education-finance doctrine matured in the</w:t>
      </w:r>
      <w:r>
        <w:t xml:space="preserve"> </w:t>
      </w:r>
      <w:r>
        <w:rPr>
          <w:i/>
        </w:rPr>
        <w:t xml:space="preserve">DuPree</w:t>
      </w:r>
      <w:r>
        <w:t xml:space="preserve"> </w:t>
      </w:r>
      <w:r>
        <w:t xml:space="preserve">(1983) and</w:t>
      </w:r>
      <w:r>
        <w:t xml:space="preserve"> </w:t>
      </w:r>
      <w:r>
        <w:rPr>
          <w:i/>
        </w:rPr>
        <w:t xml:space="preserve">Lake View</w:t>
      </w:r>
      <w:r>
        <w:t xml:space="preserve"> </w:t>
      </w:r>
      <w:r>
        <w:t xml:space="preserve">(2002) line, the question being litigated was no longer the integrity of a trust corpus — it was whether the legislature funded the schools enough out of general revenue.</w:t>
      </w:r>
      <w:r>
        <w:t xml:space="preserve"> </w:t>
      </w:r>
      <w:r>
        <w:rPr>
          <w:i/>
        </w:rPr>
        <w:t xml:space="preserve">Lake View</w:t>
      </w:r>
      <w:r>
        <w:t xml:space="preserve"> </w:t>
      </w:r>
      <w:r>
        <w:t xml:space="preserve">won a landmark adequacy ruling and years of court supervision, but it could not rebuild an endowment that had been gone for over a century. The newest fight, the 2024 LEARNS Act voucher challenge, tests whether §2 reaches public-school dollars routed through private hands at all.</w:t>
      </w:r>
    </w:p>
    <w:p>
      <w:pPr>
        <w:pStyle w:val="BodyText"/>
      </w:pPr>
      <w:r>
        <w:rPr>
          <w:b/>
        </w:rPr>
        <w:t xml:space="preserve">Lesson:</w:t>
      </w:r>
      <w:r>
        <w:t xml:space="preserve"> </w:t>
      </w:r>
      <w:r>
        <w:t xml:space="preserve">Weak federal architecture plus weak state architecture produces predictable loss — and it happens too early and too quietly to ever become a scandal anyone fights over. (See Ch. 4,</w:t>
      </w:r>
      <w:r>
        <w:t xml:space="preserve"> </w:t>
      </w:r>
      <w:r>
        <w:t xml:space="preserve">“</w:t>
      </w:r>
      <w:r>
        <w:t xml:space="preserve">Drift.</w:t>
      </w:r>
      <w:r>
        <w:t xml:space="preserve">”</w:t>
      </w:r>
      <w:r>
        <w:t xml:space="preserve">)</w:t>
      </w:r>
    </w:p>
    <w:p>
      <w:pPr>
        <w:pStyle w:val="BodyText"/>
      </w:pPr>
      <w:r>
        <w:rPr>
          <w:i/>
        </w:rPr>
        <w:t xml:space="preserve">Sources/notes:</w:t>
      </w:r>
      <w:r>
        <w:t xml:space="preserve"> </w:t>
      </w:r>
      <w:r>
        <w:t xml:space="preserve">Act of June 23, 1836, 5 Stat. 58 (school-land propositions);</w:t>
      </w:r>
      <w:r>
        <w:t xml:space="preserve"> </w:t>
      </w:r>
      <w:r>
        <w:rPr>
          <w:i/>
        </w:rPr>
        <w:t xml:space="preserve">Cooper v. Roberts</w:t>
      </w:r>
      <w:r>
        <w:t xml:space="preserve">, 59 U.S. 173 (1855); Ark. Const. art. 14 secs. 1-2;</w:t>
      </w:r>
      <w:r>
        <w:t xml:space="preserve"> </w:t>
      </w:r>
      <w:r>
        <w:rPr>
          <w:i/>
        </w:rPr>
        <w:t xml:space="preserve">Rainwater v. Haynes</w:t>
      </w:r>
      <w:r>
        <w:t xml:space="preserve"> </w:t>
      </w:r>
      <w:r>
        <w:t xml:space="preserve">(1968);</w:t>
      </w:r>
      <w:r>
        <w:t xml:space="preserve"> </w:t>
      </w:r>
      <w:r>
        <w:rPr>
          <w:i/>
        </w:rPr>
        <w:t xml:space="preserve">DuPree</w:t>
      </w:r>
      <w:r>
        <w:t xml:space="preserve"> </w:t>
      </w:r>
      <w:r>
        <w:t xml:space="preserve">(1983);</w:t>
      </w:r>
      <w:r>
        <w:t xml:space="preserve"> </w:t>
      </w:r>
      <w:r>
        <w:rPr>
          <w:i/>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ar_9f458beeb522_1200x_q90.jpg" id="0" name="Picture"/>
                    <pic:cNvPicPr>
                      <a:picLocks noChangeArrowheads="1" noChangeAspect="1"/>
                    </pic:cNvPicPr>
                  </pic:nvPicPr>
                  <pic:blipFill>
                    <a:blip r:embed="rId72"/>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schooltrusts.net/reading/us-ar, for current figures, recent developments, and sources.</w:t>
      </w:r>
    </w:p>
    <w:p>
      <w:r>
        <w:br w:type="page"/>
      </w:r>
    </w:p>
    <w:p>
      <w:pPr>
        <w:pStyle w:val="Heading2"/>
      </w:pPr>
      <w:bookmarkStart w:id="73" w:name="Xadd67f5d427fd97956b466aa79773883a9a6772"/>
      <w:r>
        <w:t xml:space="preserve">California — The Grant That Arrived, the Trust That Never Did</w:t>
      </w:r>
      <w:bookmarkEnd w:id="73"/>
    </w:p>
    <w:p>
      <w:pPr>
        <w:pStyle w:val="FirstParagraph"/>
      </w:pPr>
      <w:r>
        <w:rPr>
          <w:i/>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rPr>
        <w:t xml:space="preserve">The Story.</w:t>
      </w:r>
      <w:r>
        <w:t xml:space="preserve"> </w:t>
      </w:r>
      <w:r>
        <w:t xml:space="preserve">If Oregon is the case of strong architecture menaced, California is the case of architecture never installed. The state got its doubled-section grant — conferred not by the 1850 Admission Act but by the 1853 survey act (§7 of which supplied the indemnity, or</w:t>
      </w:r>
      <w:r>
        <w:t xml:space="preserve"> </w:t>
      </w:r>
      <w:r>
        <w:t xml:space="preserve">“</w:t>
      </w:r>
      <w:r>
        <w:t xml:space="preserve">lieu,</w:t>
      </w:r>
      <w:r>
        <w:t xml:space="preserve">”</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nothing left to protect. California tried to install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rPr>
        <w:t xml:space="preserve">Then→now:</w:t>
      </w:r>
      <w:r>
        <w:t xml:space="preserve"> </w:t>
      </w:r>
      <w:r>
        <w:t xml:space="preserve">A 5.5-million-acre grant in 1853 → roughly 459,000 fee acres and a fund too small to fight over.</w:t>
      </w:r>
    </w:p>
    <w:p>
      <w:pPr>
        <w:pStyle w:val="BodyText"/>
      </w:pPr>
      <w:r>
        <w:rPr>
          <w:b/>
        </w:rPr>
        <w:t xml:space="preserve">Lesson:</w:t>
      </w:r>
      <w:r>
        <w:t xml:space="preserve"> </w:t>
      </w:r>
      <w:r>
        <w:t xml:space="preserve">A trust corpus is not created by a federal grant; it is created by the discipline to hold the land and price it. Skip that, and the endowment never exists — no theft required. (See Ch. 4,</w:t>
      </w:r>
      <w:r>
        <w:t xml:space="preserve"> </w:t>
      </w:r>
      <w:r>
        <w:t xml:space="preserve">“</w:t>
      </w:r>
      <w:r>
        <w:t xml:space="preserve">Failure by omission.</w:t>
      </w:r>
      <w:r>
        <w:t xml:space="preserve">”</w:t>
      </w:r>
      <w:r>
        <w:t xml:space="preserve">)</w:t>
      </w:r>
    </w:p>
    <w:p>
      <w:pPr>
        <w:pStyle w:val="BodyText"/>
      </w:pPr>
      <w:r>
        <w:rPr>
          <w:i/>
        </w:rPr>
        <w:t xml:space="preserve">Sources/notes:</w:t>
      </w:r>
      <w:r>
        <w:t xml:space="preserve"> </w:t>
      </w:r>
      <w:r>
        <w:t xml:space="preserve">Act of Sept. 9, 1850, 9 Stat. 452 (admission, no grant); Act of Mar. 3, 1853, 10 Stat. 244, §§6–7 (the operative grant; the 1851/1853 indemnity point is already correct in the source — do not</w:t>
      </w:r>
      <w:r>
        <w:t xml:space="preserve"> </w:t>
      </w:r>
      <w:r>
        <w:t xml:space="preserve">“</w:t>
      </w:r>
      <w:r>
        <w:t xml:space="preserve">fix</w:t>
      </w:r>
      <w:r>
        <w:t xml:space="preserve">”</w:t>
      </w:r>
      <w:r>
        <w:t xml:space="preserve">); 1852 warrant system; Act of July 23, 1866, 14 Stat. 218; Cal. Pub. Res. Code §§8701 et seq. (1984); State Lands Commission FY 2024-25 Annual Report. Fund balance $65.7M and CalSTRS transfer $6.4M are [AS OF FY 2024-25]; Prop 98 ~$80B is [AS OF FY 2024-25]. Geothermal (Geysers) and downtown real estate per Margaret.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ca_87c83205390c_1200x_q90.jpg" id="0" name="Picture"/>
                    <pic:cNvPicPr>
                      <a:picLocks noChangeArrowheads="1" noChangeAspect="1"/>
                    </pic:cNvPicPr>
                  </pic:nvPicPr>
                  <pic:blipFill>
                    <a:blip r:embed="rId74"/>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schooltrusts.net/reading/us-ca, for current figures, recent developments, and sources.</w:t>
      </w:r>
    </w:p>
    <w:p>
      <w:r>
        <w:br w:type="page"/>
      </w:r>
    </w:p>
    <w:p>
      <w:pPr>
        <w:pStyle w:val="Heading2"/>
      </w:pPr>
      <w:bookmarkStart w:id="75" w:name="Xe68d47f0c9cbccca06c05b9c6b20ac54f6ea66d"/>
      <w:r>
        <w:t xml:space="preserve">Colorado — The State That Renegotiated Its Trust at the Ballot Box</w:t>
      </w:r>
      <w:bookmarkEnd w:id="75"/>
    </w:p>
    <w:p>
      <w:pPr>
        <w:pStyle w:val="FirstParagraph"/>
      </w:pPr>
      <w:r>
        <w:rPr>
          <w:i/>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rPr>
        <w:t xml:space="preserve">Telling fact:</w:t>
      </w:r>
      <w:r>
        <w:t xml:space="preserve"> </w:t>
      </w:r>
      <w:r>
        <w:t xml:space="preserve">Colorado is one of the only states that wrote the make-whole promise into its constitution —</w:t>
      </w:r>
      <w:r>
        <w:t xml:space="preserve"> </w:t>
      </w:r>
      <w:r>
        <w:t xml:space="preserve">“</w:t>
      </w:r>
      <w:r>
        <w:t xml:space="preserve">the state shall supply all losses thereof that may in any manner occur</w:t>
      </w:r>
      <w:r>
        <w:t xml:space="preserve">”</w:t>
      </w:r>
      <w:r>
        <w:t xml:space="preserve"> </w:t>
      </w:r>
      <w:r>
        <w:t xml:space="preserve">— and then, in 1996, rewrote the trustee itself by a margin of just 52,000 votes.</w:t>
      </w:r>
    </w:p>
    <w:p>
      <w:pPr>
        <w:pStyle w:val="BodyText"/>
      </w:pPr>
      <w:r>
        <w:rPr>
          <w:b/>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w:t>
      </w:r>
      <w:r>
        <w:t xml:space="preserve">maximum dollars</w:t>
      </w:r>
      <w:r>
        <w:t xml:space="preserve">”</w:t>
      </w:r>
      <w:r>
        <w:t xml:space="preserve"> </w:t>
      </w:r>
      <w:r>
        <w:t xml:space="preserve">mandate with a</w:t>
      </w:r>
      <w:r>
        <w:t xml:space="preserve"> </w:t>
      </w:r>
      <w:r>
        <w:t xml:space="preserve">“</w:t>
      </w:r>
      <w:r>
        <w:t xml:space="preserve">reasonable and consistent income over time</w:t>
      </w:r>
      <w:r>
        <w:t xml:space="preserve">”</w:t>
      </w:r>
      <w:r>
        <w:t xml:space="preserve"> </w:t>
      </w:r>
      <w:r>
        <w:t xml:space="preserve">stewardship standard, wrote</w:t>
      </w:r>
      <w:r>
        <w:t xml:space="preserve"> </w:t>
      </w:r>
      <w:r>
        <w:t xml:space="preserve">“</w:t>
      </w:r>
      <w:r>
        <w:t xml:space="preserve">trustee</w:t>
      </w:r>
      <w:r>
        <w:t xml:space="preserve">”</w:t>
      </w:r>
      <w:r>
        <w:t xml:space="preserve"> </w:t>
      </w:r>
      <w:r>
        <w:t xml:space="preserve">into the text, and created a 300,000-acre Stewardship Trust that keeps earning revenue while protecting natural values. The reform survived federal challenge in</w:t>
      </w:r>
      <w:r>
        <w:t xml:space="preserve"> </w:t>
      </w:r>
      <w:r>
        <w:rPr>
          <w:i/>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rPr>
        <w:t xml:space="preserve">Then→now:</w:t>
      </w:r>
      <w:r>
        <w:t xml:space="preserve"> </w:t>
      </w:r>
      <w:r>
        <w:t xml:space="preserve">A</w:t>
      </w:r>
      <w:r>
        <w:t xml:space="preserve"> </w:t>
      </w:r>
      <w:r>
        <w:t xml:space="preserve">“</w:t>
      </w:r>
      <w:r>
        <w:t xml:space="preserve">maximize every dollar</w:t>
      </w:r>
      <w:r>
        <w:t xml:space="preserve">”</w:t>
      </w:r>
      <w:r>
        <w:t xml:space="preserve"> </w:t>
      </w:r>
      <w:r>
        <w:t xml:space="preserve">mandate that drove fire-sales → a stewardship standard and a $1.85-billion fund grown on royalties.</w:t>
      </w:r>
    </w:p>
    <w:p>
      <w:pPr>
        <w:pStyle w:val="BodyText"/>
      </w:pPr>
      <w:r>
        <w:rPr>
          <w:b/>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w:t>
      </w:r>
      <w:r>
        <w:t xml:space="preserve">Kept and rebuilt.</w:t>
      </w:r>
      <w:r>
        <w:t xml:space="preserve">”</w:t>
      </w:r>
      <w:r>
        <w:t xml:space="preserve">)</w:t>
      </w:r>
    </w:p>
    <w:p>
      <w:pPr>
        <w:pStyle w:val="BodyText"/>
      </w:pPr>
      <w:r>
        <w:rPr>
          <w:i/>
        </w:rPr>
        <w:t xml:space="preserve">Sources/notes:</w:t>
      </w:r>
      <w:r>
        <w:t xml:space="preserve"> </w:t>
      </w:r>
      <w:r>
        <w:t xml:space="preserve">Colorado Enabling Act of 1875, 18 Stat. 474, §§7, 14; Colo. Const. art. IX §§3, 9; Amendment 16 (1996);</w:t>
      </w:r>
      <w:r>
        <w:t xml:space="preserve"> </w:t>
      </w:r>
      <w:r>
        <w:rPr>
          <w:i/>
        </w:rPr>
        <w:t xml:space="preserve">Branson Sch. Dist. RE-82 v. Romer</w:t>
      </w:r>
      <w:r>
        <w:t xml:space="preserve">, 161 F.3d 619 (10th Cir. 1998); FY 2024-25 Income and Inventory Report. Permanent Fund ~$1.85B is [AS OF June 30, 2025]. Per the verification sweep: Colorado has NOT fully</w:t>
      </w:r>
      <w:r>
        <w:t xml:space="preserve"> </w:t>
      </w:r>
      <w:r>
        <w:t xml:space="preserve">“</w:t>
      </w:r>
      <w:r>
        <w:t xml:space="preserve">restored</w:t>
      </w:r>
      <w:r>
        <w:t xml:space="preserve">”</w:t>
      </w:r>
      <w:r>
        <w:t xml:space="preserve"> </w:t>
      </w:r>
      <w:r>
        <w:t xml:space="preserve">— the legitimate concern is the BEST gross-income diversion, but the corpus grows on royalties; the</w:t>
      </w:r>
      <w:r>
        <w:t xml:space="preserve"> </w:t>
      </w:r>
      <w:r>
        <w:t xml:space="preserve">“</w:t>
      </w:r>
      <w:r>
        <w:t xml:space="preserve">spending the seed corn / has not restored its trust</w:t>
      </w:r>
      <w:r>
        <w:t xml:space="preserve">”</w:t>
      </w:r>
      <w:r>
        <w:t xml:space="preserve"> </w:t>
      </w:r>
      <w:r>
        <w:t xml:space="preserve">absolute framing is dropped as an overstatement.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co_e4228e570bc4_1200x_q90.jpg" id="0" name="Picture"/>
                    <pic:cNvPicPr>
                      <a:picLocks noChangeArrowheads="1" noChangeAspect="1"/>
                    </pic:cNvPicPr>
                  </pic:nvPicPr>
                  <pic:blipFill>
                    <a:blip r:embed="rId76"/>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schooltrusts.net/reading/us-co, for current figures, recent developments, and sources.</w:t>
      </w:r>
    </w:p>
    <w:p>
      <w:r>
        <w:br w:type="page"/>
      </w:r>
    </w:p>
    <w:p>
      <w:pPr>
        <w:pStyle w:val="Heading2"/>
      </w:pPr>
      <w:bookmarkStart w:id="77" w:name="X64674952db1d25f698a7f377c74ee6ca272d63b"/>
      <w:r>
        <w:t xml:space="preserve">Florida — The Strong Words That Would Not Bind</w:t>
      </w:r>
      <w:bookmarkEnd w:id="77"/>
    </w:p>
    <w:p>
      <w:pPr>
        <w:pStyle w:val="FirstParagraph"/>
      </w:pPr>
      <w:r>
        <w:rPr>
          <w:i/>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rPr>
        <w:t xml:space="preserve">The Story.</w:t>
      </w:r>
      <w:r>
        <w:t xml:space="preserve"> </w:t>
      </w:r>
      <w:r>
        <w:t xml:space="preserve">Florida’s school story is about strong words that did not bind. The constitution calls education a</w:t>
      </w:r>
      <w:r>
        <w:t xml:space="preserve"> </w:t>
      </w:r>
      <w:r>
        <w:t xml:space="preserve">“</w:t>
      </w:r>
      <w:r>
        <w:t xml:space="preserve">fundamental value</w:t>
      </w:r>
      <w:r>
        <w:t xml:space="preserve">”</w:t>
      </w:r>
      <w:r>
        <w:t xml:space="preserve"> </w:t>
      </w:r>
      <w:r>
        <w:t xml:space="preserve">and a</w:t>
      </w:r>
      <w:r>
        <w:t xml:space="preserve"> </w:t>
      </w:r>
      <w:r>
        <w:t xml:space="preserve">“</w:t>
      </w:r>
      <w:r>
        <w:t xml:space="preserve">paramount duty</w:t>
      </w:r>
      <w:r>
        <w:t xml:space="preserve">”</w:t>
      </w:r>
      <w:r>
        <w:t xml:space="preserve"> </w:t>
      </w:r>
      <w:r>
        <w:t xml:space="preserve">and demands a</w:t>
      </w:r>
      <w:r>
        <w:t xml:space="preserve"> </w:t>
      </w:r>
      <w:r>
        <w:t xml:space="preserve">“</w:t>
      </w:r>
      <w:r>
        <w:t xml:space="preserve">uniform, efficient, safe, secure, and high quality</w:t>
      </w:r>
      <w:r>
        <w:t xml:space="preserve">”</w:t>
      </w:r>
      <w:r>
        <w:t xml:space="preserve"> </w:t>
      </w:r>
      <w:r>
        <w:t xml:space="preserve">system — among the most muscular text in the country. And yet the lived doctrine is one of fiduciary language untethered from fiduciary outcomes. The 1845 grant was the lean single-section template, its trust character supplied only by</w:t>
      </w:r>
      <w:r>
        <w:t xml:space="preserve"> </w:t>
      </w:r>
      <w:r>
        <w:rPr>
          <w:i/>
        </w:rPr>
        <w:t xml:space="preserve">Cooper v. Roberts</w:t>
      </w:r>
      <w:r>
        <w:t xml:space="preserve"> </w:t>
      </w:r>
      <w:r>
        <w:t xml:space="preserve">(1855). For a while Florida looked disciplined: through the protective-era cases —</w:t>
      </w:r>
      <w:r>
        <w:t xml:space="preserve"> </w:t>
      </w:r>
      <w:r>
        <w:rPr>
          <w:i/>
        </w:rPr>
        <w:t xml:space="preserve">Hampton</w:t>
      </w:r>
      <w:r>
        <w:t xml:space="preserve"> </w:t>
      </w:r>
      <w:r>
        <w:t xml:space="preserve">(1925),</w:t>
      </w:r>
      <w:r>
        <w:t xml:space="preserve"> </w:t>
      </w:r>
      <w:r>
        <w:rPr>
          <w:i/>
        </w:rPr>
        <w:t xml:space="preserve">Crescent City</w:t>
      </w:r>
      <w:r>
        <w:t xml:space="preserve"> </w:t>
      </w:r>
      <w:r>
        <w:t xml:space="preserve">(1942),</w:t>
      </w:r>
      <w:r>
        <w:t xml:space="preserve"> </w:t>
      </w:r>
      <w:r>
        <w:rPr>
          <w:i/>
        </w:rPr>
        <w:t xml:space="preserve">Watson</w:t>
      </w:r>
      <w:r>
        <w:t xml:space="preserve"> </w:t>
      </w:r>
      <w:r>
        <w:t xml:space="preserve">(1948) — the courts walled off school-land title and guarded the</w:t>
      </w:r>
      <w:r>
        <w:t xml:space="preserve"> </w:t>
      </w:r>
      <w:r>
        <w:t xml:space="preserve">“</w:t>
      </w:r>
      <w:r>
        <w:t xml:space="preserve">sacred and inviolate</w:t>
      </w:r>
      <w:r>
        <w:t xml:space="preserve">”</w:t>
      </w:r>
      <w:r>
        <w:t xml:space="preserve"> </w:t>
      </w:r>
      <w:r>
        <w:t xml:space="preserve">fund, and Attorney General Ellis’s 1908 opinion enforced the rule cleanly. Then</w:t>
      </w:r>
      <w:r>
        <w:t xml:space="preserve"> </w:t>
      </w:r>
      <w:r>
        <w:rPr>
          <w:i/>
        </w:rPr>
        <w:t xml:space="preserve">Askew v. Sonson</w:t>
      </w:r>
      <w:r>
        <w:t xml:space="preserve"> </w:t>
      </w:r>
      <w:r>
        <w:t xml:space="preserve">(1981) became the hinge: the Florida Supreme Court held that the state’s Marketable Record Title Act could</w:t>
      </w:r>
      <w:r>
        <w:t xml:space="preserve"> </w:t>
      </w:r>
      <w:r>
        <w:rPr>
          <w:i/>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rPr>
        <w:t xml:space="preserve">Lesson:</w:t>
      </w:r>
      <w:r>
        <w:t xml:space="preserve"> </w:t>
      </w:r>
      <w:r>
        <w:t xml:space="preserve">Stronger words alone do not produce stronger outcomes. Text without a court willing to enforce it is decoration. (See Ch. 4 and Ch. 6,</w:t>
      </w:r>
      <w:r>
        <w:t xml:space="preserve"> </w:t>
      </w:r>
      <w:r>
        <w:t xml:space="preserve">“</w:t>
      </w:r>
      <w:r>
        <w:t xml:space="preserve">Charter the adversary.</w:t>
      </w:r>
      <w:r>
        <w:t xml:space="preserve">”</w:t>
      </w:r>
      <w:r>
        <w:t xml:space="preserve">)</w:t>
      </w:r>
    </w:p>
    <w:p>
      <w:pPr>
        <w:pStyle w:val="BodyText"/>
      </w:pPr>
      <w:r>
        <w:rPr>
          <w:i/>
        </w:rPr>
        <w:t xml:space="preserve">Sources/notes:</w:t>
      </w:r>
      <w:r>
        <w:t xml:space="preserve"> </w:t>
      </w:r>
      <w:r>
        <w:t xml:space="preserve">Act of Mar. 3, 1845, 5 Stat. 788 (school-land grant);</w:t>
      </w:r>
      <w:r>
        <w:t xml:space="preserve"> </w:t>
      </w:r>
      <w:r>
        <w:rPr>
          <w:i/>
        </w:rPr>
        <w:t xml:space="preserve">Cooper v. Roberts</w:t>
      </w:r>
      <w:r>
        <w:t xml:space="preserve">, 59 U.S. 173 (1855);</w:t>
      </w:r>
      <w:r>
        <w:t xml:space="preserve"> </w:t>
      </w:r>
      <w:r>
        <w:rPr>
          <w:i/>
        </w:rPr>
        <w:t xml:space="preserve">Askew v. Sonson</w:t>
      </w:r>
      <w:r>
        <w:t xml:space="preserve">, 409 So. 2d 7 (Fla. 1981);</w:t>
      </w:r>
      <w:r>
        <w:t xml:space="preserve"> </w:t>
      </w:r>
      <w:r>
        <w:rPr>
          <w:i/>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fl_ddb19706bebc_1200x_q90.jpg" id="0" name="Picture"/>
                    <pic:cNvPicPr>
                      <a:picLocks noChangeArrowheads="1" noChangeAspect="1"/>
                    </pic:cNvPicPr>
                  </pic:nvPicPr>
                  <pic:blipFill>
                    <a:blip r:embed="rId78"/>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schooltrusts.net/reading/us-fl, for current figures, recent developments, and sources.</w:t>
      </w:r>
    </w:p>
    <w:p>
      <w:r>
        <w:br w:type="page"/>
      </w:r>
    </w:p>
    <w:p>
      <w:pPr>
        <w:pStyle w:val="Heading2"/>
      </w:pPr>
      <w:bookmarkStart w:id="79" w:name="Xb4434a73d825f6143eb6839b9c506017b06afcb"/>
      <w:r>
        <w:t xml:space="preserve">Hawaii — The Trust With Five Mouths to Feed</w:t>
      </w:r>
      <w:bookmarkEnd w:id="79"/>
    </w:p>
    <w:p>
      <w:pPr>
        <w:pStyle w:val="FirstParagraph"/>
      </w:pPr>
      <w:r>
        <w:rPr>
          <w:i/>
        </w:rPr>
        <w:t xml:space="preserve">Admitted 1959 - Grant: a single 1.4-million-acre</w:t>
      </w:r>
      <w:r>
        <w:rPr>
          <w:i/>
        </w:rPr>
        <w:t xml:space="preserve"> </w:t>
      </w:r>
      <w:r>
        <w:rPr>
          <w:i/>
        </w:rPr>
        <w:t xml:space="preserve">“</w:t>
      </w:r>
      <w:r>
        <w:rPr>
          <w:i/>
        </w:rPr>
        <w:t xml:space="preserve">ceded-lands</w:t>
      </w:r>
      <w:r>
        <w:rPr>
          <w:i/>
        </w:rPr>
        <w:t xml:space="preserve">”</w:t>
      </w:r>
      <w:r>
        <w:rPr>
          <w:i/>
        </w:rPr>
        <w:t xml:space="preserve"> </w:t>
      </w:r>
      <w:r>
        <w:rPr>
          <w:i/>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rPr>
        <w:t xml:space="preserve">Telling fact:</w:t>
      </w:r>
      <w:r>
        <w:t xml:space="preserve"> </w:t>
      </w:r>
      <w:r>
        <w:t xml:space="preserve">Hawaii’s founding deal put the words</w:t>
      </w:r>
      <w:r>
        <w:t xml:space="preserve"> </w:t>
      </w:r>
      <w:r>
        <w:t xml:space="preserve">“</w:t>
      </w:r>
      <w:r>
        <w:t xml:space="preserve">public trust</w:t>
      </w:r>
      <w:r>
        <w:t xml:space="preserve">”</w:t>
      </w:r>
      <w:r>
        <w:t xml:space="preserve"> </w:t>
      </w:r>
      <w:r>
        <w:t xml:space="preserve">and</w:t>
      </w:r>
      <w:r>
        <w:t xml:space="preserve"> </w:t>
      </w:r>
      <w:r>
        <w:t xml:space="preserve">“</w:t>
      </w:r>
      <w:r>
        <w:t xml:space="preserve">breach of trust</w:t>
      </w:r>
      <w:r>
        <w:t xml:space="preserve">”</w:t>
      </w:r>
      <w:r>
        <w:t xml:space="preserve"> </w:t>
      </w:r>
      <w:r>
        <w:t xml:space="preserve">right in the federal statute, named</w:t>
      </w:r>
      <w:r>
        <w:t xml:space="preserve"> </w:t>
      </w:r>
      <w:r>
        <w:t xml:space="preserve">“</w:t>
      </w:r>
      <w:r>
        <w:t xml:space="preserve">support of the public schools</w:t>
      </w:r>
      <w:r>
        <w:t xml:space="preserve">”</w:t>
      </w:r>
      <w:r>
        <w:t xml:space="preserve"> </w:t>
      </w:r>
      <w:r>
        <w:t xml:space="preserve">as the</w:t>
      </w:r>
      <w:r>
        <w:t xml:space="preserve"> </w:t>
      </w:r>
      <w:r>
        <w:rPr>
          <w:i/>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w:t>
      </w:r>
      <w:r>
        <w:t xml:space="preserve">ceded-lands</w:t>
      </w:r>
      <w:r>
        <w:t xml:space="preserve">”</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w:t>
      </w:r>
      <w:r>
        <w:t xml:space="preserve">as a public trust,</w:t>
      </w:r>
      <w:r>
        <w:t xml:space="preserve">”</w:t>
      </w:r>
      <w:r>
        <w:t xml:space="preserve"> </w:t>
      </w:r>
      <w:r>
        <w:t xml:space="preserve">and using it for</w:t>
      </w:r>
      <w:r>
        <w:t xml:space="preserve"> </w:t>
      </w:r>
      <w:r>
        <w:t xml:space="preserve">“</w:t>
      </w:r>
      <w:r>
        <w:t xml:space="preserve">any other object shall constitute a breach of trust for which suit may be brought by the United States.</w:t>
      </w:r>
      <w:r>
        <w:t xml:space="preserve">”</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rPr>
        <w:t xml:space="preserve">Pele Defense Fund v. Paty</w:t>
      </w:r>
      <w:r>
        <w:t xml:space="preserve"> </w:t>
      </w:r>
      <w:r>
        <w:t xml:space="preserve">(1992) recognizing their standing to sue, to</w:t>
      </w:r>
      <w:r>
        <w:t xml:space="preserve"> </w:t>
      </w:r>
      <w:r>
        <w:rPr>
          <w:i/>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rPr>
        <w:t xml:space="preserve">Then→now:</w:t>
      </w:r>
      <w:r>
        <w:t xml:space="preserve"> </w:t>
      </w:r>
      <w:r>
        <w:t xml:space="preserve">A kingdom’s 1.8 million acres → a 1.4-million-acre, five-purpose trust in which the schoolchildren’s slice was never even measured.</w:t>
      </w:r>
    </w:p>
    <w:p>
      <w:pPr>
        <w:pStyle w:val="BodyText"/>
      </w:pPr>
      <w:r>
        <w:rPr>
          <w:b/>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rPr>
        <w:t xml:space="preserve">Sources/notes:</w:t>
      </w:r>
      <w:r>
        <w:t xml:space="preserve"> </w:t>
      </w:r>
      <w:r>
        <w:t xml:space="preserve">Hawaii Admission Act § 5(b),(f), 73 Stat. 4; Newlands Resolution, 30 Stat. 750; Apology Resolution, Pub. L. 103-150;</w:t>
      </w:r>
      <w:r>
        <w:t xml:space="preserve"> </w:t>
      </w:r>
      <w:r>
        <w:rPr>
          <w:i/>
        </w:rPr>
        <w:t xml:space="preserve">Pele Defense Fund v. Paty</w:t>
      </w:r>
      <w:r>
        <w:t xml:space="preserve">, 73 Haw. 578 (1992);</w:t>
      </w:r>
      <w:r>
        <w:t xml:space="preserve"> </w:t>
      </w:r>
      <w:r>
        <w:rPr>
          <w:i/>
        </w:rPr>
        <w:t xml:space="preserve">Ching v. Case</w:t>
      </w:r>
      <w:r>
        <w:t xml:space="preserve"> </w:t>
      </w:r>
      <w:r>
        <w:t xml:space="preserve">(Haw. 2019);</w:t>
      </w:r>
      <w:r>
        <w:t xml:space="preserve"> </w:t>
      </w:r>
      <w:r>
        <w:rPr>
          <w:i/>
        </w:rPr>
        <w:t xml:space="preserve">Rice v. Cayetano</w:t>
      </w:r>
      <w:r>
        <w:t xml:space="preserve">, 528 U.S. 495 (2000).</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hi_ccd91991c293_1200x_q90.jpg" id="0" name="Picture"/>
                    <pic:cNvPicPr>
                      <a:picLocks noChangeArrowheads="1" noChangeAspect="1"/>
                    </pic:cNvPicPr>
                  </pic:nvPicPr>
                  <pic:blipFill>
                    <a:blip r:embed="rId80"/>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schooltrusts.net/reading/us-hi, for current figures, recent developments, and sources.</w:t>
      </w:r>
    </w:p>
    <w:p>
      <w:r>
        <w:br w:type="page"/>
      </w:r>
    </w:p>
    <w:p>
      <w:pPr>
        <w:pStyle w:val="Heading2"/>
      </w:pPr>
      <w:bookmarkStart w:id="81" w:name="idaho-the-five-trustee-fortress"/>
      <w:r>
        <w:t xml:space="preserve">Idaho — The Five-Trustee Fortress</w:t>
      </w:r>
      <w:bookmarkEnd w:id="81"/>
    </w:p>
    <w:p>
      <w:pPr>
        <w:pStyle w:val="FirstParagraph"/>
      </w:pPr>
      <w:r>
        <w:rPr>
          <w:i/>
        </w:rPr>
        <w:t xml:space="preserve">Admitted 1890 - Grant: 2 sections (16 &amp; 36), about 3 million acres - Endowment Fund net position</w:t>
      </w:r>
      <w:r>
        <w:rPr>
          <w:i/>
        </w:rPr>
        <w:t xml:space="preserve"> </w:t>
      </w:r>
      <w:r>
        <w:rPr>
          <w:b/>
          <w:i/>
        </w:rPr>
        <w:t xml:space="preserve">$3,592,674,268 as of June 30, 2025</w:t>
      </w:r>
      <w:r>
        <w:rPr>
          <w:i/>
        </w:rPr>
        <w:t xml:space="preserve">; Public School endowment distribution</w:t>
      </w:r>
      <w:r>
        <w:rPr>
          <w:i/>
        </w:rPr>
        <w:t xml:space="preserve"> </w:t>
      </w:r>
      <w:r>
        <w:rPr>
          <w:b/>
          <w:i/>
        </w:rPr>
        <w:t xml:space="preserve">$63,039,900</w:t>
      </w:r>
      <w:r>
        <w:rPr>
          <w:i/>
        </w:rPr>
        <w:t xml:space="preserve"> </w:t>
      </w:r>
      <w:r>
        <w:rPr>
          <w:i/>
        </w:rPr>
        <w:t xml:space="preserve">in FY2025 - Trustee: five elected officials sitting ex officio as the Land Board - Verdict: Kept faith.</w:t>
      </w:r>
    </w:p>
    <w:p>
      <w:pPr>
        <w:pStyle w:val="BodyText"/>
      </w:pPr>
      <w:r>
        <w:rPr>
          <w:b/>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w:t>
      </w:r>
      <w:r>
        <w:t xml:space="preserve">for the support of common schools,</w:t>
      </w:r>
      <w:r>
        <w:t xml:space="preserve">”</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rPr>
        <w:t xml:space="preserve">Balderston v. Brady</w:t>
      </w:r>
      <w:r>
        <w:t xml:space="preserve"> </w:t>
      </w:r>
      <w:r>
        <w:t xml:space="preserve">(1910) stopped the Land Board from giving away title to school sections.</w:t>
      </w:r>
      <w:r>
        <w:t xml:space="preserve"> </w:t>
      </w:r>
      <w:r>
        <w:rPr>
          <w:i/>
        </w:rPr>
        <w:t xml:space="preserve">East Side Blaine County</w:t>
      </w:r>
      <w:r>
        <w:t xml:space="preserve"> </w:t>
      </w:r>
      <w:r>
        <w:t xml:space="preserve">(1921) forced a lease to public auction, declaring the</w:t>
      </w:r>
      <w:r>
        <w:t xml:space="preserve"> </w:t>
      </w:r>
      <w:r>
        <w:t xml:space="preserve">“</w:t>
      </w:r>
      <w:r>
        <w:t xml:space="preserve">dominant purpose</w:t>
      </w:r>
      <w:r>
        <w:t xml:space="preserve">”</w:t>
      </w:r>
      <w:r>
        <w:t xml:space="preserve"> </w:t>
      </w:r>
      <w:r>
        <w:t xml:space="preserve">was to get</w:t>
      </w:r>
      <w:r>
        <w:t xml:space="preserve"> </w:t>
      </w:r>
      <w:r>
        <w:t xml:space="preserve">“</w:t>
      </w:r>
      <w:r>
        <w:t xml:space="preserve">the greatest possible amount</w:t>
      </w:r>
      <w:r>
        <w:t xml:space="preserve">”</w:t>
      </w:r>
      <w:r>
        <w:t xml:space="preserve"> </w:t>
      </w:r>
      <w:r>
        <w:t xml:space="preserve">for the schools.</w:t>
      </w:r>
      <w:r>
        <w:t xml:space="preserve"> </w:t>
      </w:r>
      <w:r>
        <w:rPr>
          <w:i/>
        </w:rPr>
        <w:t xml:space="preserve">Moon</w:t>
      </w:r>
      <w:r>
        <w:t xml:space="preserve"> </w:t>
      </w:r>
      <w:r>
        <w:t xml:space="preserve">(1986) caught the state quietly sweeping interest on school-land accounts into the general fund and ordered it back. The</w:t>
      </w:r>
      <w:r>
        <w:t xml:space="preserve"> </w:t>
      </w:r>
      <w:r>
        <w:rPr>
          <w:i/>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rPr>
        <w:t xml:space="preserve">Wasden</w:t>
      </w:r>
      <w:r>
        <w:t xml:space="preserve"> </w:t>
      </w:r>
      <w:r>
        <w:t xml:space="preserve">line (2010, 2012) reaffirmed that the Board’s</w:t>
      </w:r>
      <w:r>
        <w:t xml:space="preserve"> </w:t>
      </w:r>
      <w:r>
        <w:t xml:space="preserve">“</w:t>
      </w:r>
      <w:r>
        <w:t xml:space="preserve">broad discretion</w:t>
      </w:r>
      <w:r>
        <w:t xml:space="preserve">”</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rPr>
        <w:t xml:space="preserve">authority</w:t>
      </w:r>
      <w:r>
        <w:t xml:space="preserve">; the board that wields it is statutory. What’s genuinely distinctive is the split: the Land Board manages the land, a separate board manages the money.</w:t>
      </w:r>
    </w:p>
    <w:p>
      <w:pPr>
        <w:pStyle w:val="BodyText"/>
      </w:pPr>
      <w:r>
        <w:rPr>
          <w:b/>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rPr>
        <w:t xml:space="preserve">$63,039,900</w:t>
      </w:r>
      <w:r>
        <w:t xml:space="preserve"> </w:t>
      </w:r>
      <w:r>
        <w:t xml:space="preserve">for FY2025.</w:t>
      </w:r>
    </w:p>
    <w:p>
      <w:pPr>
        <w:pStyle w:val="BodyText"/>
      </w:pPr>
      <w:r>
        <w:rPr>
          <w:b/>
        </w:rPr>
        <w:t xml:space="preserve">Lesson:</w:t>
      </w:r>
      <w:r>
        <w:t xml:space="preserve"> </w:t>
      </w:r>
      <w:r>
        <w:t xml:space="preserve">Enforceable text, named ex officio trustees, and a court willing to bind even the voters is what a defended trust looks like. (See Ch. 5,</w:t>
      </w:r>
      <w:r>
        <w:t xml:space="preserve"> </w:t>
      </w:r>
      <w:r>
        <w:t xml:space="preserve">“</w:t>
      </w:r>
      <w:r>
        <w:t xml:space="preserve">Kept and rebuilt.</w:t>
      </w:r>
      <w:r>
        <w:t xml:space="preserve">”</w:t>
      </w:r>
      <w:r>
        <w:t xml:space="preserve">)</w:t>
      </w:r>
      <w:r>
        <w:t xml:space="preserve"> </w:t>
      </w:r>
      <w:r>
        <w:rPr>
          <w:i/>
        </w:rPr>
        <w:t xml:space="preserve">Sources/notes:</w:t>
      </w:r>
      <w:r>
        <w:t xml:space="preserve"> </w:t>
      </w:r>
      <w:r>
        <w:rPr>
          <w:i/>
        </w:rPr>
        <w:t xml:space="preserve">Balderston v. Brady</w:t>
      </w:r>
      <w:r>
        <w:t xml:space="preserve">, 18 Idaho 238, 108 P. 742 (1910); Idaho Admission Act, 26 Stat. 215; Idaho Const. art. IX §§ 3, 4, 7, 8, 11;</w:t>
      </w:r>
      <w:r>
        <w:t xml:space="preserve"> </w:t>
      </w:r>
      <w:r>
        <w:rPr>
          <w:i/>
        </w:rPr>
        <w:t xml:space="preserve">East Side Blaine County</w:t>
      </w:r>
      <w:r>
        <w:t xml:space="preserve"> </w:t>
      </w:r>
      <w:r>
        <w:t xml:space="preserve">(1921);</w:t>
      </w:r>
      <w:r>
        <w:t xml:space="preserve"> </w:t>
      </w:r>
      <w:r>
        <w:rPr>
          <w:i/>
        </w:rPr>
        <w:t xml:space="preserve">Moon</w:t>
      </w:r>
      <w:r>
        <w:t xml:space="preserve"> </w:t>
      </w:r>
      <w:r>
        <w:t xml:space="preserve">(1986);</w:t>
      </w:r>
      <w:r>
        <w:t xml:space="preserve"> </w:t>
      </w:r>
      <w:r>
        <w:rPr>
          <w:i/>
        </w:rPr>
        <w:t xml:space="preserve">Idaho Watersheds Project</w:t>
      </w:r>
      <w:r>
        <w:t xml:space="preserve"> </w:t>
      </w:r>
      <w:r>
        <w:t xml:space="preserve">(1999);</w:t>
      </w:r>
      <w:r>
        <w:t xml:space="preserve"> </w:t>
      </w:r>
      <w:r>
        <w:rPr>
          <w:i/>
        </w:rPr>
        <w:t xml:space="preserve">Wasden</w:t>
      </w:r>
      <w:r>
        <w:t xml:space="preserve"> </w:t>
      </w:r>
      <w:r>
        <w:t xml:space="preserve">(2010, 2012); IDL/EFIB reports.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d_793f9728f1aa_1200x_q90.jpg" id="0" name="Picture"/>
                    <pic:cNvPicPr>
                      <a:picLocks noChangeArrowheads="1" noChangeAspect="1"/>
                    </pic:cNvPicPr>
                  </pic:nvPicPr>
                  <pic:blipFill>
                    <a:blip r:embed="rId82"/>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schooltrusts.net/reading/us-id, for current figures, recent developments, and sources.</w:t>
      </w:r>
    </w:p>
    <w:p>
      <w:r>
        <w:br w:type="page"/>
      </w:r>
    </w:p>
    <w:p>
      <w:pPr>
        <w:pStyle w:val="Heading2"/>
      </w:pPr>
      <w:bookmarkStart w:id="83" w:name="X39922a786b21a573a7f470d28b72bea44882622"/>
      <w:r>
        <w:t xml:space="preserve">Illinois — The Quiet Sell-Off, One Township at a Time</w:t>
      </w:r>
      <w:bookmarkEnd w:id="83"/>
    </w:p>
    <w:p>
      <w:pPr>
        <w:pStyle w:val="FirstParagraph"/>
      </w:pPr>
      <w:r>
        <w:rPr>
          <w:i/>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was the lean Northwest Ordinance template: one section per township,</w:t>
      </w:r>
      <w:r>
        <w:t xml:space="preserve"> </w:t>
      </w:r>
      <w:r>
        <w:t xml:space="preserve">“</w:t>
      </w:r>
      <w:r>
        <w:t xml:space="preserve">for the use of schools,</w:t>
      </w:r>
      <w:r>
        <w:t xml:space="preserve">”</w:t>
      </w:r>
      <w:r>
        <w:t xml:space="preserve"> </w:t>
      </w:r>
      <w:r>
        <w:t xml:space="preserve">no trust language, no restoration clause, no enforcer. What gave it any teeth at all was the U.S. Supreme Court’s later ruling in</w:t>
      </w:r>
      <w:r>
        <w:t xml:space="preserve"> </w:t>
      </w:r>
      <w:r>
        <w:rPr>
          <w:i/>
        </w:rPr>
        <w:t xml:space="preserve">Cooper v. Roberts</w:t>
      </w:r>
      <w:r>
        <w:t xml:space="preserve"> </w:t>
      </w:r>
      <w:r>
        <w:t xml:space="preserve">(1855) that grants like this created</w:t>
      </w:r>
      <w:r>
        <w:t xml:space="preserve"> </w:t>
      </w:r>
      <w:r>
        <w:t xml:space="preserve">“</w:t>
      </w:r>
      <w:r>
        <w:t xml:space="preserve">a sacred obligation.</w:t>
      </w:r>
      <w:r>
        <w:t xml:space="preserve">”</w:t>
      </w:r>
      <w:r>
        <w:t xml:space="preserve"> </w:t>
      </w:r>
      <w:r>
        <w:t xml:space="preserve">But by the time that doctrine existed,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rPr>
        <w:t xml:space="preserve">Miller</w:t>
      </w:r>
      <w:r>
        <w:t xml:space="preserve"> </w:t>
      </w:r>
      <w:r>
        <w:t xml:space="preserve">(1875),</w:t>
      </w:r>
      <w:r>
        <w:t xml:space="preserve"> </w:t>
      </w:r>
      <w:r>
        <w:rPr>
          <w:i/>
        </w:rPr>
        <w:t xml:space="preserve">Little</w:t>
      </w:r>
      <w:r>
        <w:t xml:space="preserve"> </w:t>
      </w:r>
      <w:r>
        <w:t xml:space="preserve">(1886), and</w:t>
      </w:r>
      <w:r>
        <w:t xml:space="preserve"> </w:t>
      </w:r>
      <w:r>
        <w:rPr>
          <w:i/>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w:t>
      </w:r>
      <w:r>
        <w:t xml:space="preserve">Drift.</w:t>
      </w:r>
      <w:r>
        <w:t xml:space="preserve">”</w:t>
      </w:r>
      <w:r>
        <w:t xml:space="preserve">)</w:t>
      </w:r>
      <w:r>
        <w:t xml:space="preserve"> </w:t>
      </w:r>
      <w:r>
        <w:rPr>
          <w:i/>
        </w:rPr>
        <w:t xml:space="preserve">Sources/notes:</w:t>
      </w:r>
      <w:r>
        <w:t xml:space="preserve"> </w:t>
      </w:r>
      <w:r>
        <w:t xml:space="preserve">Act of Apr. 18, 1818, 3 Stat. 428;</w:t>
      </w:r>
      <w:r>
        <w:t xml:space="preserve"> </w:t>
      </w:r>
      <w:r>
        <w:rPr>
          <w:i/>
        </w:rPr>
        <w:t xml:space="preserve">Cooper v. Roberts</w:t>
      </w:r>
      <w:r>
        <w:t xml:space="preserve"> </w:t>
      </w:r>
      <w:r>
        <w:t xml:space="preserve">(1855);</w:t>
      </w:r>
      <w:r>
        <w:t xml:space="preserve"> </w:t>
      </w:r>
      <w:r>
        <w:rPr>
          <w:i/>
        </w:rPr>
        <w:t xml:space="preserve">People ex rel. Paschen v. Hendrickson-Pontiac</w:t>
      </w:r>
      <w:r>
        <w:t xml:space="preserve"> </w:t>
      </w:r>
      <w:r>
        <w:t xml:space="preserve">(1956);</w:t>
      </w:r>
      <w:r>
        <w:t xml:space="preserve"> </w:t>
      </w:r>
      <w:r>
        <w:rPr>
          <w:i/>
        </w:rPr>
        <w:t xml:space="preserve">Committee for Educational Rights v. Edgar</w:t>
      </w:r>
      <w:r>
        <w:t xml:space="preserve"> </w:t>
      </w:r>
      <w:r>
        <w:t xml:space="preserve">(1996); 105 ILCS 5/15.</w:t>
      </w:r>
      <w:r>
        <w:t xml:space="preserve"> </w:t>
      </w:r>
      <w:r>
        <w:rPr>
          <w:i/>
        </w:rPr>
        <w:t xml:space="preserve">(Note: an earlier</w:t>
      </w:r>
      <w:r>
        <w:rPr>
          <w:i/>
        </w:rPr>
        <w:t xml:space="preserve"> </w:t>
      </w:r>
      <w:r>
        <w:rPr>
          <w:i/>
        </w:rPr>
        <w:t xml:space="preserve">“</w:t>
      </w:r>
      <w:r>
        <w:rPr>
          <w:i/>
        </w:rPr>
        <w:t xml:space="preserve">$1.2 million by 1836</w:t>
      </w:r>
      <w:r>
        <w:rPr>
          <w:i/>
        </w:rPr>
        <w:t xml:space="preserve">”</w:t>
      </w:r>
      <w:r>
        <w:rPr>
          <w:i/>
        </w:rPr>
        <w:t xml:space="preserve"> </w:t>
      </w:r>
      <w:r>
        <w:rPr>
          <w:i/>
        </w:rPr>
        <w:t xml:space="preserve">Chicago Loop figure is unconfirmed and deliberately not used.)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l_d4d62d7da903_1200x_q90.jpg" id="0" name="Picture"/>
                    <pic:cNvPicPr>
                      <a:picLocks noChangeArrowheads="1" noChangeAspect="1"/>
                    </pic:cNvPicPr>
                  </pic:nvPicPr>
                  <pic:blipFill>
                    <a:blip r:embed="rId84"/>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schooltrusts.net/reading/us-il, for current figures, recent developments, and sources.</w:t>
      </w:r>
    </w:p>
    <w:p>
      <w:r>
        <w:br w:type="page"/>
      </w:r>
    </w:p>
    <w:p>
      <w:pPr>
        <w:pStyle w:val="Heading2"/>
      </w:pPr>
      <w:bookmarkStart w:id="85" w:name="Xeda3ba0927e6911f4768f2e84d840125d50894a"/>
      <w:r>
        <w:t xml:space="preserve">Indiana — The Strong Words and the Vanishing Land</w:t>
      </w:r>
      <w:bookmarkEnd w:id="85"/>
    </w:p>
    <w:p>
      <w:pPr>
        <w:pStyle w:val="FirstParagraph"/>
      </w:pPr>
      <w:r>
        <w:rPr>
          <w:i/>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w:t>
      </w:r>
      <w:r>
        <w:t xml:space="preserve">shall never be diminished… and to no other purpose whatever.</w:t>
      </w:r>
      <w:r>
        <w:t xml:space="preserve">”</w:t>
      </w:r>
      <w:r>
        <w:t xml:space="preserve"> </w:t>
      </w:r>
      <w:r>
        <w:t xml:space="preserve">The money stayed.</w:t>
      </w:r>
    </w:p>
    <w:p>
      <w:pPr>
        <w:pStyle w:val="BodyText"/>
      </w:pPr>
      <w:r>
        <w:t xml:space="preserve">Indiana took a weak federal grant and wrote a strong state trust over it. The 1816 Enabling Act gave the lean template — one section per township</w:t>
      </w:r>
      <w:r>
        <w:t xml:space="preserve"> </w:t>
      </w:r>
      <w:r>
        <w:t xml:space="preserve">“</w:t>
      </w:r>
      <w:r>
        <w:t xml:space="preserve">for the use of schools,</w:t>
      </w:r>
      <w:r>
        <w:t xml:space="preserve">”</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w:t>
      </w:r>
      <w:r>
        <w:t xml:space="preserve">a perpetual fund, which may be increased, but shall never be diminished,</w:t>
      </w:r>
      <w:r>
        <w:t xml:space="preserve">”</w:t>
      </w:r>
      <w:r>
        <w:t xml:space="preserve"> </w:t>
      </w:r>
      <w:r>
        <w:t xml:space="preserve">and orders the income</w:t>
      </w:r>
      <w:r>
        <w:t xml:space="preserve"> </w:t>
      </w:r>
      <w:r>
        <w:t xml:space="preserve">“</w:t>
      </w:r>
      <w:r>
        <w:t xml:space="preserve">inviolably appropriated to the support of Common Schools, and to no other purpose whatever.</w:t>
      </w:r>
      <w:r>
        <w:t xml:space="preserve">”</w:t>
      </w:r>
      <w:r>
        <w:t xml:space="preserve"> </w:t>
      </w:r>
      <w:r>
        <w:t xml:space="preserve">Three commitments in one sentence — perpetual, never shrinking, exclusively for schools.</w:t>
      </w:r>
    </w:p>
    <w:p>
      <w:pPr>
        <w:pStyle w:val="BodyText"/>
      </w:pPr>
      <w:r>
        <w:t xml:space="preserve">And on the money, it held.</w:t>
      </w:r>
      <w:r>
        <w:t xml:space="preserve"> </w:t>
      </w:r>
      <w:r>
        <w:rPr>
          <w:i/>
        </w:rPr>
        <w:t xml:space="preserve">Springfield Township v. Quick</w:t>
      </w:r>
      <w:r>
        <w:t xml:space="preserve"> </w:t>
      </w:r>
      <w:r>
        <w:t xml:space="preserve">(1859) protected each township’s fund from being diverted to another.</w:t>
      </w:r>
      <w:r>
        <w:t xml:space="preserve"> </w:t>
      </w:r>
      <w:r>
        <w:rPr>
          <w:i/>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rPr>
        <w:t xml:space="preserve">Bonner v. Daniels</w:t>
      </w:r>
      <w:r>
        <w:t xml:space="preserve"> </w:t>
      </w:r>
      <w:r>
        <w:t xml:space="preserve">(2009) held the</w:t>
      </w:r>
      <w:r>
        <w:t xml:space="preserve"> </w:t>
      </w:r>
      <w:r>
        <w:t xml:space="preserve">“</w:t>
      </w:r>
      <w:r>
        <w:t xml:space="preserve">general and uniform system</w:t>
      </w:r>
      <w:r>
        <w:t xml:space="preserve">”</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w:t>
      </w:r>
      <w:r>
        <w:t xml:space="preserve">fund</w:t>
      </w:r>
      <w:r>
        <w:t xml:space="preserve">”</w:t>
      </w:r>
      <w:r>
        <w:t xml:space="preserve"> </w:t>
      </w:r>
      <w:r>
        <w:t xml:space="preserve">is largely a</w:t>
      </w:r>
      <w:r>
        <w:t xml:space="preserve"> </w:t>
      </w:r>
      <w:r>
        <w:rPr>
          <w:i/>
        </w:rPr>
        <w:t xml:space="preserve">loan book</w:t>
      </w:r>
      <w:r>
        <w:t xml:space="preserve">, its principal lent out to school corporations rather than held as land or passive endowment.</w:t>
      </w:r>
    </w:p>
    <w:p>
      <w:pPr>
        <w:pStyle w:val="BodyText"/>
      </w:pPr>
      <w:r>
        <w:rPr>
          <w:b/>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rPr>
        <w:t xml:space="preserve">Sources/notes:</w:t>
      </w:r>
      <w:r>
        <w:t xml:space="preserve"> </w:t>
      </w:r>
      <w:r>
        <w:t xml:space="preserve">Enabling Act of Apr. 19, 1816, 3 Stat. 289; Ind. Const. art. 8 §§ 1–3 (1851);</w:t>
      </w:r>
      <w:r>
        <w:t xml:space="preserve"> </w:t>
      </w:r>
      <w:r>
        <w:rPr>
          <w:i/>
        </w:rPr>
        <w:t xml:space="preserve">Springfield Township v. Quick</w:t>
      </w:r>
      <w:r>
        <w:t xml:space="preserve"> </w:t>
      </w:r>
      <w:r>
        <w:t xml:space="preserve">(1859);</w:t>
      </w:r>
      <w:r>
        <w:t xml:space="preserve"> </w:t>
      </w:r>
      <w:r>
        <w:rPr>
          <w:i/>
        </w:rPr>
        <w:t xml:space="preserve">State v. Elliott</w:t>
      </w:r>
      <w:r>
        <w:t xml:space="preserve"> </w:t>
      </w:r>
      <w:r>
        <w:t xml:space="preserve">(1976); Official Opinion 2003-5;</w:t>
      </w:r>
      <w:r>
        <w:t xml:space="preserve"> </w:t>
      </w:r>
      <w:r>
        <w:rPr>
          <w:i/>
        </w:rPr>
        <w:t xml:space="preserve">Bonner v. Daniels</w:t>
      </w:r>
      <w:r>
        <w:t xml:space="preserve"> </w:t>
      </w:r>
      <w:r>
        <w:t xml:space="preserve">(2009);</w:t>
      </w:r>
      <w:r>
        <w:t xml:space="preserve"> </w:t>
      </w:r>
      <w:r>
        <w:rPr>
          <w:i/>
        </w:rPr>
        <w:t xml:space="preserve">Horner v. Curry</w:t>
      </w:r>
      <w:r>
        <w:t xml:space="preserve"> </w:t>
      </w:r>
      <w:r>
        <w:t xml:space="preserve">(2019).</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n_1e171c23e86b_1200x_q90.jpg" id="0" name="Picture"/>
                    <pic:cNvPicPr>
                      <a:picLocks noChangeArrowheads="1" noChangeAspect="1"/>
                    </pic:cNvPicPr>
                  </pic:nvPicPr>
                  <pic:blipFill>
                    <a:blip r:embed="rId86"/>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schooltrusts.net/reading/us-in, for current figures, recent developments, and sources.</w:t>
      </w:r>
    </w:p>
    <w:p>
      <w:r>
        <w:br w:type="page"/>
      </w:r>
    </w:p>
    <w:p>
      <w:pPr>
        <w:pStyle w:val="Heading2"/>
      </w:pPr>
      <w:bookmarkStart w:id="87" w:name="iowa-the-perfect-words-the-missing-guard"/>
      <w:r>
        <w:t xml:space="preserve">Iowa — The Perfect Words, the Missing Guard</w:t>
      </w:r>
      <w:bookmarkEnd w:id="87"/>
    </w:p>
    <w:p>
      <w:pPr>
        <w:pStyle w:val="FirstParagraph"/>
      </w:pPr>
      <w:r>
        <w:rPr>
          <w:i/>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rPr>
        <w:t xml:space="preserve">Telling fact:</w:t>
      </w:r>
      <w:r>
        <w:t xml:space="preserve"> </w:t>
      </w:r>
      <w:r>
        <w:t xml:space="preserve">Iowa’s 1857 constitution declared the school fund</w:t>
      </w:r>
      <w:r>
        <w:t xml:space="preserve"> </w:t>
      </w:r>
      <w:r>
        <w:t xml:space="preserve">“</w:t>
      </w:r>
      <w:r>
        <w:t xml:space="preserve">perpetual</w:t>
      </w:r>
      <w:r>
        <w:t xml:space="preserve">”</w:t>
      </w:r>
      <w:r>
        <w:t xml:space="preserve"> </w:t>
      </w:r>
      <w:r>
        <w:t xml:space="preserve">and its income</w:t>
      </w:r>
      <w:r>
        <w:t xml:space="preserve"> </w:t>
      </w:r>
      <w:r>
        <w:t xml:space="preserve">“</w:t>
      </w:r>
      <w:r>
        <w:t xml:space="preserve">inviolably appropriated</w:t>
      </w:r>
      <w:r>
        <w:t xml:space="preserve">”</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w:t>
      </w:r>
      <w:r>
        <w:t xml:space="preserve">inviolably appropriated to the support of common schools throughout the State.</w:t>
      </w:r>
      <w:r>
        <w:t xml:space="preserv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rPr>
        <w:t xml:space="preserve">Then→now:</w:t>
      </w:r>
      <w:r>
        <w:t xml:space="preserve"> </w:t>
      </w:r>
      <w:r>
        <w:t xml:space="preserve">About a million acres and</w:t>
      </w:r>
      <w:r>
        <w:t xml:space="preserve"> </w:t>
      </w:r>
      <w:r>
        <w:t xml:space="preserve">“</w:t>
      </w:r>
      <w:r>
        <w:t xml:space="preserve">inviolable</w:t>
      </w:r>
      <w:r>
        <w:t xml:space="preserve">”</w:t>
      </w:r>
      <w:r>
        <w:t xml:space="preserve"> </w:t>
      </w:r>
      <w:r>
        <w:t xml:space="preserve">constitutional language → a $7.5-million residue whose interest no longer reaches a common school directly.</w:t>
      </w:r>
    </w:p>
    <w:p>
      <w:pPr>
        <w:pStyle w:val="BodyText"/>
      </w:pPr>
      <w:r>
        <w:rPr>
          <w:b/>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rPr>
        <w:t xml:space="preserve">Sources/notes:</w:t>
      </w:r>
      <w:r>
        <w:t xml:space="preserve"> </w:t>
      </w:r>
      <w:r>
        <w:t xml:space="preserve">Supplemental Act of Mar. 3, 1845, 5 Stat. 789; Act of Dec. 28, 1846, 9 Stat. 117; Iowa Const. art. IX (2d) § 3;</w:t>
      </w:r>
      <w:r>
        <w:t xml:space="preserve"> </w:t>
      </w:r>
      <w:r>
        <w:rPr>
          <w:i/>
        </w:rPr>
        <w:t xml:space="preserve">Corbin v. County of Black Hawk</w:t>
      </w:r>
      <w:r>
        <w:t xml:space="preserve"> </w:t>
      </w:r>
      <w:r>
        <w:t xml:space="preserve">(1881);</w:t>
      </w:r>
      <w:r>
        <w:t xml:space="preserve"> </w:t>
      </w:r>
      <w:r>
        <w:rPr>
          <w:i/>
        </w:rPr>
        <w:t xml:space="preserve">King v. State</w:t>
      </w:r>
      <w:r>
        <w:t xml:space="preserve"> </w:t>
      </w:r>
      <w:r>
        <w:t xml:space="preserve">(2012); Iowa Code §§ 257B.1B, 257B.15; Iowa LFB report (1997).</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ia_d210f6422888_1200x_q90.jpg" id="0" name="Picture"/>
                    <pic:cNvPicPr>
                      <a:picLocks noChangeArrowheads="1" noChangeAspect="1"/>
                    </pic:cNvPicPr>
                  </pic:nvPicPr>
                  <pic:blipFill>
                    <a:blip r:embed="rId88"/>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schooltrusts.net/reading/us-ia, for current figures, recent developments, and sources.</w:t>
      </w:r>
    </w:p>
    <w:p>
      <w:r>
        <w:br w:type="page"/>
      </w:r>
    </w:p>
    <w:p>
      <w:pPr>
        <w:pStyle w:val="Heading2"/>
      </w:pPr>
      <w:bookmarkStart w:id="89" w:name="kansas-the-long-lawful-hollowing"/>
      <w:r>
        <w:t xml:space="preserve">Kansas — The Long, Lawful Hollowing</w:t>
      </w:r>
      <w:bookmarkEnd w:id="89"/>
    </w:p>
    <w:p>
      <w:pPr>
        <w:pStyle w:val="FirstParagraph"/>
      </w:pPr>
      <w:r>
        <w:rPr>
          <w:i/>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rPr>
        <w:t xml:space="preserve">Telling fact:</w:t>
      </w:r>
      <w:r>
        <w:t xml:space="preserve"> </w:t>
      </w:r>
      <w:r>
        <w:t xml:space="preserve">A fund the 1859 constitution declared</w:t>
      </w:r>
      <w:r>
        <w:t xml:space="preserve"> </w:t>
      </w:r>
      <w:r>
        <w:t xml:space="preserve">“</w:t>
      </w:r>
      <w:r>
        <w:t xml:space="preserve">inviolate</w:t>
      </w:r>
      <w:r>
        <w:t xml:space="preserv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w:t>
      </w:r>
      <w:r>
        <w:t xml:space="preserve">irrevocable without United States consent.</w:t>
      </w:r>
      <w:r>
        <w:t xml:space="preserve">”</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w:t>
      </w:r>
      <w:r>
        <w:t xml:space="preserve">both as to principal and income.</w:t>
      </w:r>
      <w:r>
        <w:t xml:space="preserve">”</w:t>
      </w:r>
      <w:r>
        <w:t xml:space="preserve"> </w:t>
      </w:r>
      <w:r>
        <w:t xml:space="preserve">And a modern statute, K.S.A. 72-5129, flatly</w:t>
      </w:r>
      <w:r>
        <w:t xml:space="preserve"> </w:t>
      </w:r>
      <w:r>
        <w:t xml:space="preserve">“</w:t>
      </w:r>
      <w:r>
        <w:t xml:space="preserve">abolishes</w:t>
      </w:r>
      <w:r>
        <w:t xml:space="preserve">”</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rPr>
        <w:t xml:space="preserve">Then→now:</w:t>
      </w:r>
      <w:r>
        <w:t xml:space="preserve"> </w:t>
      </w:r>
      <w:r>
        <w:t xml:space="preserve">2.9 million acres and an</w:t>
      </w:r>
      <w:r>
        <w:t xml:space="preserve"> </w:t>
      </w:r>
      <w:r>
        <w:t xml:space="preserve">“</w:t>
      </w:r>
      <w:r>
        <w:t xml:space="preserve">inviolate</w:t>
      </w:r>
      <w:r>
        <w:t xml:space="preserve">”</w:t>
      </w:r>
      <w:r>
        <w:t xml:space="preserve"> </w:t>
      </w:r>
      <w:r>
        <w:t xml:space="preserve">fund → no meaningful retained land and a permanent fund legally abolished as a separate thing.</w:t>
      </w:r>
    </w:p>
    <w:p>
      <w:pPr>
        <w:pStyle w:val="BodyText"/>
      </w:pPr>
      <w:r>
        <w:rPr>
          <w:b/>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w:t>
      </w:r>
      <w:r>
        <w:t xml:space="preserve">Drift,</w:t>
      </w:r>
      <w:r>
        <w:t xml:space="preserve">”</w:t>
      </w:r>
      <w:r>
        <w:t xml:space="preserve"> </w:t>
      </w:r>
      <w:r>
        <w:t xml:space="preserve">and Ch. 6, the trustee lesson.)</w:t>
      </w:r>
      <w:r>
        <w:t xml:space="preserve"> </w:t>
      </w:r>
      <w:r>
        <w:rPr>
          <w:i/>
        </w:rPr>
        <w:t xml:space="preserve">Sources/notes:</w:t>
      </w:r>
      <w:r>
        <w:t xml:space="preserve"> </w:t>
      </w:r>
      <w:r>
        <w:t xml:space="preserve">Kansas Admission Act, 12 Stat. 126;</w:t>
      </w:r>
      <w:r>
        <w:t xml:space="preserve"> </w:t>
      </w:r>
      <w:r>
        <w:rPr>
          <w:i/>
        </w:rPr>
        <w:t xml:space="preserve">Missouri, K. &amp; T. Ry. Co. v. Roberts</w:t>
      </w:r>
      <w:r>
        <w:t xml:space="preserve">, 152 U.S. 114 (1894); Kan. Const. art. 6 (1859 original; 1966 § 7(c) amendment); K.S.A. 72-1507, 72-1534, 72-5129.</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ks_0b77f6a414bb_1200x_q90.jpg" id="0" name="Picture"/>
                    <pic:cNvPicPr>
                      <a:picLocks noChangeArrowheads="1" noChangeAspect="1"/>
                    </pic:cNvPicPr>
                  </pic:nvPicPr>
                  <pic:blipFill>
                    <a:blip r:embed="rId90"/>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schooltrusts.net/reading/us-ks, for current figures, recent developments, and sources.</w:t>
      </w:r>
    </w:p>
    <w:p>
      <w:r>
        <w:br w:type="page"/>
      </w:r>
    </w:p>
    <w:p>
      <w:pPr>
        <w:pStyle w:val="Heading2"/>
      </w:pPr>
      <w:bookmarkStart w:id="91" w:name="X83044b400eb6aabc0e2cdb9d8f2048089f40e85"/>
      <w:r>
        <w:t xml:space="preserve">Louisiana — The Township Grant That Lives in the Parishes</w:t>
      </w:r>
      <w:bookmarkEnd w:id="91"/>
    </w:p>
    <w:p>
      <w:pPr>
        <w:pStyle w:val="FirstParagraph"/>
      </w:pPr>
      <w:r>
        <w:rPr>
          <w:i/>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rPr>
        <w:t xml:space="preserve">Humble Oil</w:t>
      </w:r>
      <w:r>
        <w:t xml:space="preserve"> </w:t>
      </w:r>
      <w:r>
        <w:t xml:space="preserve">(1940) kept the school-land regime from being swallowed by ordinary state mineral administration.</w:t>
      </w:r>
      <w:r>
        <w:t xml:space="preserve"> </w:t>
      </w:r>
      <w:r>
        <w:rPr>
          <w:i/>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w:t>
      </w:r>
      <w:r>
        <w:t xml:space="preserve">8(g)</w:t>
      </w:r>
      <w:r>
        <w:t xml:space="preserve">”</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w:t>
      </w:r>
      <w:r>
        <w:t xml:space="preserve">Drift</w:t>
      </w:r>
      <w:r>
        <w:t xml:space="preserve">”</w:t>
      </w:r>
      <w:r>
        <w:t xml:space="preserve"> </w:t>
      </w:r>
      <w:r>
        <w:t xml:space="preserve">and the title-cure box.)</w:t>
      </w:r>
      <w:r>
        <w:t xml:space="preserve"> </w:t>
      </w:r>
      <w:r>
        <w:rPr>
          <w:i/>
        </w:rPr>
        <w:t xml:space="preserve">Sources/notes:</w:t>
      </w:r>
      <w:r>
        <w:t xml:space="preserve"> </w:t>
      </w:r>
      <w:r>
        <w:t xml:space="preserve">Act of Apr. 8, 1812, 2 Stat. 701; Acts of 1806 (2 Stat. 391) &amp; 1811 (2 Stat. 662); La. R.S. 41:1323.1 (Act 323 of 1946);</w:t>
      </w:r>
      <w:r>
        <w:t xml:space="preserve"> </w:t>
      </w:r>
      <w:r>
        <w:rPr>
          <w:i/>
        </w:rPr>
        <w:t xml:space="preserve">State v. Humble Oil</w:t>
      </w:r>
      <w:r>
        <w:t xml:space="preserve"> </w:t>
      </w:r>
      <w:r>
        <w:t xml:space="preserve">(1940);</w:t>
      </w:r>
      <w:r>
        <w:t xml:space="preserve"> </w:t>
      </w:r>
      <w:r>
        <w:rPr>
          <w:i/>
        </w:rPr>
        <w:t xml:space="preserve">Cacioppo</w:t>
      </w:r>
      <w:r>
        <w:t xml:space="preserve"> </w:t>
      </w:r>
      <w:r>
        <w:t xml:space="preserve">(1981); Plaquemines Parish line (1992–2012); La. Const. art. VII § 10.1 (8(g) fund, 1987).</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la_fe1a1d0b8644_1200x_q90.jpg" id="0" name="Picture"/>
                    <pic:cNvPicPr>
                      <a:picLocks noChangeArrowheads="1" noChangeAspect="1"/>
                    </pic:cNvPicPr>
                  </pic:nvPicPr>
                  <pic:blipFill>
                    <a:blip r:embed="rId92"/>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schooltrusts.net/reading/us-la, for current figures, recent developments, and sources.</w:t>
      </w:r>
    </w:p>
    <w:p>
      <w:r>
        <w:br w:type="page"/>
      </w:r>
    </w:p>
    <w:p>
      <w:pPr>
        <w:pStyle w:val="Heading2"/>
      </w:pPr>
      <w:bookmarkStart w:id="93" w:name="X81cdef5f8454e4013ec0be0927c2f564d36841d"/>
      <w:r>
        <w:t xml:space="preserve">Michigan — The Headwater That Drained Its Own Well</w:t>
      </w:r>
      <w:bookmarkEnd w:id="93"/>
    </w:p>
    <w:p>
      <w:pPr>
        <w:pStyle w:val="FirstParagraph"/>
      </w:pPr>
      <w:r>
        <w:rPr>
          <w:i/>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rPr>
        <w:t xml:space="preserve">Telling fact:</w:t>
      </w:r>
      <w:r>
        <w:t xml:space="preserve"> </w:t>
      </w:r>
      <w:r>
        <w:t xml:space="preserve">Michigan is where the U.S. Supreme Court first called a school-land grant a</w:t>
      </w:r>
      <w:r>
        <w:t xml:space="preserve"> </w:t>
      </w:r>
      <w:r>
        <w:t xml:space="preserve">“</w:t>
      </w:r>
      <w:r>
        <w:t xml:space="preserve">sacred obligation</w:t>
      </w:r>
      <w:r>
        <w:t xml:space="preserve">”</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w:t>
      </w:r>
      <w:r>
        <w:t xml:space="preserve">a sacred obligation imposed on its public faith.</w:t>
      </w:r>
      <w:r>
        <w:t xml:space="preserve">”</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w:t>
      </w:r>
      <w:r>
        <w:t xml:space="preserve">the Michigan Plan.</w:t>
      </w:r>
      <w:r>
        <w:t xml:space="preserve">”</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w:t>
      </w:r>
      <w:r>
        <w:t xml:space="preserve">to provide for the use of the proceeds of the sale of educational lands in defraying the expenses of the state government.</w:t>
      </w:r>
      <w:r>
        <w:t xml:space="preserve">”</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rPr>
        <w:t xml:space="preserve">Then→now:</w:t>
      </w:r>
      <w:r>
        <w:t xml:space="preserve"> </w:t>
      </w:r>
      <w:r>
        <w:t xml:space="preserve">A timber-and-copper school-land endowment → a residual fund, with K-12 now funded by a sales-tax-backed School Aid Fund instead.</w:t>
      </w:r>
    </w:p>
    <w:p>
      <w:pPr>
        <w:pStyle w:val="BodyText"/>
      </w:pPr>
      <w:r>
        <w:rPr>
          <w:b/>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w:t>
      </w:r>
      <w:r>
        <w:t xml:space="preserve">Directed seizure,</w:t>
      </w:r>
      <w:r>
        <w:t xml:space="preserve">”</w:t>
      </w:r>
      <w:r>
        <w:t xml:space="preserve"> </w:t>
      </w:r>
      <w:r>
        <w:t xml:space="preserve">and Ch. 5.)</w:t>
      </w:r>
      <w:r>
        <w:t xml:space="preserve"> </w:t>
      </w:r>
      <w:r>
        <w:rPr>
          <w:i/>
        </w:rPr>
        <w:t xml:space="preserve">Sources/notes:</w:t>
      </w:r>
      <w:r>
        <w:t xml:space="preserve"> </w:t>
      </w:r>
      <w:r>
        <w:rPr>
          <w:i/>
        </w:rPr>
        <w:t xml:space="preserve">Cooper v. Roberts</w:t>
      </w:r>
      <w:r>
        <w:t xml:space="preserve">, 59 U.S. 173 (1855); Act of June 23, 1836, 5 Stat. 59; Mich. Const. of 1835 art. X; 1875 Public Act 22 (Mich. Legislature confirms purpose;</w:t>
      </w:r>
      <w:r>
        <w:t xml:space="preserve"> </w:t>
      </w:r>
      <w:r>
        <w:rPr>
          <w:i/>
        </w:rPr>
        <w:t xml:space="preserve">Milliken v. Green</w:t>
      </w:r>
      <w:r>
        <w:t xml:space="preserve"> </w:t>
      </w:r>
      <w:r>
        <w:t xml:space="preserve">historical narrative, vacated); Mich. Const. of 1963 art. VIII § 1, art. IX § 11.</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i_192f04eb9556_1200x_q90.jpg" id="0" name="Picture"/>
                    <pic:cNvPicPr>
                      <a:picLocks noChangeArrowheads="1" noChangeAspect="1"/>
                    </pic:cNvPicPr>
                  </pic:nvPicPr>
                  <pic:blipFill>
                    <a:blip r:embed="rId94"/>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schooltrusts.net/reading/us-mi, for current figures, recent developments, and sources.</w:t>
      </w:r>
    </w:p>
    <w:p>
      <w:r>
        <w:br w:type="page"/>
      </w:r>
    </w:p>
    <w:p>
      <w:pPr>
        <w:pStyle w:val="Heading2"/>
      </w:pPr>
      <w:bookmarkStart w:id="95" w:name="X6710939c407c7a14552c3629bd2dac407f9d302"/>
      <w:r>
        <w:t xml:space="preserve">Minnesota — The State That Copied the Template First, and Kept the Most</w:t>
      </w:r>
      <w:bookmarkEnd w:id="95"/>
    </w:p>
    <w:p>
      <w:pPr>
        <w:pStyle w:val="FirstParagraph"/>
      </w:pPr>
      <w:r>
        <w:rPr>
          <w:i/>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rPr>
        <w:t xml:space="preserve">Telling fact:</w:t>
      </w:r>
      <w:r>
        <w:t xml:space="preserve"> </w:t>
      </w:r>
      <w:r>
        <w:t xml:space="preserve">The</w:t>
      </w:r>
      <w:r>
        <w:t xml:space="preserve"> </w:t>
      </w:r>
      <w:r>
        <w:t xml:space="preserve">“</w:t>
      </w:r>
      <w:r>
        <w:t xml:space="preserve">doubled grant</w:t>
      </w:r>
      <w:r>
        <w:t xml:space="preserve">”</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w:t>
      </w:r>
      <w:r>
        <w:t xml:space="preserve">friendly</w:t>
      </w:r>
      <w:r>
        <w:t xml:space="preserve">”</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w:t>
      </w:r>
      <w:r>
        <w:t xml:space="preserve">net interest and dividends,</w:t>
      </w:r>
      <w:r>
        <w:t xml:space="preserve">”</w:t>
      </w:r>
      <w:r>
        <w:t xml:space="preserve"> </w:t>
      </w:r>
      <w:r>
        <w:t xml:space="preserve">which holds distributions near 2.5 percent. A constitutional amendment carried by Sen. Mary Kunesh (HF 3900) to shift to a 4.5-percent total-return model is now</w:t>
      </w:r>
      <w:r>
        <w:t xml:space="preserve"> </w:t>
      </w:r>
      <w:r>
        <w:rPr>
          <w:b/>
        </w:rPr>
        <w:t xml:space="preserve">approved for the November 2026 ballot</w:t>
      </w:r>
      <w:r>
        <w:t xml:space="preserve">; if it passes it would roughly double near-term distributions.</w:t>
      </w:r>
    </w:p>
    <w:p>
      <w:pPr>
        <w:pStyle w:val="BodyText"/>
      </w:pPr>
      <w:r>
        <w:rPr>
          <w:b/>
        </w:rPr>
        <w:t xml:space="preserve">Then→now:</w:t>
      </w:r>
      <w:r>
        <w:t xml:space="preserve"> </w:t>
      </w:r>
      <w:r>
        <w:t xml:space="preserve">A speculator’s iron grab averted in 1889 → iron royalties that built most of a roughly $2.3 billion fund as of 2025.</w:t>
      </w:r>
    </w:p>
    <w:p>
      <w:pPr>
        <w:pStyle w:val="BodyText"/>
      </w:pPr>
      <w:r>
        <w:rPr>
          <w:b/>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w:t>
      </w:r>
      <w:r>
        <w:t xml:space="preserve">Kept &amp; Rebuilt.</w:t>
      </w:r>
      <w:r>
        <w:t xml:space="preserve">”</w:t>
      </w:r>
      <w:r>
        <w:t xml:space="preserve">)</w:t>
      </w:r>
      <w:r>
        <w:t xml:space="preserve"> </w:t>
      </w:r>
      <w:r>
        <w:rPr>
          <w:i/>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n_3abe4aef3cc3_1200x_q90.jpg" id="0" name="Picture"/>
                    <pic:cNvPicPr>
                      <a:picLocks noChangeArrowheads="1" noChangeAspect="1"/>
                    </pic:cNvPicPr>
                  </pic:nvPicPr>
                  <pic:blipFill>
                    <a:blip r:embed="rId96"/>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schooltrusts.net/reading/us-mn, for current figures, recent developments, and sources.</w:t>
      </w:r>
    </w:p>
    <w:p>
      <w:r>
        <w:br w:type="page"/>
      </w:r>
    </w:p>
    <w:p>
      <w:pPr>
        <w:pStyle w:val="Heading2"/>
      </w:pPr>
      <w:bookmarkStart w:id="97" w:name="mississippi-the-trust-leased-for-7.50"/>
      <w:r>
        <w:t xml:space="preserve">Mississippi — The Trust Leased for $7.50</w:t>
      </w:r>
      <w:bookmarkEnd w:id="97"/>
    </w:p>
    <w:p>
      <w:pPr>
        <w:pStyle w:val="FirstParagraph"/>
      </w:pPr>
      <w:r>
        <w:rPr>
          <w:i/>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rPr>
        <w:t xml:space="preserve">State ex rel. Kyle v. Dear</w:t>
      </w:r>
      <w:r>
        <w:t xml:space="preserve"> </w:t>
      </w:r>
      <w:r>
        <w:t xml:space="preserve">(1950) through</w:t>
      </w:r>
      <w:r>
        <w:t xml:space="preserve"> </w:t>
      </w:r>
      <w:r>
        <w:rPr>
          <w:i/>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w:t>
      </w:r>
      <w:r>
        <w:t xml:space="preserve">A trust, leased for $7.50,</w:t>
      </w:r>
      <w:r>
        <w:t xml:space="preserve">”</w:t>
      </w:r>
      <w:r>
        <w:t xml:space="preserve"> </w:t>
      </w:r>
      <w:r>
        <w:t xml:space="preserve">and Ch. 5,</w:t>
      </w:r>
      <w:r>
        <w:t xml:space="preserve"> </w:t>
      </w:r>
      <w:r>
        <w:t xml:space="preserve">“</w:t>
      </w:r>
      <w:r>
        <w:t xml:space="preserve">Molpus and the torn-up leases.</w:t>
      </w:r>
      <w:r>
        <w:t xml:space="preserve">”</w:t>
      </w:r>
      <w:r>
        <w:t xml:space="preserve">)</w:t>
      </w:r>
      <w:r>
        <w:t xml:space="preserve"> </w:t>
      </w:r>
      <w:r>
        <w:rPr>
          <w:i/>
        </w:rPr>
        <w:t xml:space="preserve">Sources/notes:</w:t>
      </w:r>
      <w:r>
        <w:t xml:space="preserve"> </w:t>
      </w:r>
      <w:r>
        <w:rPr>
          <w:i/>
        </w:rPr>
        <w:t xml:space="preserve">Hill v. Thompson</w:t>
      </w:r>
      <w:r>
        <w:t xml:space="preserve">, 564 So. 2d 1 (Miss. 1989);</w:t>
      </w:r>
      <w:r>
        <w:t xml:space="preserve"> </w:t>
      </w:r>
      <w:r>
        <w:rPr>
          <w:i/>
        </w:rPr>
        <w:t xml:space="preserve">Keys v. Carter</w:t>
      </w:r>
      <w:r>
        <w:t xml:space="preserve">, 318 So. 2d 862 (1975);</w:t>
      </w:r>
      <w:r>
        <w:t xml:space="preserve"> </w:t>
      </w:r>
      <w:r>
        <w:rPr>
          <w:i/>
        </w:rPr>
        <w:t xml:space="preserve">State ex rel. Kyle v. Dear</w:t>
      </w:r>
      <w:r>
        <w:t xml:space="preserve">, 46 So. 2d 100 (1950); Miss. Const. art. 8 §§ 201, 211; Miss. Sec. of State, Sixteenth Section Lands;</w:t>
      </w:r>
      <w:r>
        <w:t xml:space="preserve"> </w:t>
      </w:r>
      <w:r>
        <w:rPr>
          <w:i/>
        </w:rPr>
        <w:t xml:space="preserve">Betrayal_Stories_Research_2026-05-29</w:t>
      </w:r>
      <w:r>
        <w:t xml:space="preserve"> </w:t>
      </w:r>
      <w:r>
        <w:t xml:space="preserve">(Molpus, ~5,000 leases, $24M/yr; death threats tied to his 1989 Mississippi Burning apology, NOT to land reform — excluded here).</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s_cf68bcedb4be_1200x_q90.jpg" id="0" name="Picture"/>
                    <pic:cNvPicPr>
                      <a:picLocks noChangeArrowheads="1" noChangeAspect="1"/>
                    </pic:cNvPicPr>
                  </pic:nvPicPr>
                  <pic:blipFill>
                    <a:blip r:embed="rId98"/>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schooltrusts.net/reading/us-ms, for current figures, recent developments, and sources.</w:t>
      </w:r>
    </w:p>
    <w:p>
      <w:r>
        <w:br w:type="page"/>
      </w:r>
    </w:p>
    <w:p>
      <w:pPr>
        <w:pStyle w:val="Heading2"/>
      </w:pPr>
      <w:bookmarkStart w:id="99" w:name="X62901b0ffd0a892a719f2e0dd2d7769cfc7ffba"/>
      <w:r>
        <w:t xml:space="preserve">Missouri — The Endowment Spent Before the Doctrine Arrived</w:t>
      </w:r>
      <w:bookmarkEnd w:id="99"/>
    </w:p>
    <w:p>
      <w:pPr>
        <w:pStyle w:val="FirstParagraph"/>
      </w:pPr>
      <w:r>
        <w:rPr>
          <w:i/>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rPr>
        <w:t xml:space="preserve">Telling fact:</w:t>
      </w:r>
      <w:r>
        <w:t xml:space="preserve"> </w:t>
      </w:r>
      <w:r>
        <w:t xml:space="preserve">Congress wrote Missouri’s school sections for</w:t>
      </w:r>
      <w:r>
        <w:t xml:space="preserve"> </w:t>
      </w:r>
      <w:r>
        <w:t xml:space="preserve">“</w:t>
      </w:r>
      <w:r>
        <w:t xml:space="preserve">the inhabitants of such township</w:t>
      </w:r>
      <w:r>
        <w:t xml:space="preserve">”</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rPr>
        <w:t xml:space="preserve">Cooper v. Roberts</w:t>
      </w:r>
      <w:r>
        <w:t xml:space="preserve">, the Court decided</w:t>
      </w:r>
      <w:r>
        <w:t xml:space="preserve"> </w:t>
      </w:r>
      <w:r>
        <w:rPr>
          <w:i/>
        </w:rPr>
        <w:t xml:space="preserve">Ham v. Missouri</w:t>
      </w:r>
      <w:r>
        <w:t xml:space="preserve">, holding that the 1820 Act and Missouri’s acceptance</w:t>
      </w:r>
      <w:r>
        <w:t xml:space="preserve"> </w:t>
      </w:r>
      <w:r>
        <w:t xml:space="preserve">“</w:t>
      </w:r>
      <w:r>
        <w:t xml:space="preserve">amounted not merely to a grant for schools</w:t>
      </w:r>
      <w:r>
        <w:t xml:space="preserve">”</w:t>
      </w:r>
      <w:r>
        <w:t xml:space="preserve"> </w:t>
      </w:r>
      <w:r>
        <w:t xml:space="preserve">but to</w:t>
      </w:r>
      <w:r>
        <w:t xml:space="preserve"> </w:t>
      </w:r>
      <w:r>
        <w:t xml:space="preserve">“</w:t>
      </w:r>
      <w:r>
        <w:t xml:space="preserve">a congressional mandate… dedicating section 16 to that object.</w:t>
      </w:r>
      <w:r>
        <w:t xml:space="preserve">”</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rPr>
        <w:t xml:space="preserve">Reorganized School District No. 7 v. Douthit</w:t>
      </w:r>
      <w:r>
        <w:t xml:space="preserve"> </w:t>
      </w:r>
      <w:r>
        <w:t xml:space="preserve">(1990) the court redirected more than $1 million in drug-forfeiture proceeds from law enforcement to schools;</w:t>
      </w:r>
      <w:r>
        <w:t xml:space="preserve"> </w:t>
      </w:r>
      <w:r>
        <w:rPr>
          <w:i/>
        </w:rPr>
        <w:t xml:space="preserve">Missouri Gaming Commission</w:t>
      </w:r>
      <w:r>
        <w:t xml:space="preserve"> </w:t>
      </w:r>
      <w:r>
        <w:t xml:space="preserve">(1997) extended the rule to administrative penalties. And in</w:t>
      </w:r>
      <w:r>
        <w:t xml:space="preserve"> </w:t>
      </w:r>
      <w:r>
        <w:rPr>
          <w:i/>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rPr>
        <w:t xml:space="preserve">Then→now:</w:t>
      </w:r>
      <w:r>
        <w:t xml:space="preserve"> </w:t>
      </w:r>
      <w:r>
        <w:t xml:space="preserve">A large township endowment → effectively no state-held trust land, with K-12 run on the general-revenue Foundation Formula.</w:t>
      </w:r>
    </w:p>
    <w:p>
      <w:pPr>
        <w:pStyle w:val="BodyText"/>
      </w:pPr>
      <w:r>
        <w:rPr>
          <w:b/>
        </w:rPr>
        <w:t xml:space="preserve">Lesson:</w:t>
      </w:r>
      <w:r>
        <w:t xml:space="preserve"> </w:t>
      </w:r>
      <w:r>
        <w:t xml:space="preserve">A trust written for</w:t>
      </w:r>
      <w:r>
        <w:t xml:space="preserve"> </w:t>
      </w:r>
      <w:r>
        <w:t xml:space="preserve">“</w:t>
      </w:r>
      <w:r>
        <w:t xml:space="preserve">the inhabitants of the township</w:t>
      </w:r>
      <w:r>
        <w:t xml:space="preserve">”</w:t>
      </w:r>
      <w:r>
        <w:t xml:space="preserve"> </w:t>
      </w:r>
      <w:r>
        <w:t xml:space="preserve">rather than the state has no fiduciary spine — and a corpus can be spent before the doctrine that would have protected it ever arrives. (See Ch. 2,</w:t>
      </w:r>
      <w:r>
        <w:t xml:space="preserve"> </w:t>
      </w:r>
      <w:r>
        <w:t xml:space="preserve">“</w:t>
      </w:r>
      <w:r>
        <w:t xml:space="preserve">Trust Without the Land,</w:t>
      </w:r>
      <w:r>
        <w:t xml:space="preserve">”</w:t>
      </w:r>
      <w:r>
        <w:t xml:space="preserve"> </w:t>
      </w:r>
      <w:r>
        <w:t xml:space="preserve">and Ch. 4.)</w:t>
      </w:r>
      <w:r>
        <w:t xml:space="preserve"> </w:t>
      </w:r>
      <w:r>
        <w:rPr>
          <w:i/>
        </w:rPr>
        <w:t xml:space="preserve">Sources/notes:</w:t>
      </w:r>
      <w:r>
        <w:t xml:space="preserve"> </w:t>
      </w:r>
      <w:r>
        <w:t xml:space="preserve">Missouri Enabling Act, Act of Mar. 6, 1820, § 6, 3 Stat. 545;</w:t>
      </w:r>
      <w:r>
        <w:t xml:space="preserve"> </w:t>
      </w:r>
      <w:r>
        <w:rPr>
          <w:i/>
        </w:rPr>
        <w:t xml:space="preserve">Ham v. Missouri</w:t>
      </w:r>
      <w:r>
        <w:t xml:space="preserve">, 59 U.S. 126 (1855); Mo. Const. art. IX §§ 3(a), 5, 7;</w:t>
      </w:r>
      <w:r>
        <w:t xml:space="preserve"> </w:t>
      </w:r>
      <w:r>
        <w:rPr>
          <w:i/>
        </w:rPr>
        <w:t xml:space="preserve">State ex rel. Sch. Dist. of Fulton v. Davis</w:t>
      </w:r>
      <w:r>
        <w:t xml:space="preserve">, 236 S.W.2d 301 (1951);</w:t>
      </w:r>
      <w:r>
        <w:t xml:space="preserve"> </w:t>
      </w:r>
      <w:r>
        <w:rPr>
          <w:i/>
        </w:rPr>
        <w:t xml:space="preserve">Reorganized Sch. Dist. No. 7 v. Douthit</w:t>
      </w:r>
      <w:r>
        <w:t xml:space="preserve">, 799 S.W.2d 591 (1990);</w:t>
      </w:r>
      <w:r>
        <w:t xml:space="preserve"> </w:t>
      </w:r>
      <w:r>
        <w:rPr>
          <w:i/>
        </w:rPr>
        <w:t xml:space="preserve">Comm. for Educ. Equality v. State</w:t>
      </w:r>
      <w:r>
        <w:t xml:space="preserve">, 294 S.W.3d 477 (2009).</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o_dc49ffc0a3de_1200x_q90.jpg" id="0" name="Picture"/>
                    <pic:cNvPicPr>
                      <a:picLocks noChangeArrowheads="1" noChangeAspect="1"/>
                    </pic:cNvPicPr>
                  </pic:nvPicPr>
                  <pic:blipFill>
                    <a:blip r:embed="rId100"/>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schooltrusts.net/reading/us-mo, for current figures, recent developments, and sources.</w:t>
      </w:r>
    </w:p>
    <w:p>
      <w:r>
        <w:br w:type="page"/>
      </w:r>
    </w:p>
    <w:p>
      <w:pPr>
        <w:pStyle w:val="Heading2"/>
      </w:pPr>
      <w:bookmarkStart w:id="101" w:name="X75a634af18f83edce8391a82dbad9354abc3f74"/>
      <w:r>
        <w:t xml:space="preserve">Montana — The Weak Federal Floor and the Strong State House</w:t>
      </w:r>
      <w:bookmarkEnd w:id="101"/>
    </w:p>
    <w:p>
      <w:pPr>
        <w:pStyle w:val="FirstParagraph"/>
      </w:pPr>
      <w:r>
        <w:rPr>
          <w:i/>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thin federal text that admitted four states at once. Measured on the project’s four-axis language test — compact form, in-trust words, restoration clause, federal enforcement — Montana scores weak: compact form present, the rest absent. The strong language Congress would invent for New Mexico and Arizona in 1910 was still twenty-one years off. So the fiduciary weight in Montana lives almost entirely in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w:t>
      </w:r>
      <w:r>
        <w:t xml:space="preserve">guaranteed by the state against loss or diversion,</w:t>
      </w:r>
      <w:r>
        <w:t xml:space="preserve">”</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rPr>
        <w:t xml:space="preserve">State v. Stewart</w:t>
      </w:r>
      <w:r>
        <w:t xml:space="preserve"> </w:t>
      </w:r>
      <w:r>
        <w:t xml:space="preserve">(1913), demanding</w:t>
      </w:r>
      <w:r>
        <w:t xml:space="preserve"> </w:t>
      </w:r>
      <w:r>
        <w:t xml:space="preserve">“</w:t>
      </w:r>
      <w:r>
        <w:t xml:space="preserve">the largest legitimate advantage</w:t>
      </w:r>
      <w:r>
        <w:t xml:space="preserve">”</w:t>
      </w:r>
      <w:r>
        <w:t xml:space="preserve"> </w:t>
      </w:r>
      <w:r>
        <w:t xml:space="preserve">for the beneficiary, the line runs through</w:t>
      </w:r>
      <w:r>
        <w:t xml:space="preserve"> </w:t>
      </w:r>
      <w:r>
        <w:rPr>
          <w:i/>
        </w:rPr>
        <w:t xml:space="preserve">Montrust</w:t>
      </w:r>
      <w:r>
        <w:t xml:space="preserve"> </w:t>
      </w:r>
      <w:r>
        <w:t xml:space="preserve">(1999) — which struck down eleven statutes and reaffirmed that the Legislature cannot legislate around the Board’s full-market-value duty — to</w:t>
      </w:r>
      <w:r>
        <w:t xml:space="preserve"> </w:t>
      </w:r>
      <w:r>
        <w:rPr>
          <w:i/>
        </w:rPr>
        <w:t xml:space="preserve">Schutter</w:t>
      </w:r>
      <w:r>
        <w:t xml:space="preserve"> </w:t>
      </w:r>
      <w:r>
        <w:t xml:space="preserve">(2024), which protected trust-associated water rights even where the diversion point sat on private land. The one big defeat came from above: in</w:t>
      </w:r>
      <w:r>
        <w:t xml:space="preserve"> </w:t>
      </w:r>
      <w:r>
        <w:rPr>
          <w:i/>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w:t>
      </w:r>
      <w:r>
        <w:t xml:space="preserve">absolute duty</w:t>
      </w:r>
      <w:r>
        <w:t xml:space="preserve">”</w:t>
      </w:r>
      <w:r>
        <w:t xml:space="preserve"> </w:t>
      </w:r>
      <w:r>
        <w:t xml:space="preserve">to charge fair value regardless of the statutory formula.</w:t>
      </w:r>
    </w:p>
    <w:p>
      <w:pPr>
        <w:pStyle w:val="BodyText"/>
      </w:pPr>
      <w:r>
        <w:rPr>
          <w:b/>
        </w:rPr>
        <w:t xml:space="preserve">Pull-quote:</w:t>
      </w:r>
      <w:r>
        <w:t xml:space="preserve"> </w:t>
      </w:r>
      <w:r>
        <w:rPr>
          <w:i/>
        </w:rPr>
        <w:t xml:space="preserve">The Land Board,</w:t>
      </w:r>
      <w:r>
        <w:rPr>
          <w:i/>
        </w:rPr>
        <w:t xml:space="preserve"> </w:t>
      </w:r>
      <w:r>
        <w:rPr>
          <w:i/>
        </w:rPr>
        <w:t xml:space="preserve">“</w:t>
      </w:r>
      <w:r>
        <w:rPr>
          <w:i/>
        </w:rPr>
        <w:t xml:space="preserve">as the instrumentality administering the school trust,</w:t>
      </w:r>
      <w:r>
        <w:rPr>
          <w:i/>
        </w:rPr>
        <w:t xml:space="preserve">”</w:t>
      </w:r>
      <w:r>
        <w:rPr>
          <w:i/>
        </w:rPr>
        <w:t xml:space="preserve"> </w:t>
      </w:r>
      <w:r>
        <w:rPr>
          <w:i/>
        </w:rPr>
        <w:t xml:space="preserve">must secure</w:t>
      </w:r>
      <w:r>
        <w:rPr>
          <w:i/>
        </w:rPr>
        <w:t xml:space="preserve"> </w:t>
      </w:r>
      <w:r>
        <w:rPr>
          <w:i/>
        </w:rPr>
        <w:t xml:space="preserve">“</w:t>
      </w:r>
      <w:r>
        <w:rPr>
          <w:i/>
        </w:rPr>
        <w:t xml:space="preserve">the largest legitimate advantage</w:t>
      </w:r>
      <w:r>
        <w:rPr>
          <w:i/>
        </w:rPr>
        <w:t xml:space="preserve">”</w:t>
      </w:r>
      <w:r>
        <w:rPr>
          <w:i/>
        </w:rPr>
        <w:t xml:space="preserve"> </w:t>
      </w:r>
      <w:r>
        <w:rPr>
          <w:i/>
        </w:rPr>
        <w:t xml:space="preserve">to the beneficiary. — State v. Stewart (1913)</w:t>
      </w:r>
    </w:p>
    <w:p>
      <w:pPr>
        <w:pStyle w:val="BodyText"/>
      </w:pPr>
      <w:r>
        <w:rPr>
          <w:b/>
        </w:rPr>
        <w:t xml:space="preserve">Lesson:</w:t>
      </w:r>
      <w:r>
        <w:t xml:space="preserve"> </w:t>
      </w:r>
      <w:r>
        <w:t xml:space="preserve">A weak federal floor can be made serviceable by a strong state constitution, a court willing to enforce it, and a beneficiary’s officer seated among the trustees. (See Ch. 5 and Ch. 6,</w:t>
      </w:r>
      <w:r>
        <w:t xml:space="preserve"> </w:t>
      </w:r>
      <w:r>
        <w:t xml:space="preserve">“</w:t>
      </w:r>
      <w:r>
        <w:t xml:space="preserve">Charter the adversary.</w:t>
      </w:r>
      <w:r>
        <w:t xml:space="preserve">”</w:t>
      </w:r>
      <w:r>
        <w:t xml:space="preserve">)</w:t>
      </w:r>
      <w:r>
        <w:t xml:space="preserve"> </w:t>
      </w:r>
      <w:r>
        <w:rPr>
          <w:i/>
        </w:rPr>
        <w:t xml:space="preserve">Sources/notes:</w:t>
      </w:r>
      <w:r>
        <w:t xml:space="preserve"> </w:t>
      </w:r>
      <w:r>
        <w:rPr>
          <w:i/>
        </w:rPr>
        <w:t xml:space="preserve">Schutter v. Bd. of Land Comm’rs</w:t>
      </w:r>
      <w:r>
        <w:t xml:space="preserve">, 2024 MT 88; Omnibus Enabling Act, Act of Feb. 22, 1889, § 10, 25 Stat. 676; Mont. Const. art. X §§ 2, 4, 5, 11;</w:t>
      </w:r>
      <w:r>
        <w:t xml:space="preserve"> </w:t>
      </w:r>
      <w:r>
        <w:rPr>
          <w:i/>
        </w:rPr>
        <w:t xml:space="preserve">State v. Stewart</w:t>
      </w:r>
      <w:r>
        <w:t xml:space="preserve">, 48 Mont. 347 (1913);</w:t>
      </w:r>
      <w:r>
        <w:t xml:space="preserve"> </w:t>
      </w:r>
      <w:r>
        <w:rPr>
          <w:i/>
        </w:rPr>
        <w:t xml:space="preserve">Montanans for the Responsible Use of the School Trust v. State</w:t>
      </w:r>
      <w:r>
        <w:t xml:space="preserve">, 1999 MT 263;</w:t>
      </w:r>
      <w:r>
        <w:t xml:space="preserve"> </w:t>
      </w:r>
      <w:r>
        <w:rPr>
          <w:i/>
        </w:rPr>
        <w:t xml:space="preserve">Schutter v. Bd. of Land Comm’rs</w:t>
      </w:r>
      <w:r>
        <w:t xml:space="preserve">, 2024 MT 88;</w:t>
      </w:r>
      <w:r>
        <w:t xml:space="preserve"> </w:t>
      </w:r>
      <w:r>
        <w:rPr>
          <w:i/>
        </w:rPr>
        <w:t xml:space="preserve">PPL Montana, LLC v. Montana</w:t>
      </w:r>
      <w:r>
        <w:t xml:space="preserve">, 565 U.S. 576 (2012); DNRC FY25 Return on Assets Report.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mt_9f972ce6d2a2_1200x_q90.jpg" id="0" name="Picture"/>
                    <pic:cNvPicPr>
                      <a:picLocks noChangeArrowheads="1" noChangeAspect="1"/>
                    </pic:cNvPicPr>
                  </pic:nvPicPr>
                  <pic:blipFill>
                    <a:blip r:embed="rId102"/>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schooltrusts.net/reading/us-mt, for current figures, recent developments, and sources.</w:t>
      </w:r>
    </w:p>
    <w:p>
      <w:r>
        <w:br w:type="page"/>
      </w:r>
    </w:p>
    <w:p>
      <w:pPr>
        <w:pStyle w:val="Heading2"/>
      </w:pPr>
      <w:bookmarkStart w:id="103" w:name="X868a68d06ba98bcc88838ee4b469447829f0532"/>
      <w:r>
        <w:t xml:space="preserve">Nebraska — Strong Pillars, Quiet Enforcement</w:t>
      </w:r>
      <w:bookmarkEnd w:id="103"/>
    </w:p>
    <w:p>
      <w:pPr>
        <w:pStyle w:val="FirstParagraph"/>
      </w:pPr>
      <w:r>
        <w:rPr>
          <w:i/>
        </w:rPr>
        <w:t xml:space="preserve">Admitted 1867 · Grant: sections 16 and 36 plus in-lieu (2,797,520.67 acres granted; ~1.25 million still held) [AS OF FY25] · School Trust portfolio</w:t>
      </w:r>
      <w:r>
        <w:rPr>
          <w:i/>
        </w:rPr>
        <w:t xml:space="preserve"> </w:t>
      </w:r>
      <w:r>
        <w:rPr>
          <w:b/>
          <w:i/>
        </w:rPr>
        <w:t xml:space="preserve">$3,047,262,853.42 as of June 30, 2025</w:t>
      </w:r>
      <w:r>
        <w:rPr>
          <w:i/>
        </w:rPr>
        <w:t xml:space="preserve">; Permanent Educational Trust Funds</w:t>
      </w:r>
      <w:r>
        <w:rPr>
          <w:i/>
        </w:rPr>
        <w:t xml:space="preserve"> </w:t>
      </w:r>
      <w:r>
        <w:rPr>
          <w:b/>
          <w:i/>
        </w:rPr>
        <w:t xml:space="preserve">$1,156,492,240.95</w:t>
      </w:r>
      <w:r>
        <w:rPr>
          <w:i/>
        </w:rPr>
        <w:t xml:space="preserve">; FY2025 disbursements</w:t>
      </w:r>
      <w:r>
        <w:rPr>
          <w:i/>
        </w:rPr>
        <w:t xml:space="preserve"> </w:t>
      </w:r>
      <w:r>
        <w:rPr>
          <w:b/>
          <w:i/>
        </w:rPr>
        <w:t xml:space="preserve">$129,176,784.79</w:t>
      </w:r>
      <w:r>
        <w:rPr>
          <w:i/>
        </w:rPr>
        <w:t xml:space="preserve"> </w:t>
      </w:r>
      <w:r>
        <w:rPr>
          <w:i/>
        </w:rPr>
        <w:t xml:space="preserve">· Trustee: Board of Educational Lands &amp; Funds — five gubernatorial appointees · Verdict: Kept faith, enforced episodically.</w:t>
      </w:r>
    </w:p>
    <w:p>
      <w:pPr>
        <w:pStyle w:val="BodyText"/>
      </w:pPr>
      <w:r>
        <w:rPr>
          <w:b/>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rPr>
        <w:t xml:space="preserve">separate</w:t>
      </w:r>
      <w:r>
        <w:t xml:space="preserve"> </w:t>
      </w:r>
      <w:r>
        <w:t xml:space="preserve">from the general fund,</w:t>
      </w:r>
      <w:r>
        <w:t xml:space="preserve"> </w:t>
      </w:r>
      <w:r>
        <w:rPr>
          <w:i/>
        </w:rPr>
        <w:t xml:space="preserve">irreducible</w:t>
      </w:r>
      <w:r>
        <w:t xml:space="preserve"> </w:t>
      </w:r>
      <w:r>
        <w:t xml:space="preserve">in principal (with the state pledged to replace any net loss), and</w:t>
      </w:r>
      <w:r>
        <w:t xml:space="preserve"> </w:t>
      </w:r>
      <w:r>
        <w:rPr>
          <w:i/>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rPr>
        <w:t xml:space="preserve">Propst</w:t>
      </w:r>
      <w:r>
        <w:t xml:space="preserve"> </w:t>
      </w:r>
      <w:r>
        <w:t xml:space="preserve">(1952) and</w:t>
      </w:r>
      <w:r>
        <w:t xml:space="preserve"> </w:t>
      </w:r>
      <w:r>
        <w:rPr>
          <w:i/>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rPr>
        <w:t xml:space="preserve">Belker</w:t>
      </w:r>
      <w:r>
        <w:t xml:space="preserve"> </w:t>
      </w:r>
      <w:r>
        <w:t xml:space="preserve">(1970), where a controlling minority upheld statutes</w:t>
      </w:r>
      <w:r>
        <w:t xml:space="preserve"> </w:t>
      </w:r>
      <w:r>
        <w:rPr>
          <w:i/>
        </w:rPr>
        <w:t xml:space="preserve">mandating</w:t>
      </w:r>
      <w:r>
        <w:t xml:space="preserve"> </w:t>
      </w:r>
      <w:r>
        <w:t xml:space="preserve">sale at lease expiration, reading Article VII’s</w:t>
      </w:r>
      <w:r>
        <w:t xml:space="preserve"> </w:t>
      </w:r>
      <w:r>
        <w:t xml:space="preserve">“</w:t>
      </w:r>
      <w:r>
        <w:t xml:space="preserve">under the direction of the Legislature</w:t>
      </w:r>
      <w:r>
        <w:t xml:space="preserv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w:t>
      </w:r>
      <w:r>
        <w:t xml:space="preserve">the trust’s own lawyer sits on the wrong side of the table</w:t>
      </w:r>
      <w:r>
        <w:t xml:space="preserv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rPr>
        <w:t xml:space="preserve">Then→now:</w:t>
      </w:r>
      <w:r>
        <w:t xml:space="preserve"> </w:t>
      </w:r>
      <w:r>
        <w:t xml:space="preserve">Below-market sweetheart leases struck down in 1951 → $129 million distributed to schools in FY2025.</w:t>
      </w:r>
    </w:p>
    <w:p>
      <w:pPr>
        <w:pStyle w:val="BodyText"/>
      </w:pPr>
      <w:r>
        <w:rPr>
          <w:b/>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rPr>
        <w:t xml:space="preserve">Sources/notes:</w:t>
      </w:r>
      <w:r>
        <w:t xml:space="preserve"> </w:t>
      </w:r>
      <w:r>
        <w:rPr>
          <w:i/>
        </w:rPr>
        <w:t xml:space="preserve">State ex rel. Belker v. Bd. of Educ. Lands &amp; Funds</w:t>
      </w:r>
      <w:r>
        <w:t xml:space="preserve">, 185 Neb. 270, 175 N.W.2d 63 (1970);</w:t>
      </w:r>
      <w:r>
        <w:t xml:space="preserve"> </w:t>
      </w:r>
      <w:r>
        <w:rPr>
          <w:i/>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rPr>
        <w:t xml:space="preserve">State ex rel. Ebke v. BELF</w:t>
      </w:r>
      <w:r>
        <w:t xml:space="preserve"> </w:t>
      </w:r>
      <w:r>
        <w:t xml:space="preserve">(1951);</w:t>
      </w:r>
      <w:r>
        <w:t xml:space="preserve"> </w:t>
      </w:r>
      <w:r>
        <w:rPr>
          <w:i/>
        </w:rPr>
        <w:t xml:space="preserve">Propst</w:t>
      </w:r>
      <w:r>
        <w:t xml:space="preserve"> </w:t>
      </w:r>
      <w:r>
        <w:t xml:space="preserve">(1952);</w:t>
      </w:r>
      <w:r>
        <w:t xml:space="preserve"> </w:t>
      </w:r>
      <w:r>
        <w:rPr>
          <w:i/>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e_d14df8ce97f4_1200x_q90.jpg" id="0" name="Picture"/>
                    <pic:cNvPicPr>
                      <a:picLocks noChangeArrowheads="1" noChangeAspect="1"/>
                    </pic:cNvPicPr>
                  </pic:nvPicPr>
                  <pic:blipFill>
                    <a:blip r:embed="rId104"/>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schooltrusts.net/reading/us-ne, for current figures, recent developments, and sources.</w:t>
      </w:r>
    </w:p>
    <w:p>
      <w:r>
        <w:br w:type="page"/>
      </w:r>
    </w:p>
    <w:p>
      <w:pPr>
        <w:pStyle w:val="Heading2"/>
      </w:pPr>
      <w:bookmarkStart w:id="105" w:name="nevada-the-endowment-it-traded-away"/>
      <w:r>
        <w:t xml:space="preserve">Nevada — The Endowment It Traded Away</w:t>
      </w:r>
      <w:bookmarkEnd w:id="105"/>
    </w:p>
    <w:p>
      <w:pPr>
        <w:pStyle w:val="FirstParagraph"/>
      </w:pPr>
      <w:r>
        <w:rPr>
          <w:i/>
        </w:rPr>
        <w:t xml:space="preserve">Admitted 1864 - Grant: sections 16 and 36 (nominal about 3.9 million acres) - School trust land today: about 3,000 acres, yielding under $5,000/yr in recent reporting; broad statutory Permanent School Fund balance</w:t>
      </w:r>
      <w:r>
        <w:rPr>
          <w:i/>
        </w:rPr>
        <w:t xml:space="preserve"> </w:t>
      </w:r>
      <w:r>
        <w:rPr>
          <w:b/>
          <w:i/>
        </w:rPr>
        <w:t xml:space="preserve">$531,127,843 as of June 30, 2025</w:t>
      </w:r>
      <w:r>
        <w:rPr>
          <w:i/>
        </w:rPr>
        <w:t xml:space="preserve"> </w:t>
      </w:r>
      <w:r>
        <w:rPr>
          <w:i/>
        </w:rPr>
        <w:t xml:space="preserve">(not the same thing as land-trust corpus) - Trustee: Division of State Lands (no constitutional land board) - Verdict: Broke the trust – by trade.</w:t>
      </w:r>
    </w:p>
    <w:p>
      <w:pPr>
        <w:pStyle w:val="BodyText"/>
      </w:pPr>
      <w:r>
        <w:rPr>
          <w:b/>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substrate’s phrase fits: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w:t>
      </w:r>
      <w:r>
        <w:t xml:space="preserve">Education First</w:t>
      </w:r>
      <w:r>
        <w:t xml:space="preserve">”</w:t>
      </w:r>
      <w:r>
        <w:t xml:space="preserve"> </w:t>
      </w:r>
      <w:r>
        <w:t xml:space="preserve">priority-appropriation rule. The clauses are stronger than ever. The endowment they protect is a fraction of the one Congress granted.</w:t>
      </w:r>
    </w:p>
    <w:p>
      <w:pPr>
        <w:pStyle w:val="BodyText"/>
      </w:pPr>
      <w:r>
        <w:rPr>
          <w:b/>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w:t>
      </w:r>
      <w:r>
        <w:t xml:space="preserve">Fire-sale liquidation.</w:t>
      </w:r>
      <w:r>
        <w:t xml:space="preserve">”</w:t>
      </w:r>
      <w:r>
        <w:t xml:space="preserve">)</w:t>
      </w:r>
      <w:r>
        <w:t xml:space="preserve"> </w:t>
      </w:r>
      <w:r>
        <w:rPr>
          <w:i/>
        </w:rPr>
        <w:t xml:space="preserve">Sources/notes:</w:t>
      </w:r>
      <w:r>
        <w:t xml:space="preserve"> </w:t>
      </w:r>
      <w:r>
        <w:t xml:space="preserve">Nevada Enabling Act, Act of Mar. 21, 1864, sec. 7, 13 Stat. 30;</w:t>
      </w:r>
      <w:r>
        <w:t xml:space="preserve"> </w:t>
      </w:r>
      <w:r>
        <w:rPr>
          <w:i/>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v_a21d596ac9a7_1200x_q90.jpg" id="0" name="Picture"/>
                    <pic:cNvPicPr>
                      <a:picLocks noChangeArrowheads="1" noChangeAspect="1"/>
                    </pic:cNvPicPr>
                  </pic:nvPicPr>
                  <pic:blipFill>
                    <a:blip r:embed="rId106"/>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schooltrusts.net/reading/us-nv, for current figures, recent developments, and sources.</w:t>
      </w:r>
    </w:p>
    <w:p>
      <w:r>
        <w:br w:type="page"/>
      </w:r>
    </w:p>
    <w:p>
      <w:pPr>
        <w:pStyle w:val="Heading2"/>
      </w:pPr>
      <w:bookmarkStart w:id="107" w:name="X8837d14c1ab3cae9ef512272f5136c45a7351ad"/>
      <w:r>
        <w:t xml:space="preserve">New Mexico — The State That Wrote in the Teeth</w:t>
      </w:r>
      <w:bookmarkEnd w:id="107"/>
    </w:p>
    <w:p>
      <w:pPr>
        <w:pStyle w:val="FirstParagraph"/>
      </w:pPr>
      <w:r>
        <w:rPr>
          <w:i/>
        </w:rPr>
        <w:t xml:space="preserve">Admitted 1912 · Grant: 4 sections (2, 16, 32, 36) · Land Grant Permanent Fund ≈ $32.6 billion [AS OF Oct. 31, 2024] · Trustee: elected Commissioner of Public Lands · Verdict: Kept faith.</w:t>
      </w:r>
    </w:p>
    <w:p>
      <w:pPr>
        <w:pStyle w:val="BodyText"/>
      </w:pPr>
      <w:r>
        <w:rPr>
          <w:b/>
        </w:rPr>
        <w:t xml:space="preserve">Telling fact:</w:t>
      </w:r>
      <w:r>
        <w:t xml:space="preserve"> </w:t>
      </w:r>
      <w:r>
        <w:t xml:space="preserve">New Mexico’s founding deal didn’t just say</w:t>
      </w:r>
      <w:r>
        <w:t xml:space="preserve"> </w:t>
      </w:r>
      <w:r>
        <w:t xml:space="preserve">“</w:t>
      </w:r>
      <w:r>
        <w:t xml:space="preserve">for schools</w:t>
      </w:r>
      <w:r>
        <w:t xml:space="preserve">”</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w:t>
      </w:r>
      <w:r>
        <w:t xml:space="preserve">in trust,</w:t>
      </w:r>
      <w:r>
        <w:t xml:space="preserve">”</w:t>
      </w:r>
      <w:r>
        <w:t xml:space="preserve"> </w:t>
      </w:r>
      <w:r>
        <w:t xml:space="preserve">in those exact common-law words. The proceeds of the land carried the same trust. Any disposition outside the named purposes was</w:t>
      </w:r>
      <w:r>
        <w:t xml:space="preserve"> </w:t>
      </w:r>
      <w:r>
        <w:rPr>
          <w:i/>
        </w:rPr>
        <w:t xml:space="preserve">defined</w:t>
      </w:r>
      <w:r>
        <w:t xml:space="preserve">, automatically, as a breach of trust. Any sale not made at advertised public auction, at the county seat, above appraised value, was declared null and void,</w:t>
      </w:r>
      <w:r>
        <w:t xml:space="preserve"> </w:t>
      </w:r>
      <w:r>
        <w:t xml:space="preserve">“</w:t>
      </w:r>
      <w:r>
        <w:t xml:space="preserve">any provision of the constitution or laws of the said State to the contrary notwithstanding.</w:t>
      </w:r>
      <w:r>
        <w:t xml:space="preserve">”</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w:t>
      </w:r>
      <w:r>
        <w:t xml:space="preserve">the resources and advantages of the state</w:t>
      </w:r>
      <w:r>
        <w:t xml:space="preserve">”</w:t>
      </w:r>
      <w:r>
        <w:t xml:space="preserve"> </w:t>
      </w:r>
      <w:r>
        <w:t xml:space="preserve">— on the theory that promotion would lift land values and, eventually, enrich the trust. The United States sued, and in</w:t>
      </w:r>
      <w:r>
        <w:t xml:space="preserve"> </w:t>
      </w:r>
      <w:r>
        <w:rPr>
          <w:i/>
        </w:rPr>
        <w:t xml:space="preserve">Ervien v. United States</w:t>
      </w:r>
      <w:r>
        <w:t xml:space="preserve"> </w:t>
      </w:r>
      <w:r>
        <w:t xml:space="preserve">(1919) the Supreme Court shut it down cold: the trust purposes are exact, exclusive, and admit of no addition. A century later the corpus stands near $32.6 billion [AS OF Oct. 31, 2024] and sends more than $1.3 billion a year to schools and other beneficiaries — about ninety percent of it riding on Permian Basin oil and gas.</w:t>
      </w:r>
    </w:p>
    <w:p>
      <w:pPr>
        <w:pStyle w:val="BodyText"/>
      </w:pPr>
      <w:r>
        <w:rPr>
          <w:b/>
        </w:rPr>
        <w:t xml:space="preserve">Pull-quote:</w:t>
      </w:r>
      <w:r>
        <w:t xml:space="preserve"> </w:t>
      </w:r>
      <w:r>
        <w:rPr>
          <w:i/>
        </w:rPr>
        <w:t xml:space="preserve">“</w:t>
      </w:r>
      <w:r>
        <w:rPr>
          <w:i/>
        </w:rPr>
        <w:t xml:space="preserve">The purposes must be regarded; they must be performed; they admit of no substitution; they admit of no addition.</w:t>
      </w:r>
      <w:r>
        <w:rPr>
          <w:i/>
        </w:rPr>
        <w:t xml:space="preserve">”</w:t>
      </w:r>
      <w:r>
        <w:rPr>
          <w:i/>
        </w:rPr>
        <w:t xml:space="preserve"> </w:t>
      </w:r>
      <w:r>
        <w:rPr>
          <w:i/>
        </w:rPr>
        <w:t xml:space="preserve">— Ervien v. United States (1919)</w:t>
      </w:r>
    </w:p>
    <w:p>
      <w:pPr>
        <w:pStyle w:val="BodyText"/>
      </w:pPr>
      <w:r>
        <w:rPr>
          <w:b/>
        </w:rPr>
        <w:t xml:space="preserve">Lesson:</w:t>
      </w:r>
      <w:r>
        <w:t xml:space="preserve"> </w:t>
      </w:r>
      <w:r>
        <w:t xml:space="preserve">Enforceable text plus a named enforcer is why this trust could be defended in court when others couldn’t. (See Ch. 5 and Ch. 6.) —</w:t>
      </w:r>
      <w:r>
        <w:t xml:space="preserve"> </w:t>
      </w:r>
      <w:r>
        <w:rPr>
          <w:i/>
        </w:rPr>
        <w:t xml:space="preserve">Sources/notes:</w:t>
      </w:r>
      <w:r>
        <w:t xml:space="preserve"> </w:t>
      </w:r>
      <w:r>
        <w:t xml:space="preserve">NM-Arizona Enabling Act of 1910, §§ 6, 10; N.M. Const. arts. XII, XIII, XXI; Ervien v. United States, 251 U.S. 41 (1919); Lassen v. Arizona (1967); State ex rel. King v. Lyons (2011); NM State Investment Council FY2024 (≈$32.6B as of Oct. 31, 2024).</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m_c01eb54e71bd_1200x_q90.jpg" id="0" name="Picture"/>
                    <pic:cNvPicPr>
                      <a:picLocks noChangeArrowheads="1" noChangeAspect="1"/>
                    </pic:cNvPicPr>
                  </pic:nvPicPr>
                  <pic:blipFill>
                    <a:blip r:embed="rId108"/>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schooltrusts.net/reading/us-nm, for current figures, recent developments, and sources.</w:t>
      </w:r>
    </w:p>
    <w:p>
      <w:r>
        <w:br w:type="page"/>
      </w:r>
    </w:p>
    <w:p>
      <w:pPr>
        <w:pStyle w:val="Heading2"/>
      </w:pPr>
      <w:bookmarkStart w:id="109" w:name="Xa3c5a31839fc93e8f8187c29da05ff13f9cb701"/>
      <w:r>
        <w:t xml:space="preserve">North Dakota — The Bridge That Held, and Then Struck Oil</w:t>
      </w:r>
      <w:bookmarkEnd w:id="109"/>
    </w:p>
    <w:p>
      <w:pPr>
        <w:pStyle w:val="FirstParagraph"/>
      </w:pPr>
      <w:r>
        <w:rPr>
          <w:i/>
        </w:rPr>
        <w:t xml:space="preserve">Admitted 1889 (first of the Omnibus quartet) - Grant: 2 sections (16 &amp; 36) - Common Schools Trust Fund</w:t>
      </w:r>
      <w:r>
        <w:rPr>
          <w:i/>
        </w:rPr>
        <w:t xml:space="preserve"> </w:t>
      </w:r>
      <w:r>
        <w:rPr>
          <w:b/>
          <w:i/>
        </w:rPr>
        <w:t xml:space="preserve">about $8.4 billion as of November 30, 2025</w:t>
      </w:r>
      <w:r>
        <w:rPr>
          <w:i/>
        </w:rPr>
        <w:t xml:space="preserve"> </w:t>
      </w:r>
      <w:r>
        <w:rPr>
          <w:i/>
        </w:rPr>
        <w:t xml:space="preserve">- Trustee: five-officer constitutional Board of University and School Lands - Verdict: Kept faith.</w:t>
      </w:r>
    </w:p>
    <w:p>
      <w:pPr>
        <w:pStyle w:val="BodyText"/>
      </w:pPr>
      <w:r>
        <w:rPr>
          <w:b/>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took a measurable step past the thin templates of the antebellum era. The 1859 Oregon act had said only that the land was granted</w:t>
      </w:r>
      <w:r>
        <w:t xml:space="preserve"> </w:t>
      </w:r>
      <w:r>
        <w:t xml:space="preserve">“</w:t>
      </w:r>
      <w:r>
        <w:t xml:space="preserve">for the use of schools</w:t>
      </w:r>
      <w:r>
        <w:t xml:space="preserve">”</w:t>
      </w:r>
      <w:r>
        <w:t xml:space="preserve"> </w:t>
      </w:r>
      <w:r>
        <w:t xml:space="preserve">and left the fund-building to the state. The 1889 act did that work itself, in federal text: it ordered the proceeds held as permanent funds with only the interest spendable, required public-sale-only disposition, and declared any non-conforming disposition</w:t>
      </w:r>
      <w:r>
        <w:t xml:space="preserve"> </w:t>
      </w:r>
      <w:r>
        <w:t xml:space="preserve">“</w:t>
      </w:r>
      <w:r>
        <w:t xml:space="preserve">null and void</w:t>
      </w:r>
      <w:r>
        <w:t xml:space="preserve">”</w:t>
      </w:r>
      <w:r>
        <w:t xml:space="preserve"> </w:t>
      </w:r>
      <w:r>
        <w:t xml:space="preserve">— the precursor to the famous null-and-void clause of the 1910 New Mexico act, twenty-one years early. On the project’s strength scale the Omnibus Act scores a 2: it has the compact form and the restoration clause, but not yet the express</w:t>
      </w:r>
      <w:r>
        <w:t xml:space="preserve"> </w:t>
      </w:r>
      <w:r>
        <w:t xml:space="preserve">“</w:t>
      </w:r>
      <w:r>
        <w:t xml:space="preserve">held in trust</w:t>
      </w:r>
      <w:r>
        <w:t xml:space="preserve">”</w:t>
      </w:r>
      <w:r>
        <w:t xml:space="preserve"> </w:t>
      </w:r>
      <w:r>
        <w:t xml:space="preserve">words or the federal-enforcer duty. North Dakota is the bridge between the weak template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rPr>
        <w:t xml:space="preserve">about $8.4 billion as of November 30, 2025</w:t>
      </w:r>
      <w:r>
        <w:t xml:space="preserve">. The architecture’s real test is what happens when the asset suddenly becomes valuable. North Dakota’s held.</w:t>
      </w:r>
    </w:p>
    <w:p>
      <w:pPr>
        <w:pStyle w:val="BodyText"/>
      </w:pPr>
      <w:r>
        <w:rPr>
          <w:b/>
        </w:rPr>
        <w:t xml:space="preserve">Then→now:</w:t>
      </w:r>
      <w:r>
        <w:t xml:space="preserve"> </w:t>
      </w:r>
      <w:r>
        <w:t xml:space="preserve">A fund in the low hundreds of millions circa 2000 →</w:t>
      </w:r>
      <w:r>
        <w:t xml:space="preserve"> </w:t>
      </w:r>
      <w:r>
        <w:rPr>
          <w:b/>
        </w:rPr>
        <w:t xml:space="preserve">about $8.4 billion as of November 30, 2025</w:t>
      </w:r>
      <w:r>
        <w:t xml:space="preserve">, after fifteen years of compounding Bakken royalties against a constitutionally dedicated revenue stream.</w:t>
      </w:r>
    </w:p>
    <w:p>
      <w:pPr>
        <w:pStyle w:val="BodyText"/>
      </w:pPr>
      <w:r>
        <w:rPr>
          <w:b/>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rPr>
        <w:t xml:space="preserve">Sources/notes:</w:t>
      </w:r>
      <w:r>
        <w:t xml:space="preserve"> </w:t>
      </w:r>
      <w:r>
        <w:t xml:space="preserve">Omnibus Enabling Act of 1889 §§ 4, 10-11; N.D. Const. art. IX §§ 1-3, 1960 mineral-reservation amendment; State ex rel. Bd. of Univ. &amp; Sch. Lands v. McMillan (1903); ND Dept. of Trust Lands (≈$8.4B, Nov. 2025).</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nd_c4b92892a10a_1200x_q90.jpg" id="0" name="Picture"/>
                    <pic:cNvPicPr>
                      <a:picLocks noChangeArrowheads="1" noChangeAspect="1"/>
                    </pic:cNvPicPr>
                  </pic:nvPicPr>
                  <pic:blipFill>
                    <a:blip r:embed="rId110"/>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schooltrusts.net/reading/us-nd, for current figures, recent developments, and sources.</w:t>
      </w:r>
    </w:p>
    <w:p>
      <w:r>
        <w:br w:type="page"/>
      </w:r>
    </w:p>
    <w:p>
      <w:pPr>
        <w:pStyle w:val="Heading2"/>
      </w:pPr>
      <w:bookmarkStart w:id="111" w:name="X5f0e284dc2fd627bb9c9f14c8fd5440537d1a8d"/>
      <w:r>
        <w:t xml:space="preserve">Ohio — The Template That Wrote Itself a Loophole</w:t>
      </w:r>
      <w:bookmarkEnd w:id="111"/>
    </w:p>
    <w:p>
      <w:pPr>
        <w:pStyle w:val="FirstParagraph"/>
      </w:pPr>
      <w:r>
        <w:rPr>
          <w:i/>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w:t>
      </w:r>
      <w:r>
        <w:t xml:space="preserve">lot No. 16 of every township for the maintenance of public schools,</w:t>
      </w:r>
      <w:r>
        <w:t xml:space="preserve">”</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w:t>
      </w:r>
      <w:r>
        <w:t xml:space="preserve">to the inhabitants of such township</w:t>
      </w:r>
      <w:r>
        <w:t xml:space="preserve">”</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w:t>
      </w:r>
      <w:r>
        <w:t xml:space="preserve">inviolate and undiminished</w:t>
      </w:r>
      <w:r>
        <w:t xml:space="preserve">”</w:t>
      </w:r>
      <w:r>
        <w:t xml:space="preserve"> </w:t>
      </w:r>
      <w:r>
        <w:t xml:space="preserve">and replace it with principal to be</w:t>
      </w:r>
      <w:r>
        <w:t xml:space="preserve"> </w:t>
      </w:r>
      <w:r>
        <w:t xml:space="preserve">“</w:t>
      </w:r>
      <w:r>
        <w:t xml:space="preserve">used or disposed of in such manner as the General Assembly shall prescribe by law.</w:t>
      </w:r>
      <w:r>
        <w:t xml:space="preserve">”</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w:t>
      </w:r>
      <w:r>
        <w:t xml:space="preserve">Fire-sale liquidation.</w:t>
      </w:r>
      <w:r>
        <w:t xml:space="preserve">”</w:t>
      </w:r>
      <w:r>
        <w:t xml:space="preserve">) —</w:t>
      </w:r>
      <w:r>
        <w:t xml:space="preserve"> </w:t>
      </w:r>
      <w:r>
        <w:rPr>
          <w:i/>
        </w:rPr>
        <w:t xml:space="preserve">Sources/notes:</w:t>
      </w:r>
      <w:r>
        <w:t xml:space="preserve"> </w:t>
      </w:r>
      <w:r>
        <w:rPr>
          <w:i/>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oh_bab5d16f9c13_1200x_q90.jpg" id="0" name="Picture"/>
                    <pic:cNvPicPr>
                      <a:picLocks noChangeArrowheads="1" noChangeAspect="1"/>
                    </pic:cNvPicPr>
                  </pic:nvPicPr>
                  <pic:blipFill>
                    <a:blip r:embed="rId112"/>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schooltrusts.net/reading/us-oh, for current figures, recent developments, and sources.</w:t>
      </w:r>
    </w:p>
    <w:p>
      <w:r>
        <w:br w:type="page"/>
      </w:r>
    </w:p>
    <w:p>
      <w:pPr>
        <w:pStyle w:val="Heading2"/>
      </w:pPr>
      <w:bookmarkStart w:id="113" w:name="X7226a7d195431b776ecc8f4532457dd43c952d9"/>
      <w:r>
        <w:t xml:space="preserve">Oklahoma — Half Land, Half Ledger, All Sacred Trust</w:t>
      </w:r>
      <w:bookmarkEnd w:id="113"/>
    </w:p>
    <w:p>
      <w:pPr>
        <w:pStyle w:val="FirstParagraph"/>
      </w:pPr>
      <w:r>
        <w:rPr>
          <w:i/>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rPr>
        <w:t xml:space="preserve">Telling fact:</w:t>
      </w:r>
      <w:r>
        <w:t xml:space="preserve"> </w:t>
      </w:r>
      <w:r>
        <w:t xml:space="preserve">Oklahoma is the only state Congress ever handed a</w:t>
      </w:r>
      <w:r>
        <w:t xml:space="preserve"> </w:t>
      </w:r>
      <w:r>
        <w:rPr>
          <w:i/>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w:t>
      </w:r>
      <w:r>
        <w:t xml:space="preserve">in trust,</w:t>
      </w:r>
      <w:r>
        <w:t xml:space="preserve">”</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w:t>
      </w:r>
      <w:r>
        <w:t xml:space="preserve">for the use and benefit of the common schools,</w:t>
      </w:r>
      <w:r>
        <w:t xml:space="preserve">”</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w:t>
      </w:r>
      <w:r>
        <w:t xml:space="preserve">a sacred trust,</w:t>
      </w:r>
      <w:r>
        <w:t xml:space="preserve">”</w:t>
      </w:r>
      <w:r>
        <w:t xml:space="preserve"> </w:t>
      </w:r>
      <w:r>
        <w:t xml:space="preserve">made the Permanent Common School Fund</w:t>
      </w:r>
      <w:r>
        <w:t xml:space="preserve"> </w:t>
      </w:r>
      <w:r>
        <w:t xml:space="preserve">“</w:t>
      </w:r>
      <w:r>
        <w:t xml:space="preserve">forever inviolate</w:t>
      </w:r>
      <w:r>
        <w:t xml:space="preserv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rPr>
        <w:t xml:space="preserve">“</w:t>
      </w:r>
      <w:r>
        <w:rPr>
          <w:b/>
        </w:rPr>
        <w:t xml:space="preserve">an irrevocable compact</w:t>
      </w:r>
      <w:r>
        <w:rPr>
          <w:b/>
        </w:rPr>
        <w:t xml:space="preserve">”</w:t>
      </w:r>
      <w:r>
        <w:t xml:space="preserve"> </w:t>
      </w:r>
      <w:r>
        <w:t xml:space="preserve">and a</w:t>
      </w:r>
      <w:r>
        <w:t xml:space="preserve"> </w:t>
      </w:r>
      <w:r>
        <w:t xml:space="preserve">“</w:t>
      </w:r>
      <w:r>
        <w:t xml:space="preserve">sacred trust</w:t>
      </w:r>
      <w:r>
        <w:t xml:space="preserve">”</w:t>
      </w:r>
      <w:r>
        <w:t xml:space="preserve"> </w:t>
      </w:r>
      <w:r>
        <w:t xml:space="preserve">— and that no statute may divert trust value to non-beneficiaries, however sympathetic.</w:t>
      </w:r>
      <w:r>
        <w:t xml:space="preserve"> </w:t>
      </w:r>
      <w:r>
        <w:rPr>
          <w:i/>
        </w:rPr>
        <w:t xml:space="preserve">Nigh</w:t>
      </w:r>
      <w:r>
        <w:t xml:space="preserve"> </w:t>
      </w:r>
      <w:r>
        <w:t xml:space="preserve">is Oklahoma’s anti-subsidy decision, the case the Attorney General cites whenever someone asks the trust to give something away.</w:t>
      </w:r>
    </w:p>
    <w:p>
      <w:pPr>
        <w:pStyle w:val="BodyText"/>
      </w:pPr>
      <w:r>
        <w:rPr>
          <w:b/>
        </w:rPr>
        <w:t xml:space="preserve">Pull-quote:</w:t>
      </w:r>
      <w:r>
        <w:t xml:space="preserve"> </w:t>
      </w:r>
      <w:r>
        <w:rPr>
          <w:i/>
        </w:rPr>
        <w:t xml:space="preserve">The Enabling Act and the constitution create</w:t>
      </w:r>
      <w:r>
        <w:rPr>
          <w:i/>
        </w:rPr>
        <w:t xml:space="preserve"> </w:t>
      </w:r>
      <w:r>
        <w:rPr>
          <w:i/>
        </w:rPr>
        <w:t xml:space="preserve">“</w:t>
      </w:r>
      <w:r>
        <w:rPr>
          <w:i/>
        </w:rPr>
        <w:t xml:space="preserve">an irrevocable compact</w:t>
      </w:r>
      <w:r>
        <w:rPr>
          <w:i/>
        </w:rPr>
        <w:t xml:space="preserve">”</w:t>
      </w:r>
      <w:r>
        <w:rPr>
          <w:i/>
        </w:rPr>
        <w:t xml:space="preserve"> </w:t>
      </w:r>
      <w:r>
        <w:rPr>
          <w:i/>
        </w:rPr>
        <w:t xml:space="preserve">and a</w:t>
      </w:r>
      <w:r>
        <w:rPr>
          <w:i/>
        </w:rPr>
        <w:t xml:space="preserve"> </w:t>
      </w:r>
      <w:r>
        <w:rPr>
          <w:i/>
        </w:rPr>
        <w:t xml:space="preserve">“</w:t>
      </w:r>
      <w:r>
        <w:rPr>
          <w:i/>
        </w:rPr>
        <w:t xml:space="preserve">sacred trust</w:t>
      </w:r>
      <w:r>
        <w:rPr>
          <w:i/>
        </w:rPr>
        <w:t xml:space="preserve">”</w:t>
      </w:r>
      <w:r>
        <w:rPr>
          <w:i/>
        </w:rPr>
        <w:t xml:space="preserve"> </w:t>
      </w:r>
      <w:r>
        <w:rPr>
          <w:i/>
        </w:rPr>
        <w:t xml:space="preserve">— no statute may diminish the state’s duty to the beneficiaries. — Oklahoma Education Association v. Nigh (1982)</w:t>
      </w:r>
    </w:p>
    <w:p>
      <w:pPr>
        <w:pStyle w:val="BodyText"/>
      </w:pPr>
      <w:r>
        <w:rPr>
          <w:b/>
        </w:rPr>
        <w:t xml:space="preserve">Lesson:</w:t>
      </w:r>
      <w:r>
        <w:t xml:space="preserve"> </w:t>
      </w:r>
      <w:r>
        <w:t xml:space="preserve">Strong state architecture and a court willing to call subsidies what they are can hold a trust together even when the federal text is thin — and even when half the endowment is only money. (See Ch. 5.) —</w:t>
      </w:r>
      <w:r>
        <w:t xml:space="preserve"> </w:t>
      </w:r>
      <w:r>
        <w:rPr>
          <w:i/>
        </w:rPr>
        <w:t xml:space="preserve">Sources/notes:</w:t>
      </w:r>
      <w:r>
        <w:t xml:space="preserve"> </w:t>
      </w:r>
      <w:r>
        <w:rPr>
          <w:i/>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ok_08a7508d093e_1200x_q90.jpg" id="0" name="Picture"/>
                    <pic:cNvPicPr>
                      <a:picLocks noChangeArrowheads="1" noChangeAspect="1"/>
                    </pic:cNvPicPr>
                  </pic:nvPicPr>
                  <pic:blipFill>
                    <a:blip r:embed="rId114"/>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schooltrusts.net/reading/us-ok, for current figures, recent developments, and sources.</w:t>
      </w:r>
    </w:p>
    <w:p>
      <w:r>
        <w:br w:type="page"/>
      </w:r>
    </w:p>
    <w:p>
      <w:pPr>
        <w:pStyle w:val="Heading2"/>
      </w:pPr>
      <w:bookmarkStart w:id="115" w:name="X64f4b7a175fac1c331652e4074a59b57edbcff3"/>
      <w:r>
        <w:t xml:space="preserve">Oregon — The Sale That the Seller Made to Itself</w:t>
      </w:r>
      <w:bookmarkEnd w:id="115"/>
    </w:p>
    <w:p>
      <w:pPr>
        <w:pStyle w:val="FirstParagraph"/>
      </w:pPr>
      <w:r>
        <w:rPr>
          <w:i/>
        </w:rPr>
        <w:t xml:space="preserve">Admitted 1859 - Grant: 2 sections (16 &amp; 36); nearly 3.4 million acres - Common School Fund audited fund balance</w:t>
      </w:r>
      <w:r>
        <w:rPr>
          <w:i/>
        </w:rPr>
        <w:t xml:space="preserve"> </w:t>
      </w:r>
      <w:r>
        <w:rPr>
          <w:b/>
          <w:i/>
        </w:rPr>
        <w:t xml:space="preserve">$2,585,199,612 as of June 30, 2025</w:t>
      </w:r>
      <w:r>
        <w:rPr>
          <w:i/>
        </w:rPr>
        <w:t xml:space="preserve">; about</w:t>
      </w:r>
      <w:r>
        <w:rPr>
          <w:i/>
        </w:rPr>
        <w:t xml:space="preserve"> </w:t>
      </w:r>
      <w:r>
        <w:rPr>
          <w:b/>
          <w:i/>
        </w:rPr>
        <w:t xml:space="preserve">681,000 trust acres</w:t>
      </w:r>
      <w:r>
        <w:rPr>
          <w:i/>
        </w:rPr>
        <w:t xml:space="preserve"> </w:t>
      </w:r>
      <w:r>
        <w:rPr>
          <w:i/>
        </w:rPr>
        <w:t xml:space="preserve">remaining - Trustee: State Land Board – Governor, Secretary of State, Treasurer, ex officio - Verdict: Broke the trust (contested; in active litigation).</w:t>
      </w:r>
    </w:p>
    <w:p>
      <w:pPr>
        <w:pStyle w:val="BodyText"/>
      </w:pPr>
      <w:r>
        <w:rPr>
          <w:b/>
        </w:rPr>
        <w:t xml:space="preserve">Telling fact:</w:t>
      </w:r>
      <w:r>
        <w:t xml:space="preserve"> </w:t>
      </w:r>
      <w:r>
        <w:t xml:space="preserve">To get the Elliott State Forest off the schools’ books, Oregon valued it on an</w:t>
      </w:r>
      <w:r>
        <w:t xml:space="preserve"> </w:t>
      </w:r>
      <w:r>
        <w:t xml:space="preserve">“</w:t>
      </w:r>
      <w:r>
        <w:t xml:space="preserve">investment-value</w:t>
      </w:r>
      <w:r>
        <w:t xml:space="preserv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w:t>
      </w:r>
      <w:r>
        <w:t xml:space="preserve">separate, and irreducible,</w:t>
      </w:r>
      <w:r>
        <w:t xml:space="preserv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w:t>
      </w:r>
      <w:r>
        <w:t xml:space="preserve">Infamous Act</w:t>
      </w:r>
      <w:r>
        <w:t xml:space="preserve">”</w:t>
      </w:r>
      <w:r>
        <w:t xml:space="preserve"> </w:t>
      </w:r>
      <w:r>
        <w:t xml:space="preserve">fixed school-land prices at $1.25 an acre — agricultural prices for standing Cascade timber — and locked the trustees into selling at that rate. Brokers hired</w:t>
      </w:r>
      <w:r>
        <w:t xml:space="preserve"> </w:t>
      </w:r>
      <w:r>
        <w:t xml:space="preserve">“</w:t>
      </w:r>
      <w:r>
        <w:t xml:space="preserve">dummy</w:t>
      </w:r>
      <w:r>
        <w:t xml:space="preserve">”</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w:t>
      </w:r>
      <w:r>
        <w:t xml:space="preserve">decouple</w:t>
      </w:r>
      <w:r>
        <w:t xml:space="preserv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w:t>
      </w:r>
      <w:r>
        <w:t xml:space="preserve">investment-value</w:t>
      </w:r>
      <w:r>
        <w:t xml:space="preserv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rPr>
        <w:t xml:space="preserve">standing</w:t>
      </w:r>
      <w:r>
        <w:t xml:space="preserve"> </w:t>
      </w:r>
      <w:r>
        <w:t xml:space="preserve">to enforce the trustee’s fiduciary duties against the state — a procedural win, not a merits ruling, but the door that lets the Coos County case (</w:t>
      </w:r>
      <w:r>
        <w:rPr>
          <w:i/>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rPr>
        <w:t xml:space="preserve">Pull-quote:</w:t>
      </w:r>
      <w:r>
        <w:t xml:space="preserve"> </w:t>
      </w:r>
      <w:r>
        <w:rPr>
          <w:i/>
        </w:rPr>
        <w:t xml:space="preserve">A</w:t>
      </w:r>
      <w:r>
        <w:rPr>
          <w:i/>
        </w:rPr>
        <w:t xml:space="preserve"> </w:t>
      </w:r>
      <w:r>
        <w:rPr>
          <w:i/>
        </w:rPr>
        <w:t xml:space="preserve">“</w:t>
      </w:r>
      <w:r>
        <w:rPr>
          <w:i/>
        </w:rPr>
        <w:t xml:space="preserve">buyout</w:t>
      </w:r>
      <w:r>
        <w:rPr>
          <w:i/>
        </w:rPr>
        <w:t xml:space="preserve">”</w:t>
      </w:r>
      <w:r>
        <w:rPr>
          <w:i/>
        </w:rPr>
        <w:t xml:space="preserve"> </w:t>
      </w:r>
      <w:r>
        <w:rPr>
          <w:i/>
        </w:rPr>
        <w:t xml:space="preserve">priced by the buyer, on an appraisal the buyer wrote, paid by the buyer to itself, is not compensation. It is the breach wearing the costume of a sale.</w:t>
      </w:r>
    </w:p>
    <w:p>
      <w:pPr>
        <w:pStyle w:val="BodyText"/>
      </w:pPr>
      <w:r>
        <w:rPr>
          <w:b/>
        </w:rPr>
        <w:t xml:space="preserve">Lesson:</w:t>
      </w:r>
      <w:r>
        <w:t xml:space="preserve"> </w:t>
      </w:r>
      <w:r>
        <w:t xml:space="preserve">A trustee who is also the buyer will find a number that suits the buyer — which is why</w:t>
      </w:r>
      <w:r>
        <w:t xml:space="preserve"> </w:t>
      </w:r>
      <w:r>
        <w:t xml:space="preserve">“</w:t>
      </w:r>
      <w:r>
        <w:t xml:space="preserve">fair value</w:t>
      </w:r>
      <w:r>
        <w:t xml:space="preserve">”</w:t>
      </w:r>
      <w:r>
        <w:t xml:space="preserve"> </w:t>
      </w:r>
      <w:r>
        <w:t xml:space="preserve">has to be tested by someone who isn’t the state. (See Ch. 4, the Elliott sham, and Ch. 6.) —</w:t>
      </w:r>
      <w:r>
        <w:t xml:space="preserve"> </w:t>
      </w:r>
      <w:r>
        <w:rPr>
          <w:i/>
        </w:rPr>
        <w:t xml:space="preserve">Sources/notes:</w:t>
      </w:r>
      <w:r>
        <w:t xml:space="preserve"> </w:t>
      </w:r>
      <w:r>
        <w:t xml:space="preserve">Oregon Admission Act of 1859; Or. Const. art. VIII §§ 2, 5; F.G. Young, Oregon Historical Quarterly (1910);</w:t>
      </w:r>
      <w:r>
        <w:t xml:space="preserve"> </w:t>
      </w:r>
      <w:r>
        <w:rPr>
          <w:i/>
        </w:rPr>
        <w:t xml:space="preserve">Cascadia Wildlands v. Dep’t of State Lands</w:t>
      </w:r>
      <w:r>
        <w:t xml:space="preserve">, 365 Or. 750 (2019); Advocates for School Trust Lands v. State, 346 Or. App. 668 (2026); OASTL valuation materials (contested); DSL Common School Fund reports.</w:t>
      </w:r>
    </w:p>
    <w:p>
      <w:r>
        <w:pict>
          <v:rect style="width:0;height:1.5pt" o:hralign="center" o:hrstd="t" o:hr="t"/>
        </w:pict>
      </w:r>
    </w:p>
    <w:p>
      <w:pPr>
        <w:pStyle w:val="Heading3"/>
      </w:pPr>
      <w:bookmarkStart w:id="116" w:name="the-last-thirty-years-the-elliott"/>
      <w:r>
        <w:t xml:space="preserve">The last thirty years: the Elliott</w:t>
      </w:r>
      <w:bookmarkEnd w:id="116"/>
    </w:p>
    <w:p>
      <w:pPr>
        <w:pStyle w:val="FirstParagraph"/>
      </w:pP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w:t>
      </w:r>
      <w:r>
        <w:t xml:space="preserve">decouple</w:t>
      </w:r>
      <w:r>
        <w:t xml:space="preserve">”</w:t>
      </w:r>
      <w:r>
        <w:t xml:space="preserve"> </w:t>
      </w:r>
      <w:r>
        <w:t xml:space="preserve">the forest from the Common School Fund — transfer it to Oregon State University as a research forest and compensate the fund with bonds, at an</w:t>
      </w:r>
      <w:r>
        <w:t xml:space="preserve"> </w:t>
      </w:r>
      <w:r>
        <w:t xml:space="preserve">“</w:t>
      </w:r>
      <w:r>
        <w:t xml:space="preserve">investment value</w:t>
      </w:r>
      <w:r>
        <w:t xml:space="preserv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rPr>
        <w:t xml:space="preserve">“</w:t>
      </w:r>
      <w:r>
        <w:rPr>
          <w:i/>
        </w:rPr>
        <w:t xml:space="preserve">does not owe Plaintiffs the duties alleged.</w:t>
      </w:r>
      <w:r>
        <w:rPr>
          <w:i/>
        </w:rPr>
        <w:t xml:space="preserve">”</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pPr>
        <w:pStyle w:val="BodyText"/>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or_2183bc25da6b_1200x_q90.jpg" id="0" name="Picture"/>
                    <pic:cNvPicPr>
                      <a:picLocks noChangeArrowheads="1" noChangeAspect="1"/>
                    </pic:cNvPicPr>
                  </pic:nvPicPr>
                  <pic:blipFill>
                    <a:blip r:embed="rId117"/>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schooltrusts.net/reading/us-or, for current figures, recent developments, and sources.</w:t>
      </w:r>
    </w:p>
    <w:p>
      <w:r>
        <w:br w:type="page"/>
      </w:r>
    </w:p>
    <w:p>
      <w:pPr>
        <w:pStyle w:val="Heading2"/>
      </w:pPr>
      <w:bookmarkStart w:id="118" w:name="X709288ddcd85848cc8687643a1b6c7079f222d5"/>
      <w:r>
        <w:t xml:space="preserve">South Dakota — The Trust the Courts Took Seriously</w:t>
      </w:r>
      <w:bookmarkEnd w:id="118"/>
    </w:p>
    <w:p>
      <w:pPr>
        <w:pStyle w:val="FirstParagraph"/>
      </w:pPr>
      <w:r>
        <w:rPr>
          <w:i/>
        </w:rPr>
        <w:t xml:space="preserve">Admitted 1889 (Omnibus quartet) - Grant: 2 sections (16 &amp; 36), about 3.5 million acres - School and Public Lands Fund ending fair value</w:t>
      </w:r>
      <w:r>
        <w:rPr>
          <w:i/>
        </w:rPr>
        <w:t xml:space="preserve"> </w:t>
      </w:r>
      <w:r>
        <w:rPr>
          <w:b/>
          <w:i/>
        </w:rPr>
        <w:t xml:space="preserve">$430,690,564 as of June 30, 2025</w:t>
      </w:r>
      <w:r>
        <w:rPr>
          <w:i/>
        </w:rPr>
        <w:t xml:space="preserve"> </w:t>
      </w:r>
      <w:r>
        <w:rPr>
          <w:i/>
        </w:rPr>
        <w:t xml:space="preserve">- Trustee: elected Commissioner of School and Public Lands - Verdict: Kept faith.</w:t>
      </w:r>
    </w:p>
    <w:p>
      <w:pPr>
        <w:pStyle w:val="BodyText"/>
      </w:pPr>
      <w:r>
        <w:rPr>
          <w:b/>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w:t>
      </w:r>
      <w:r>
        <w:t xml:space="preserve">trust fund held by the state,</w:t>
      </w:r>
      <w:r>
        <w:t xml:space="preserve">”</w:t>
      </w:r>
      <w:r>
        <w:t xml:space="preserve"> </w:t>
      </w:r>
      <w:r>
        <w:t xml:space="preserve">with income</w:t>
      </w:r>
      <w:r>
        <w:t xml:space="preserve"> </w:t>
      </w:r>
      <w:r>
        <w:t xml:space="preserve">“</w:t>
      </w:r>
      <w:r>
        <w:t xml:space="preserve">inviolably applied</w:t>
      </w:r>
      <w:r>
        <w:t xml:space="preserve">”</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w:t>
      </w:r>
      <w:r>
        <w:t xml:space="preserve">utmost fidelity.</w:t>
      </w:r>
      <w:r>
        <w:t xml:space="preserve">”</w:t>
      </w:r>
      <w:r>
        <w:t xml:space="preserve"> </w:t>
      </w:r>
      <w:r>
        <w:t xml:space="preserve">In 1957, in</w:t>
      </w:r>
      <w:r>
        <w:t xml:space="preserve"> </w:t>
      </w:r>
      <w:r>
        <w:rPr>
          <w:i/>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w:t>
      </w:r>
      <w:r>
        <w:t xml:space="preserve">public sale</w:t>
      </w:r>
      <w:r>
        <w:t xml:space="preserv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rPr>
        <w:t xml:space="preserve">Then→now:</w:t>
      </w:r>
      <w:r>
        <w:t xml:space="preserve"> </w:t>
      </w:r>
      <w:r>
        <w:t xml:space="preserve">A trust other states let bleed out → a</w:t>
      </w:r>
      <w:r>
        <w:t xml:space="preserve"> </w:t>
      </w:r>
      <w:r>
        <w:rPr>
          <w:b/>
        </w:rPr>
        <w:t xml:space="preserve">$430,690,564</w:t>
      </w:r>
      <w:r>
        <w:t xml:space="preserve"> </w:t>
      </w:r>
      <w:r>
        <w:t xml:space="preserve">fund as of June 30, 2025, that returned</w:t>
      </w:r>
      <w:r>
        <w:t xml:space="preserve"> </w:t>
      </w:r>
      <w:r>
        <w:rPr>
          <w:b/>
        </w:rPr>
        <w:t xml:space="preserve">$15,590,737.54</w:t>
      </w:r>
      <w:r>
        <w:t xml:space="preserve"> </w:t>
      </w:r>
      <w:r>
        <w:t xml:space="preserve">to common schools in FY2025, defended by a 130-year unbroken line of court decisions.</w:t>
      </w:r>
    </w:p>
    <w:p>
      <w:pPr>
        <w:pStyle w:val="BodyText"/>
      </w:pPr>
      <w:r>
        <w:rPr>
          <w:b/>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Omnibus Enabling Act of Feb. 22, 1889, 25 Stat. 676, secs. 10-11; S.D. Const. art. VIII secs. 7, 11;</w:t>
      </w:r>
      <w:r>
        <w:t xml:space="preserve"> </w:t>
      </w:r>
      <w:r>
        <w:rPr>
          <w:i/>
        </w:rPr>
        <w:t xml:space="preserve">State v. Ruth</w:t>
      </w:r>
      <w:r>
        <w:t xml:space="preserve"> </w:t>
      </w:r>
      <w:r>
        <w:t xml:space="preserve">(1896);</w:t>
      </w:r>
      <w:r>
        <w:t xml:space="preserve"> </w:t>
      </w:r>
      <w:r>
        <w:rPr>
          <w:i/>
        </w:rPr>
        <w:t xml:space="preserve">Schelle v. Foss</w:t>
      </w:r>
      <w:r>
        <w:t xml:space="preserve"> </w:t>
      </w:r>
      <w:r>
        <w:t xml:space="preserve">(1957);</w:t>
      </w:r>
      <w:r>
        <w:t xml:space="preserve"> </w:t>
      </w:r>
      <w:r>
        <w:rPr>
          <w:i/>
        </w:rPr>
        <w:t xml:space="preserve">Matthews v. Linn</w:t>
      </w:r>
      <w:r>
        <w:t xml:space="preserve"> </w:t>
      </w:r>
      <w:r>
        <w:t xml:space="preserve">(1959);</w:t>
      </w:r>
      <w:r>
        <w:t xml:space="preserve"> </w:t>
      </w:r>
      <w:r>
        <w:rPr>
          <w:i/>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rPr>
        <w:t xml:space="preserve">$10/acre</w:t>
      </w:r>
      <w:r>
        <w:t xml:space="preserve">, not $1.25; the Beadle Capitol statue and the</w:t>
      </w:r>
      <w:r>
        <w:t xml:space="preserve"> </w:t>
      </w:r>
      <w:r>
        <w:t xml:space="preserve">“</w:t>
      </w:r>
      <w:r>
        <w:t xml:space="preserve">Beadle Club</w:t>
      </w:r>
      <w:r>
        <w:t xml:space="preserve">”</w:t>
      </w:r>
      <w:r>
        <w:t xml:space="preserve"> </w:t>
      </w:r>
      <w:r>
        <w:t xml:space="preserve">of schoolmen who pushed the protections are the human hook.</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sd_8396c1f470e6_1200x_q90.jpg" id="0" name="Picture"/>
                    <pic:cNvPicPr>
                      <a:picLocks noChangeArrowheads="1" noChangeAspect="1"/>
                    </pic:cNvPicPr>
                  </pic:nvPicPr>
                  <pic:blipFill>
                    <a:blip r:embed="rId119"/>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schooltrusts.net/reading/us-sd, for current figures, recent developments, and sources.</w:t>
      </w:r>
    </w:p>
    <w:p>
      <w:r>
        <w:br w:type="page"/>
      </w:r>
    </w:p>
    <w:p>
      <w:pPr>
        <w:pStyle w:val="Heading2"/>
      </w:pPr>
      <w:bookmarkStart w:id="120" w:name="X1fb5a2b5e1437f8e8b536da20b302182306808f"/>
      <w:r>
        <w:t xml:space="preserve">Tennessee — The Trust That Talked Itself Out of Protection</w:t>
      </w:r>
      <w:bookmarkEnd w:id="120"/>
    </w:p>
    <w:p>
      <w:pPr>
        <w:pStyle w:val="FirstParagraph"/>
      </w:pPr>
      <w:r>
        <w:rPr>
          <w:i/>
        </w:rPr>
        <w:t xml:space="preserve">Admitted 1796 (no usable section-16 grant; former federal territory ceded by North Carolina) · Grant: belated, via the 1806 Compact — two 100,000-acre college tracts plus 640 acres per six-mile square</w:t>
      </w:r>
      <w:r>
        <w:rPr>
          <w:i/>
        </w:rPr>
        <w:t xml:space="preserve"> </w:t>
      </w:r>
      <w:r>
        <w:rPr>
          <w:i/>
        </w:rPr>
        <w:t xml:space="preserve">“</w:t>
      </w:r>
      <w:r>
        <w:rPr>
          <w:i/>
        </w:rPr>
        <w:t xml:space="preserve">where claims allowed</w:t>
      </w:r>
      <w:r>
        <w:rPr>
          <w:i/>
        </w:rPr>
        <w:t xml:space="preserve">”</w:t>
      </w:r>
      <w:r>
        <w:rPr>
          <w:i/>
        </w:rPr>
        <w:t xml:space="preserve"> </w:t>
      </w:r>
      <w:r>
        <w:rPr>
          <w:i/>
        </w:rPr>
        <w:t xml:space="preserve">· Trust fund: dismantled at the constitutional level in 1978 · Trustee: the General Assembly · Verdict: Lost (by repeal).</w:t>
      </w:r>
    </w:p>
    <w:p>
      <w:pPr>
        <w:pStyle w:val="BodyText"/>
      </w:pPr>
      <w:r>
        <w:rPr>
          <w:b/>
        </w:rPr>
        <w:t xml:space="preserve">Telling fact:</w:t>
      </w:r>
      <w:r>
        <w:t xml:space="preserve"> </w:t>
      </w:r>
      <w:r>
        <w:t xml:space="preserve">For 143 years Tennessee’s constitution protected a permanent school fund whose principal could</w:t>
      </w:r>
      <w:r>
        <w:t xml:space="preserve"> </w:t>
      </w:r>
      <w:r>
        <w:t xml:space="preserve">“</w:t>
      </w:r>
      <w:r>
        <w:t xml:space="preserve">never be diminished.</w:t>
      </w:r>
      <w:r>
        <w:t xml:space="preserve">”</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rPr>
        <w:t xml:space="preserve">Middle</w:t>
      </w:r>
      <w:r>
        <w:t xml:space="preserve"> </w:t>
      </w:r>
      <w:r>
        <w:t xml:space="preserve">Tennessee — plus a sprinkle of common-school land</w:t>
      </w:r>
      <w:r>
        <w:t xml:space="preserve"> </w:t>
      </w:r>
      <w:r>
        <w:t xml:space="preserve">“</w:t>
      </w:r>
      <w:r>
        <w:t xml:space="preserve">where existing claims allowed.</w:t>
      </w:r>
      <w:r>
        <w:t xml:space="preserve">”</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w:t>
      </w:r>
      <w:r>
        <w:t xml:space="preserve">the principal of which shall never be diminished by legislative appropriation,</w:t>
      </w:r>
      <w:r>
        <w:t xml:space="preserve">”</w:t>
      </w:r>
      <w:r>
        <w:t xml:space="preserve"> </w:t>
      </w:r>
      <w:r>
        <w:t xml:space="preserve">its interest</w:t>
      </w:r>
      <w:r>
        <w:t xml:space="preserve"> </w:t>
      </w:r>
      <w:r>
        <w:t xml:space="preserve">“</w:t>
      </w:r>
      <w:r>
        <w:t xml:space="preserve">inviolably appropriated</w:t>
      </w:r>
      <w:r>
        <w:t xml:space="preserve">”</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w:t>
      </w:r>
      <w:r>
        <w:t xml:space="preserve">recognizes the inherent value of education and encourages its support.</w:t>
      </w:r>
      <w:r>
        <w:t xml:space="preserve">”</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rPr>
        <w:t xml:space="preserve">Pull-quote:</w:t>
      </w:r>
      <w:r>
        <w:t xml:space="preserve"> </w:t>
      </w:r>
      <w:r>
        <w:rPr>
          <w:i/>
        </w:rPr>
        <w:t xml:space="preserve">“</w:t>
      </w:r>
      <w:r>
        <w:rPr>
          <w:i/>
        </w:rPr>
        <w:t xml:space="preserve">The principal of which shall never be diminished by legislative appropriation.</w:t>
      </w:r>
      <w:r>
        <w:rPr>
          <w:i/>
        </w:rPr>
        <w:t xml:space="preserve">”</w:t>
      </w:r>
      <w:r>
        <w:rPr>
          <w:i/>
        </w:rPr>
        <w:t xml:space="preserve"> </w:t>
      </w:r>
      <w:r>
        <w:rPr>
          <w:i/>
        </w:rPr>
        <w:t xml:space="preserve">— Tennessee Constitution of 1835, deleted by the voters in 1978.</w:t>
      </w:r>
    </w:p>
    <w:p>
      <w:pPr>
        <w:pStyle w:val="BodyText"/>
      </w:pPr>
      <w:r>
        <w:rPr>
          <w:b/>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w:t>
      </w:r>
      <w:r>
        <w:t xml:space="preserve">Lessons.</w:t>
      </w:r>
      <w:r>
        <w:t xml:space="preserve">”</w:t>
      </w:r>
      <w:r>
        <w:t xml:space="preserve">)</w:t>
      </w:r>
    </w:p>
    <w:p>
      <w:pPr>
        <w:pStyle w:val="BodyText"/>
      </w:pPr>
      <w:r>
        <w:rPr>
          <w:i/>
        </w:rPr>
        <w:t xml:space="preserve">Sources/notes:</w:t>
      </w:r>
      <w:r>
        <w:t xml:space="preserve"> </w:t>
      </w:r>
      <w:r>
        <w:t xml:space="preserve">Act of June 1, 1796, 1 Stat. 491; Compact of 1806, 2 Stat. 381; Tenn. Const. of 1835 art. XI sec. X; 1978 amendment to art. XI sec. 12;</w:t>
      </w:r>
      <w:r>
        <w:t xml:space="preserve"> </w:t>
      </w:r>
      <w:r>
        <w:rPr>
          <w:i/>
        </w:rPr>
        <w:t xml:space="preserve">Small Schools</w:t>
      </w:r>
      <w:r>
        <w:t xml:space="preserve"> </w:t>
      </w:r>
      <w:r>
        <w:t xml:space="preserve">trilogy. The second college tract was</w:t>
      </w:r>
      <w:r>
        <w:t xml:space="preserve"> </w:t>
      </w:r>
      <w:r>
        <w:rPr>
          <w:b/>
        </w:rPr>
        <w:t xml:space="preserve">Middle</w:t>
      </w:r>
      <w:r>
        <w:t xml:space="preserve"> </w:t>
      </w:r>
      <w:r>
        <w:t xml:space="preserve">Tennessee (Nashville), not West Tennessee; this draft keeps that correction.</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tn_4c380839c719_1200x_q90.jpg" id="0" name="Picture"/>
                    <pic:cNvPicPr>
                      <a:picLocks noChangeArrowheads="1" noChangeAspect="1"/>
                    </pic:cNvPicPr>
                  </pic:nvPicPr>
                  <pic:blipFill>
                    <a:blip r:embed="rId121"/>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schooltrusts.net/reading/us-tn, for current figures, recent developments, and sources.</w:t>
      </w:r>
    </w:p>
    <w:p>
      <w:r>
        <w:br w:type="page"/>
      </w:r>
    </w:p>
    <w:p>
      <w:pPr>
        <w:pStyle w:val="Heading2"/>
      </w:pPr>
      <w:bookmarkStart w:id="122" w:name="X86d40a6e3b830d9711a73df5249a796369b204d"/>
      <w:r>
        <w:t xml:space="preserve">Texas — The Sovereign That Kept Its Own Land</w:t>
      </w:r>
      <w:bookmarkEnd w:id="122"/>
    </w:p>
    <w:p>
      <w:pPr>
        <w:pStyle w:val="FirstParagraph"/>
      </w:pPr>
      <w:r>
        <w:rPr>
          <w:i/>
        </w:rPr>
        <w:t xml:space="preserve">Admitted 1845 (annexed as a republic; retained its own public domain) - Grant: none from Congress – Texas kept about 175 million acres and dedicated half the public domain to schools - Permanent School Fund about</w:t>
      </w:r>
      <w:r>
        <w:rPr>
          <w:i/>
        </w:rPr>
        <w:t xml:space="preserve"> </w:t>
      </w:r>
      <w:r>
        <w:rPr>
          <w:b/>
          <w:i/>
        </w:rPr>
        <w:t xml:space="preserve">$60.6 billion net as of Aug. 31, 2025</w:t>
      </w:r>
      <w:r>
        <w:rPr>
          <w:i/>
        </w:rPr>
        <w:t xml:space="preserve"> </w:t>
      </w:r>
      <w:r>
        <w:rPr>
          <w:i/>
        </w:rPr>
        <w:t xml:space="preserve">- Trustee: an elected State Board of Education and an elected Land Commissioner - Verdict: Built a trust with no federal land (and built the biggest one of all).</w:t>
      </w:r>
    </w:p>
    <w:p>
      <w:pPr>
        <w:pStyle w:val="BodyText"/>
      </w:pPr>
      <w:r>
        <w:rPr>
          <w:b/>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w:t>
      </w:r>
      <w:r>
        <w:t xml:space="preserve">all the vacant and unappropriated lands lying within its limits</w:t>
      </w:r>
      <w:r>
        <w:t xml:space="preserve">”</w:t>
      </w:r>
      <w:r>
        <w:t xml:space="preserve"> </w:t>
      </w:r>
      <w:r>
        <w:t xml:space="preserve">— roughly 175 million acres — to pay its own debts and then dispose of as it saw fit. No section 16, no section 36, no</w:t>
      </w:r>
      <w:r>
        <w:t xml:space="preserve"> </w:t>
      </w:r>
      <w:r>
        <w:t xml:space="preserve">“</w:t>
      </w:r>
      <w:r>
        <w:t xml:space="preserve">in trust</w:t>
      </w:r>
      <w:r>
        <w:t xml:space="preserve">”</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w:t>
      </w:r>
      <w:r>
        <w:t xml:space="preserve">Special School Fund.</w:t>
      </w:r>
      <w:r>
        <w:t xml:space="preserve">”</w:t>
      </w:r>
      <w:r>
        <w:t xml:space="preserve"> </w:t>
      </w:r>
      <w:r>
        <w:t xml:space="preserve">The real engine, though, was written into the 1876 Constitution, which dedicated</w:t>
      </w:r>
      <w:r>
        <w:t xml:space="preserve"> </w:t>
      </w:r>
      <w:r>
        <w:t xml:space="preserve">“</w:t>
      </w:r>
      <w:r>
        <w:t xml:space="preserve">one half of the public domain of the State</w:t>
      </w:r>
      <w:r>
        <w:t xml:space="preserv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rPr>
        <w:t xml:space="preserve">Then→now:</w:t>
      </w:r>
      <w:r>
        <w:t xml:space="preserve"> </w:t>
      </w:r>
      <w:r>
        <w:t xml:space="preserve">A republic’s 175 million acres → a Permanent School Fund of roughly</w:t>
      </w:r>
      <w:r>
        <w:t xml:space="preserve"> </w:t>
      </w:r>
      <w:r>
        <w:rPr>
          <w:b/>
        </w:rPr>
        <w:t xml:space="preserve">$60.6 billion as of Aug. 31, 2025</w:t>
      </w:r>
      <w:r>
        <w:t xml:space="preserve">, with billions distributed to the Available School Fund each biennium.</w:t>
      </w:r>
    </w:p>
    <w:p>
      <w:pPr>
        <w:pStyle w:val="BodyText"/>
      </w:pPr>
      <w:r>
        <w:rPr>
          <w:b/>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w:t>
      </w:r>
      <w:r>
        <w:t xml:space="preserve">Trust Without the Land.</w:t>
      </w:r>
      <w:r>
        <w:t xml:space="preserve">”</w:t>
      </w:r>
      <w:r>
        <w:t xml:space="preserve">)</w:t>
      </w:r>
    </w:p>
    <w:p>
      <w:pPr>
        <w:pStyle w:val="BodyText"/>
      </w:pPr>
      <w:r>
        <w:rPr>
          <w:i/>
        </w:rPr>
        <w:t xml:space="preserve">Sources/notes:</w:t>
      </w:r>
      <w:r>
        <w:t xml:space="preserve"> </w:t>
      </w:r>
      <w:r>
        <w:t xml:space="preserve">Joint Resolution for Annexing Texas (1845); Compromise of 1850; Tex. Const. art. VII secs. 1-5;</w:t>
      </w:r>
      <w:r>
        <w:t xml:space="preserve"> </w:t>
      </w:r>
      <w:r>
        <w:rPr>
          <w:i/>
        </w:rPr>
        <w:t xml:space="preserve">United States v. Louisiana</w:t>
      </w:r>
      <w:r>
        <w:t xml:space="preserve"> </w:t>
      </w:r>
      <w:r>
        <w:t xml:space="preserve">(1960);</w:t>
      </w:r>
      <w:r>
        <w:t xml:space="preserve"> </w:t>
      </w:r>
      <w:r>
        <w:rPr>
          <w:i/>
        </w:rPr>
        <w:t xml:space="preserve">Edgewood ISD v. Kirby</w:t>
      </w:r>
      <w:r>
        <w:t xml:space="preserve"> </w:t>
      </w:r>
      <w:r>
        <w:t xml:space="preserve">(1989);</w:t>
      </w:r>
      <w:r>
        <w:t xml:space="preserve"> </w:t>
      </w:r>
      <w:r>
        <w:rPr>
          <w:i/>
        </w:rPr>
        <w:t xml:space="preserve">Morath</w:t>
      </w:r>
      <w:r>
        <w:t xml:space="preserve"> </w:t>
      </w:r>
      <w:r>
        <w:t xml:space="preserve">(2016). Present-day corpus stated as about $60.6B net as of Aug. 31, 2025, per the Texas PSF Corporation FY2025 ACFR / TEA disclosure captured in the 2026-05-29 finishing report. The</w:t>
      </w:r>
      <w:r>
        <w:t xml:space="preserve"> </w:t>
      </w:r>
      <w:r>
        <w:rPr>
          <w:i/>
        </w:rPr>
        <w:t xml:space="preserve">Edgewood</w:t>
      </w:r>
      <w:r>
        <w:t xml:space="preserve"> </w:t>
      </w:r>
      <w:r>
        <w:t xml:space="preserve">line is an adequacy duty, not a trust-corpus case, and is kept distinct.</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tx_610e27447abe_1200x_q90.jpg" id="0" name="Picture"/>
                    <pic:cNvPicPr>
                      <a:picLocks noChangeArrowheads="1" noChangeAspect="1"/>
                    </pic:cNvPicPr>
                  </pic:nvPicPr>
                  <pic:blipFill>
                    <a:blip r:embed="rId123"/>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schooltrusts.net/reading/us-tx, for current figures, recent developments, and sources.</w:t>
      </w:r>
    </w:p>
    <w:p>
      <w:r>
        <w:br w:type="page"/>
      </w:r>
    </w:p>
    <w:p>
      <w:pPr>
        <w:pStyle w:val="Heading2"/>
      </w:pPr>
      <w:bookmarkStart w:id="124" w:name="utah-the-fall-and-the-rebuilding"/>
      <w:r>
        <w:t xml:space="preserve">Utah — The Fall and the Rebuilding</w:t>
      </w:r>
      <w:bookmarkEnd w:id="124"/>
    </w:p>
    <w:p>
      <w:pPr>
        <w:pStyle w:val="FirstParagraph"/>
      </w:pPr>
      <w:r>
        <w:rPr>
          <w:i/>
        </w:rPr>
        <w:t xml:space="preserve">Admitted 1896 (first 4-section grant: sections 2, 16, 32, 36) - Grant: about 5.8 million school acres, about 7.5 million across all trusts - Permanent funds totaling about</w:t>
      </w:r>
      <w:r>
        <w:rPr>
          <w:i/>
        </w:rPr>
        <w:t xml:space="preserve"> </w:t>
      </w:r>
      <w:r>
        <w:rPr>
          <w:b/>
          <w:i/>
        </w:rPr>
        <w:t xml:space="preserve">$3.3 billion</w:t>
      </w:r>
      <w:r>
        <w:rPr>
          <w:i/>
        </w:rPr>
        <w:t xml:space="preserve"> </w:t>
      </w:r>
      <w:r>
        <w:rPr>
          <w:i/>
        </w:rPr>
        <w:t xml:space="preserve">in FY2025 official performance reporting - Trustee: SITLA (land) + SITFO (investments), statutory - Verdict: Lost and recovered.</w:t>
      </w:r>
    </w:p>
    <w:p>
      <w:pPr>
        <w:pStyle w:val="BodyText"/>
      </w:pPr>
      <w:r>
        <w:rPr>
          <w:b/>
        </w:rPr>
        <w:t xml:space="preserve">Telling fact:</w:t>
      </w:r>
      <w:r>
        <w:t xml:space="preserve"> </w:t>
      </w:r>
      <w:r>
        <w:t xml:space="preserve">In a single year, 1983, Utah’s legislature drained two-thirds of the permanent school fund — and then a parents-and-educators coalition spent the next decade rebuilding it sixty-fold, into the most successful recovery story in the West.</w:t>
      </w:r>
    </w:p>
    <w:p>
      <w:pPr>
        <w:pStyle w:val="BodyText"/>
      </w:pPr>
      <w:r>
        <w:t xml:space="preserve">Utah got the strongest federal grant Congress had yet written — four sections per township, in answer to the dryness of the Great Basin, plus the first explicit federal permanent-fund requirement — and an 1896 constitution that did something no other public-land state did: it pledged the state’s own treasury to guarantee the fund</w:t>
      </w:r>
      <w:r>
        <w:t xml:space="preserve"> </w:t>
      </w:r>
      <w:r>
        <w:t xml:space="preserve">“</w:t>
      </w:r>
      <w:r>
        <w:t xml:space="preserve">against loss or diversion.</w:t>
      </w:r>
      <w:r>
        <w:t xml:space="preserve">”</w:t>
      </w:r>
      <w:r>
        <w:t xml:space="preserve"> </w:t>
      </w:r>
      <w:r>
        <w:t xml:space="preserve">A convention delegate named Eichnor insisted on that guaranty over objections that it was redundant. The events of 1983 proved him right.</w:t>
      </w:r>
    </w:p>
    <w:p>
      <w:pPr>
        <w:pStyle w:val="BodyText"/>
      </w:pPr>
      <w:r>
        <w:t xml:space="preserve">For its first eight decades the trust simply drifted. By the 1930s more than half the original acreage had been sold, often at a dollar and a half an acre, and the proceeds did not always reach the permanent fund as the grant required. Then came the crisis — and here the long-standing story has to be corrected. In</w:t>
      </w:r>
      <w:r>
        <w:t xml:space="preserve"> </w:t>
      </w:r>
      <w:r>
        <w:rPr>
          <w:i/>
        </w:rPr>
        <w:t xml:space="preserve">Jensen v. Dinehart</w:t>
      </w:r>
      <w:r>
        <w:t xml:space="preserve"> </w:t>
      </w:r>
      <w:r>
        <w:t xml:space="preserve">(1982), the state auditor argued that mineral royalties could be spent as current income; the Director of State Lands argued they had to be capitalized as corpus. The Utah Supreme Court ruled</w:t>
      </w:r>
      <w:r>
        <w:t xml:space="preserve"> </w:t>
      </w:r>
      <w:r>
        <w:rPr>
          <w:b/>
        </w:rPr>
        <w:t xml:space="preserve">for the trust</w:t>
      </w:r>
      <w:r>
        <w:t xml:space="preserve">: it affirmed that mineral proceeds must stay in the permanent fund and held that the 1939 constitutional amendment which had diverted them violated the federal Enabling Act. The auditor</w:t>
      </w:r>
      <w:r>
        <w:t xml:space="preserve"> </w:t>
      </w:r>
      <w:r>
        <w:rPr>
          <w:i/>
        </w:rPr>
        <w:t xml:space="preserve">lost</w:t>
      </w:r>
      <w:r>
        <w:t xml:space="preserve">. So when the 1983 legislature, in a recession, withdrew roughly $37.5 million and dropped the corpus from about $53.5 million to about $18.6 million, it was acting</w:t>
      </w:r>
      <w:r>
        <w:t xml:space="preserve"> </w:t>
      </w:r>
      <w:r>
        <w:rPr>
          <w:b/>
        </w:rPr>
        <w:t xml:space="preserve">against</w:t>
      </w:r>
      <w:r>
        <w:t xml:space="preserve"> </w:t>
      </w:r>
      <w:r>
        <w:t xml:space="preserve">what</w:t>
      </w:r>
      <w:r>
        <w:t xml:space="preserve"> </w:t>
      </w:r>
      <w:r>
        <w:rPr>
          <w:i/>
        </w:rPr>
        <w:t xml:space="preserve">Jensen</w:t>
      </w:r>
      <w:r>
        <w:t xml:space="preserve"> </w:t>
      </w:r>
      <w:r>
        <w:t xml:space="preserve">had just held, not under its authority. The constitutional guaranty was on the books. There was simply no constituency willing to enforce it.</w:t>
      </w:r>
    </w:p>
    <w:p>
      <w:pPr>
        <w:pStyle w:val="BodyText"/>
      </w:pPr>
      <w:r>
        <w:t xml:space="preserve">Building that constituency was the recovery. It began in 1989 with a Utah PTA resolution from a Monticello member, Sandra Skousen, calling for an investigation — but the PTA was an essential partner, not the leader. The recovery was led by Margaret Bird and a broad education coalition: the State Board of Education, the Utah Education Association, the school-boards and principals’ associations, working through a legislative task force chaired by Rep. Mel Brown. That coalition had also, a few years earlier, beaten back Governor Scott Matheson’s</w:t>
      </w:r>
      <w:r>
        <w:t xml:space="preserve"> </w:t>
      </w:r>
      <w:r>
        <w:t xml:space="preserve">“</w:t>
      </w:r>
      <w:r>
        <w:t xml:space="preserve">Project BOLD,</w:t>
      </w:r>
      <w:r>
        <w:t xml:space="preserve">”</w:t>
      </w:r>
      <w:r>
        <w:t xml:space="preserve"> </w:t>
      </w:r>
      <w:r>
        <w:t xml:space="preserve">whose consolidation pitch concealed (on the documented account) a request buried at page 124 to rewrite the Enabling Act so the grant ran</w:t>
      </w:r>
      <w:r>
        <w:t xml:space="preserve"> </w:t>
      </w:r>
      <w:r>
        <w:t xml:space="preserve">“</w:t>
      </w:r>
      <w:r>
        <w:t xml:space="preserve">to the state</w:t>
      </w:r>
      <w:r>
        <w:t xml:space="preserve">”</w:t>
      </w:r>
      <w:r>
        <w:t xml:space="preserve"> </w:t>
      </w:r>
      <w:r>
        <w:t xml:space="preserve">rather than</w:t>
      </w:r>
      <w:r>
        <w:t xml:space="preserve"> </w:t>
      </w:r>
      <w:r>
        <w:t xml:space="preserve">“</w:t>
      </w:r>
      <w:r>
        <w:t xml:space="preserve">for public schools</w:t>
      </w:r>
      <w:r>
        <w:t xml:space="preserve">”</w:t>
      </w:r>
      <w:r>
        <w:t xml:space="preserve"> </w:t>
      </w:r>
      <w:r>
        <w:t xml:space="preserve">— a change that would have lifted the trust character off the land entirely. The coalition’s product was the 1994 act creating SITLA, an independent fiduciary agency with a statutory duty of undivided loyalty. Later came SITFO (2014) to manage the investments, the Land Trusts Protection and Advocacy Office (2018) to put a permanent beneficiary advocate inside state government, and — most durable of all — the 1999 School LAND Trust Program, which sends trust dollars straight to every school, governed by a parent-majority council. Now every Utah parent can name what the trust paid for. That is the counterforce a future raid would have to overcome.</w:t>
      </w:r>
    </w:p>
    <w:p>
      <w:pPr>
        <w:pStyle w:val="BodyText"/>
      </w:pPr>
      <w:r>
        <w:rPr>
          <w:b/>
        </w:rPr>
        <w:t xml:space="preserve">Then→now:</w:t>
      </w:r>
      <w:r>
        <w:t xml:space="preserve"> </w:t>
      </w:r>
      <w:r>
        <w:t xml:space="preserve">A corpus drained to about $18.6 million in 1983 → permanent funds totaling about</w:t>
      </w:r>
      <w:r>
        <w:t xml:space="preserve"> </w:t>
      </w:r>
      <w:r>
        <w:rPr>
          <w:b/>
        </w:rPr>
        <w:t xml:space="preserve">$3.3 billion</w:t>
      </w:r>
      <w:r>
        <w:t xml:space="preserve"> </w:t>
      </w:r>
      <w:r>
        <w:t xml:space="preserve">in FY2025 official performance reporting, with FY2025 distributions over</w:t>
      </w:r>
      <w:r>
        <w:t xml:space="preserve"> </w:t>
      </w:r>
      <w:r>
        <w:rPr>
          <w:b/>
        </w:rPr>
        <w:t xml:space="preserve">$118 million</w:t>
      </w:r>
      <w:r>
        <w:t xml:space="preserve">, including over</w:t>
      </w:r>
      <w:r>
        <w:t xml:space="preserve"> </w:t>
      </w:r>
      <w:r>
        <w:rPr>
          <w:b/>
        </w:rPr>
        <w:t xml:space="preserve">$111 million</w:t>
      </w:r>
      <w:r>
        <w:t xml:space="preserve"> </w:t>
      </w:r>
      <w:r>
        <w:t xml:space="preserve">to K-12 public education.</w:t>
      </w:r>
    </w:p>
    <w:p>
      <w:pPr>
        <w:pStyle w:val="BodyText"/>
      </w:pPr>
      <w:r>
        <w:rPr>
          <w:b/>
        </w:rPr>
        <w:t xml:space="preserve">Lesson:</w:t>
      </w:r>
      <w:r>
        <w:t xml:space="preserve"> </w:t>
      </w:r>
      <w:r>
        <w:t xml:space="preserve">Architecture without a constituency drifts; a constituency is the active ingredient that actually resists the next seizure. Utah’s guaranty did not stop the 1983 raid — organized beneficiaries built after it did. (See Ch. 5,</w:t>
      </w:r>
      <w:r>
        <w:t xml:space="preserve"> </w:t>
      </w:r>
      <w:r>
        <w:t xml:space="preserve">“</w:t>
      </w:r>
      <w:r>
        <w:t xml:space="preserve">Kept &amp; Rebuilt,</w:t>
      </w:r>
      <w:r>
        <w:t xml:space="preserve">”</w:t>
      </w:r>
      <w:r>
        <w:t xml:space="preserve"> </w:t>
      </w:r>
      <w:r>
        <w:t xml:space="preserve">and Ch. 6.)</w:t>
      </w:r>
    </w:p>
    <w:p>
      <w:pPr>
        <w:pStyle w:val="BodyText"/>
      </w:pPr>
      <w:r>
        <w:rPr>
          <w:i/>
        </w:rPr>
        <w:t xml:space="preserve">Sources/notes:</w:t>
      </w:r>
      <w:r>
        <w:t xml:space="preserve"> </w:t>
      </w:r>
      <w:r>
        <w:rPr>
          <w:i/>
        </w:rPr>
        <w:t xml:space="preserve">Jensen v. Dinehart</w:t>
      </w:r>
      <w:r>
        <w:t xml:space="preserve">, 645 P.2d 32 (Utah 1982); Utah Enabling Act of 1894, sec. 6; Utah Const. art. X sec. 5(2)(e);</w:t>
      </w:r>
      <w:r>
        <w:t xml:space="preserve"> </w:t>
      </w:r>
      <w:r>
        <w:rPr>
          <w:i/>
        </w:rPr>
        <w:t xml:space="preserve">Jensen v. Dinehart</w:t>
      </w:r>
      <w:r>
        <w:t xml:space="preserve"> </w:t>
      </w:r>
      <w:r>
        <w:t xml:space="preserve">(1982); Title 53C (SITLA, 1994); Title 53D (SITFO 2014, LTPAO 2018); School LAND Trust Program (1999); Amendment B (2024); Utah Trust Lands FY2025 performance reporting (permanent funds about $3.3B; FY2025 distributions over $118M, including over $111M to K-12 public education).</w:t>
      </w:r>
      <w:r>
        <w:t xml:space="preserve"> </w:t>
      </w:r>
      <w:r>
        <w:rPr>
          <w:i/>
        </w:rPr>
        <w:t xml:space="preserve">Jensen</w:t>
      </w:r>
      <w:r>
        <w:t xml:space="preserve"> </w:t>
      </w:r>
      <w:r>
        <w:t xml:space="preserve">is corrected here: the trust won; the 1983 withdrawal ran against the holding, not under it. Recovery led by Margaret Bird and the education coalition, with PTA an essential partner. Project BOLD page-124 account remains to be pinned to the archive packet.</w:t>
      </w:r>
    </w:p>
    <w:p>
      <w:r>
        <w:pict>
          <v:rect style="width:0;height:1.5pt" o:hralign="center" o:hrstd="t" o:hr="t"/>
        </w:pict>
      </w:r>
    </w:p>
    <w:p>
      <w:pPr>
        <w:pStyle w:val="Heading3"/>
      </w:pPr>
      <w:bookmarkStart w:id="125" w:name="Xd7f81f87d785ad3381212c065af092376914e75"/>
      <w:r>
        <w:t xml:space="preserve">The last fifty years: fall, reform, and a fresh test</w:t>
      </w:r>
      <w:bookmarkEnd w:id="125"/>
    </w:p>
    <w:p>
      <w:pPr>
        <w:pStyle w:val="FirstParagraph"/>
      </w:pPr>
      <w:r>
        <w:t xml:space="preserve">Utah is this book’s proof that a broken trust can be rebuilt — and its warning that the work is never finished. For most of a century Utah managed its school lands the way most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García, the school boards, and in the legislature Representative Mel Brown, who carried the reform when it counted. The data that made the case took one researcher the better part of those fifteen years to compile, in the days before anyone could compile it quickly.</w:t>
      </w:r>
    </w:p>
    <w:p>
      <w:pPr>
        <w:pStyle w:val="BodyText"/>
      </w:pPr>
      <w:r>
        <w:t xml:space="preserve">Two things broke the logjam. The first was theatre: when federal monument designations in the 1990s swept hundreds of thousands of acres of school sections inside boundaries the schools could not cross, the PTA threatened a family camp-out astride the road to a national park, and the threat alone moved Washington toward exchange. The 1998 Utah Schools and Lands Exchange Act / Grand Staircase exchange record included a $50 million cash component for the schools. The camp-out chronology remains for author review against the Grand Staircase/1998 source record before print. The second was structural and lasting: in 1994 Utah created an independent trust-lands administration with a single, undivided fiduciary mandate, walled off from the budget pressures that had hollowed the trust before. Freed to manage for the beneficiaries alone, the permanent fund grew into the billions, and Utah became the model the rest of the country points to.</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The current L0 packet traces much of the purchase-money structure to public-education reserve funds, but the official state transaction packet still needs to be pinned before final print. Whether Utah stays in the honorable column is, right now, an open question — which is the truest lesson of all: the duty does not expire, the temptation does not end, and the only thing that ever protected the gift was someone willing to watch.</w:t>
      </w:r>
    </w:p>
    <w:p>
      <w:pPr>
        <w:pStyle w:val="BodyText"/>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ut_f14e9045f694_1200x_q90.jpg" id="0" name="Picture"/>
                    <pic:cNvPicPr>
                      <a:picLocks noChangeArrowheads="1" noChangeAspect="1"/>
                    </pic:cNvPicPr>
                  </pic:nvPicPr>
                  <pic:blipFill>
                    <a:blip r:embed="rId126"/>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schooltrusts.net/reading/us-ut, for current figures, recent developments, and sources.</w:t>
      </w:r>
    </w:p>
    <w:p>
      <w:r>
        <w:br w:type="page"/>
      </w:r>
    </w:p>
    <w:p>
      <w:pPr>
        <w:pStyle w:val="Heading2"/>
      </w:pPr>
      <w:bookmarkStart w:id="127" w:name="X6270d57f38f391831d553cd868c2885ef7b7e9e"/>
      <w:r>
        <w:t xml:space="preserve">Washington — The Strong State Constitution That Backstopped a Weak Federal Deal</w:t>
      </w:r>
      <w:bookmarkEnd w:id="127"/>
    </w:p>
    <w:p>
      <w:pPr>
        <w:pStyle w:val="FirstParagraph"/>
      </w:pPr>
      <w:r>
        <w:rPr>
          <w:i/>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rPr>
        <w:t xml:space="preserve">Telling fact:</w:t>
      </w:r>
      <w:r>
        <w:t xml:space="preserve"> </w:t>
      </w:r>
      <w:r>
        <w:t xml:space="preserve">Washington’s federal deal said nothing about a</w:t>
      </w:r>
      <w:r>
        <w:t xml:space="preserve"> </w:t>
      </w:r>
      <w:r>
        <w:t xml:space="preserve">“</w:t>
      </w:r>
      <w:r>
        <w:t xml:space="preserve">trust</w:t>
      </w:r>
      <w:r>
        <w:t xml:space="preserve">”</w:t>
      </w:r>
      <w:r>
        <w:t xml:space="preserve"> </w:t>
      </w:r>
      <w:r>
        <w:t xml:space="preserve">— so the state wrote the word into its own constitution, declared its granted lands</w:t>
      </w:r>
      <w:r>
        <w:t xml:space="preserve"> </w:t>
      </w:r>
      <w:r>
        <w:t xml:space="preserve">“</w:t>
      </w:r>
      <w:r>
        <w:t xml:space="preserve">held in trust for all the people,</w:t>
      </w:r>
      <w:r>
        <w:t xml:space="preserve">”</w:t>
      </w:r>
      <w:r>
        <w:t xml:space="preserve"> </w:t>
      </w:r>
      <w:r>
        <w:t xml:space="preserve">and then made the federal government itself pay full market value to take an easement across school land.</w:t>
      </w:r>
    </w:p>
    <w:p>
      <w:pPr>
        <w:pStyle w:val="BodyText"/>
      </w:pPr>
      <w:r>
        <w:t xml:space="preserve">Washington got the same workmanlike Omnibus Act language as its 1889 cohort — a doubled grant</w:t>
      </w:r>
      <w:r>
        <w:t xml:space="preserve"> </w:t>
      </w:r>
      <w:r>
        <w:t xml:space="preserve">“</w:t>
      </w:r>
      <w:r>
        <w:t xml:space="preserve">for the support of common schools,</w:t>
      </w:r>
      <w:r>
        <w:t xml:space="preserve">”</w:t>
      </w:r>
      <w:r>
        <w:t xml:space="preserve"> </w:t>
      </w:r>
      <w:r>
        <w:t xml:space="preserve">no express</w:t>
      </w:r>
      <w:r>
        <w:t xml:space="preserve"> </w:t>
      </w:r>
      <w:r>
        <w:t xml:space="preserve">“</w:t>
      </w:r>
      <w:r>
        <w:t xml:space="preserve">in trust</w:t>
      </w:r>
      <w:r>
        <w:t xml:space="preserve">”</w:t>
      </w:r>
      <w:r>
        <w:t xml:space="preserve"> </w:t>
      </w:r>
      <w:r>
        <w:t xml:space="preserve">clause, no enforcement machinery. What set Washington apart was what it added on its own six weeks before statehood. Article IX, § 1 opens with the strongest education sentence in any state constitution:</w:t>
      </w:r>
      <w:r>
        <w:t xml:space="preserve"> </w:t>
      </w:r>
      <w:r>
        <w:t xml:space="preserve">“</w:t>
      </w:r>
      <w:r>
        <w:t xml:space="preserve">It is the paramount duty of the state to make ample provision for the education of all children.</w:t>
      </w:r>
      <w:r>
        <w:t xml:space="preserve">”</w:t>
      </w:r>
      <w:r>
        <w:t xml:space="preserve"> </w:t>
      </w:r>
      <w:r>
        <w:t xml:space="preserve">Article IX, § 3 locks the permanent common school fund. And Article XVI, the School and Granted Lands article, supplies exactly what the federal text omitted — it declares that</w:t>
      </w:r>
      <w:r>
        <w:t xml:space="preserve"> </w:t>
      </w:r>
      <w:r>
        <w:t xml:space="preserve">“</w:t>
      </w:r>
      <w:r>
        <w:t xml:space="preserve">all the public lands granted to the state are held in trust for all the people</w:t>
      </w:r>
      <w:r>
        <w:t xml:space="preserve">”</w:t>
      </w:r>
      <w:r>
        <w:t xml:space="preserve"> </w:t>
      </w:r>
      <w:r>
        <w:t xml:space="preserve">and forbids disposing of them except at full market value. The framers also chose a single elected Commissioner of Public Lands over a board, betting that one visible, accountable officer would guard the land better than a committee.</w:t>
      </w:r>
    </w:p>
    <w:p>
      <w:pPr>
        <w:pStyle w:val="BodyText"/>
      </w:pPr>
      <w:r>
        <w:t xml:space="preserve">The trust-land doctrine that grew out of Article XVI is among the best-developed in the country. In</w:t>
      </w:r>
      <w:r>
        <w:t xml:space="preserve"> </w:t>
      </w:r>
      <w:r>
        <w:rPr>
          <w:i/>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w:t>
      </w:r>
      <w:r>
        <w:t xml:space="preserve">real, not illusory,</w:t>
      </w:r>
      <w:r>
        <w:t xml:space="preserve">”</w:t>
      </w:r>
      <w:r>
        <w:t xml:space="preserve"> </w:t>
      </w:r>
      <w:r>
        <w:t xml:space="preserve">and even the United States, having created the trust, had to pay full value. In</w:t>
      </w:r>
      <w:r>
        <w:t xml:space="preserve"> </w:t>
      </w:r>
      <w:r>
        <w:rPr>
          <w:i/>
        </w:rPr>
        <w:t xml:space="preserve">County of Skamania v. State</w:t>
      </w:r>
      <w:r>
        <w:t xml:space="preserve"> </w:t>
      </w:r>
      <w:r>
        <w:t xml:space="preserve">(1984), the state supreme court struck down a 1982 law that had relieved timber companies of unprofitable state-land contracts, holding that the state as trustee owed the beneficiaries undivided loyalty and prudence and could not shift private losses onto the schoolchildren. As recently as 2022, in</w:t>
      </w:r>
      <w:r>
        <w:t xml:space="preserve"> </w:t>
      </w:r>
      <w:r>
        <w:rPr>
          <w:i/>
        </w:rPr>
        <w:t xml:space="preserve">Conservation Northwest</w:t>
      </w:r>
      <w:r>
        <w:t xml:space="preserve">, the court held that the trust runs to the enumerated school and institutional beneficiaries — not to the general public — and that the Commissioner has real management discretion.</w:t>
      </w:r>
    </w:p>
    <w:p>
      <w:pPr>
        <w:pStyle w:val="BodyText"/>
      </w:pPr>
      <w:r>
        <w:t xml:space="preserve">Running on a separate track is Washington’s far more famous funding litigation.</w:t>
      </w:r>
      <w:r>
        <w:t xml:space="preserve"> </w:t>
      </w:r>
      <w:r>
        <w:rPr>
          <w:i/>
        </w:rPr>
        <w:t xml:space="preserve">Seattle School District No. 1</w:t>
      </w:r>
      <w:r>
        <w:t xml:space="preserve"> </w:t>
      </w:r>
      <w:r>
        <w:t xml:space="preserve">(1978) made the</w:t>
      </w:r>
      <w:r>
        <w:t xml:space="preserve"> </w:t>
      </w:r>
      <w:r>
        <w:t xml:space="preserve">“</w:t>
      </w:r>
      <w:r>
        <w:t xml:space="preserve">paramount duty</w:t>
      </w:r>
      <w:r>
        <w:t xml:space="preserve">”</w:t>
      </w:r>
      <w:r>
        <w:t xml:space="preserve"> </w:t>
      </w:r>
      <w:r>
        <w:t xml:space="preserve">clause judicially enforceable, and</w:t>
      </w:r>
      <w:r>
        <w:t xml:space="preserve"> </w:t>
      </w:r>
      <w:r>
        <w:rPr>
          <w:i/>
        </w:rPr>
        <w:t xml:space="preserve">McCleary v. State</w:t>
      </w:r>
      <w:r>
        <w:t xml:space="preserve"> </w:t>
      </w:r>
      <w:r>
        <w:t xml:space="preserve">(2012) found the legislature in breach, holding it in contempt and fining it daily until it funded basic education — the most aggressive school-adequacy enforcement in American history. But</w:t>
      </w:r>
      <w:r>
        <w:t xml:space="preserve"> </w:t>
      </w:r>
      <w:r>
        <w:rPr>
          <w:i/>
        </w:rPr>
        <w:t xml:space="preserve">McCleary</w:t>
      </w:r>
      <w:r>
        <w:t xml:space="preserve"> </w:t>
      </w:r>
      <w:r>
        <w:t xml:space="preserve">is a funding case under Article IX, § 1, not a trust-lands case under Article XVI. The two doctrines share a constitutional page; they have rarely shared a courtroom, and conflating them is the standard error this state’s record warns against.</w:t>
      </w:r>
    </w:p>
    <w:p>
      <w:pPr>
        <w:pStyle w:val="BodyText"/>
      </w:pPr>
      <w:r>
        <w:rPr>
          <w:b/>
        </w:rPr>
        <w:t xml:space="preserve">Then→now:</w:t>
      </w:r>
      <w:r>
        <w:t xml:space="preserve"> </w:t>
      </w:r>
      <w:r>
        <w:t xml:space="preserve">A federal deal with no trust language →</w:t>
      </w:r>
      <w:r>
        <w:t xml:space="preserve"> </w:t>
      </w:r>
      <w:r>
        <w:t xml:space="preserve">“</w:t>
      </w:r>
      <w:r>
        <w:t xml:space="preserve">held in trust for all the people,</w:t>
      </w:r>
      <w:r>
        <w:t xml:space="preserve">”</w:t>
      </w:r>
      <w:r>
        <w:t xml:space="preserve"> </w:t>
      </w:r>
      <w:r>
        <w:t xml:space="preserve">enforced against timber companies and the federal government alike.</w:t>
      </w:r>
    </w:p>
    <w:p>
      <w:pPr>
        <w:pStyle w:val="BodyText"/>
      </w:pPr>
      <w:r>
        <w:rPr>
          <w:b/>
        </w:rPr>
        <w:t xml:space="preserve">Lesson:</w:t>
      </w:r>
      <w:r>
        <w:t xml:space="preserve"> </w:t>
      </w:r>
      <w:r>
        <w:t xml:space="preserve">A strong state constitution can supply everything a weak federal compact leaves out — but only for what it actually reaches. The trust-lands duty and the funding duty are different obligations under the same paramount clause. (See Ch. 2 and Ch. 5.)</w:t>
      </w:r>
    </w:p>
    <w:p>
      <w:pPr>
        <w:pStyle w:val="BodyText"/>
      </w:pPr>
      <w:r>
        <w:rPr>
          <w:i/>
        </w:rPr>
        <w:t xml:space="preserve">Sources/notes:</w:t>
      </w:r>
      <w:r>
        <w:t xml:space="preserve"> </w:t>
      </w:r>
      <w:r>
        <w:t xml:space="preserve">Omnibus Enabling Act (1889) secs. 10-11; Wash. Const. art. IX secs. 1, 3, art. XVI sec. 1;</w:t>
      </w:r>
      <w:r>
        <w:t xml:space="preserve"> </w:t>
      </w:r>
      <w:r>
        <w:rPr>
          <w:i/>
        </w:rPr>
        <w:t xml:space="preserve">United States v. 111.2 Acres</w:t>
      </w:r>
      <w:r>
        <w:t xml:space="preserve"> </w:t>
      </w:r>
      <w:r>
        <w:t xml:space="preserve">(1968);</w:t>
      </w:r>
      <w:r>
        <w:t xml:space="preserve"> </w:t>
      </w:r>
      <w:r>
        <w:rPr>
          <w:i/>
        </w:rPr>
        <w:t xml:space="preserve">County of Skamania v. State</w:t>
      </w:r>
      <w:r>
        <w:t xml:space="preserve"> </w:t>
      </w:r>
      <w:r>
        <w:t xml:space="preserve">(1984);</w:t>
      </w:r>
      <w:r>
        <w:t xml:space="preserve"> </w:t>
      </w:r>
      <w:r>
        <w:rPr>
          <w:i/>
        </w:rPr>
        <w:t xml:space="preserve">Conservation Northwest</w:t>
      </w:r>
      <w:r>
        <w:t xml:space="preserve"> </w:t>
      </w:r>
      <w:r>
        <w:t xml:space="preserve">(2022);</w:t>
      </w:r>
      <w:r>
        <w:t xml:space="preserve"> </w:t>
      </w:r>
      <w:r>
        <w:rPr>
          <w:i/>
        </w:rPr>
        <w:t xml:space="preserve">Seattle School District No. 1</w:t>
      </w:r>
      <w:r>
        <w:t xml:space="preserve"> </w:t>
      </w:r>
      <w:r>
        <w:t xml:space="preserve">(1978);</w:t>
      </w:r>
      <w:r>
        <w:t xml:space="preserve"> </w:t>
      </w:r>
      <w:r>
        <w:rPr>
          <w:i/>
        </w:rPr>
        <w:t xml:space="preserve">McCleary v. State</w:t>
      </w:r>
      <w:r>
        <w:t xml:space="preserve"> </w:t>
      </w:r>
      <w:r>
        <w:t xml:space="preserve">(2012). The</w:t>
      </w:r>
      <w:r>
        <w:t xml:space="preserve"> </w:t>
      </w:r>
      <w:r>
        <w:rPr>
          <w:i/>
        </w:rPr>
        <w:t xml:space="preserve">McCleary</w:t>
      </w:r>
      <w:r>
        <w:t xml:space="preserve"> </w:t>
      </w:r>
      <w:r>
        <w:t xml:space="preserve">“</w:t>
      </w:r>
      <w:r>
        <w:t xml:space="preserve">paramount duty</w:t>
      </w:r>
      <w:r>
        <w:t xml:space="preserve">”</w:t>
      </w:r>
      <w:r>
        <w:t xml:space="preserve"> </w:t>
      </w:r>
      <w:r>
        <w:t xml:space="preserve">line is a school-funding doctrine, not a trust-lands doctrine, and is distinguished here.</w:t>
      </w:r>
      <w:r>
        <w:t xml:space="preserve"> </w:t>
      </w:r>
      <w:r>
        <w:rPr>
          <w:i/>
        </w:rPr>
        <w:t xml:space="preserve">Skamania</w:t>
      </w:r>
      <w:r>
        <w:t xml:space="preserve"> </w:t>
      </w:r>
      <w:r>
        <w:t xml:space="preserve">enforced undivided loyalty.</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wa_38c978bc0e5e_1200x_q90.jpg" id="0" name="Picture"/>
                    <pic:cNvPicPr>
                      <a:picLocks noChangeArrowheads="1" noChangeAspect="1"/>
                    </pic:cNvPicPr>
                  </pic:nvPicPr>
                  <pic:blipFill>
                    <a:blip r:embed="rId128"/>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schooltrusts.net/reading/us-wa, for current figures, recent developments, and sources.</w:t>
      </w:r>
    </w:p>
    <w:p>
      <w:r>
        <w:br w:type="page"/>
      </w:r>
    </w:p>
    <w:p>
      <w:pPr>
        <w:pStyle w:val="Heading2"/>
      </w:pPr>
      <w:bookmarkStart w:id="129" w:name="Xcf339999e7e18dde0bdde25b80d10f3431dd343"/>
      <w:r>
        <w:t xml:space="preserve">Wisconsin — The Honest Clerk Who Lent the Children’s Money Cheap</w:t>
      </w:r>
      <w:bookmarkEnd w:id="129"/>
    </w:p>
    <w:p>
      <w:pPr>
        <w:pStyle w:val="FirstParagraph"/>
      </w:pPr>
      <w:r>
        <w:rPr>
          <w:i/>
        </w:rPr>
        <w:t xml:space="preserve">Admitted 1848 · Grant: ONE section (16 only) per township, ~1 million acres (with the broader trust grant reaching ~4 million acres across all funds) · Common School Fund principal over</w:t>
      </w:r>
      <w:r>
        <w:rPr>
          <w:i/>
        </w:rPr>
        <w:t xml:space="preserve"> </w:t>
      </w:r>
      <w:r>
        <w:rPr>
          <w:b/>
          <w:i/>
        </w:rPr>
        <w:t xml:space="preserve">$1.6 billion as of Aug. 2025</w:t>
      </w:r>
      <w:r>
        <w:rPr>
          <w:i/>
        </w:rPr>
        <w:t xml:space="preserve"> </w:t>
      </w:r>
      <w:r>
        <w:rPr>
          <w:i/>
        </w:rPr>
        <w:t xml:space="preserve">· Trustee: ex-officio board of Secretary of State, Treasurer, and Attorney General · Verdict: Kept faith.</w:t>
      </w:r>
    </w:p>
    <w:p>
      <w:pPr>
        <w:pStyle w:val="BodyText"/>
      </w:pPr>
      <w:r>
        <w:rPr>
          <w:b/>
        </w:rPr>
        <w:t xml:space="preserve">Telling fact:</w:t>
      </w:r>
      <w:r>
        <w:t xml:space="preserve"> </w:t>
      </w:r>
      <w:r>
        <w:t xml:space="preserve">Wisconsin got the same lean federal grant Ohio squandered — and put the</w:t>
      </w:r>
      <w:r>
        <w:t xml:space="preserve"> </w:t>
      </w:r>
      <w:r>
        <w:rPr>
          <w:i/>
        </w:rPr>
        <w:t xml:space="preserve">Attorney General</w:t>
      </w:r>
      <w:r>
        <w:t xml:space="preserve">, not the Governor, on the trustee board, the one officer most inclined to sue the state itself when it strayed.</w:t>
      </w:r>
    </w:p>
    <w:p>
      <w:pPr>
        <w:pStyle w:val="BodyText"/>
      </w:pPr>
      <w:r>
        <w:t xml:space="preserve">Wisconsin received exactly the federal text Ohio did: a single section-sixteen grant per township,</w:t>
      </w:r>
      <w:r>
        <w:t xml:space="preserve"> </w:t>
      </w:r>
      <w:r>
        <w:t xml:space="preserve">“</w:t>
      </w:r>
      <w:r>
        <w:t xml:space="preserve">for the use of schools,</w:t>
      </w:r>
      <w:r>
        <w:t xml:space="preserve">”</w:t>
      </w:r>
      <w:r>
        <w:t xml:space="preserve"> </w:t>
      </w:r>
      <w:r>
        <w:t xml:space="preserve">no trust language, no enforcement clause. Ohio depleted its endowment almost to nothing. Wisconsin built a Common School Fund now past $1.6 billion that distributes a record $73.5 million a year to school libraries. The federal floor was identical;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w:t>
      </w:r>
      <w:r>
        <w:t xml:space="preserve">Forty Thieves</w:t>
      </w:r>
      <w:r>
        <w:t xml:space="preserve">”</w:t>
      </w:r>
      <w:r>
        <w:t xml:space="preserve"> </w:t>
      </w:r>
      <w:r>
        <w:t xml:space="preserve">and Governor Barstow’s administration, and an 1856 committee found</w:t>
      </w:r>
      <w:r>
        <w:t xml:space="preserve"> </w:t>
      </w:r>
      <w:r>
        <w:t xml:space="preserve">“</w:t>
      </w:r>
      <w:r>
        <w:t xml:space="preserve">gross irregularity and perhaps fraud</w:t>
      </w:r>
      <w:r>
        <w:t xml:space="preserve">”</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rPr>
        <w:t xml:space="preserve">Then→now:</w:t>
      </w:r>
      <w:r>
        <w:t xml:space="preserve"> </w:t>
      </w:r>
      <w:r>
        <w:t xml:space="preserve">A weak federal grant identical to Ohio’s → a $1.6-billion-plus fund and a record</w:t>
      </w:r>
      <w:r>
        <w:t xml:space="preserve"> </w:t>
      </w:r>
      <w:r>
        <w:rPr>
          <w:b/>
        </w:rPr>
        <w:t xml:space="preserve">$73.5 million</w:t>
      </w:r>
      <w:r>
        <w:t xml:space="preserve"> </w:t>
      </w:r>
      <w:r>
        <w:t xml:space="preserve">school-library distribution in 2026 reporting.</w:t>
      </w:r>
    </w:p>
    <w:p>
      <w:pPr>
        <w:pStyle w:val="BodyText"/>
      </w:pPr>
      <w:r>
        <w:rPr>
          <w:b/>
        </w:rPr>
        <w:t xml:space="preserve">Lesson:</w:t>
      </w:r>
      <w:r>
        <w:t xml:space="preserve"> </w:t>
      </w:r>
      <w:r>
        <w:t xml:space="preserve">Design beats endowment. An irreducible-principal clause, the Attorney General on the board, and trustees who behave like trustees can turn a lean federal grant into a billion-dollar fund — though</w:t>
      </w:r>
      <w:r>
        <w:t xml:space="preserve"> </w:t>
      </w:r>
      <w:r>
        <w:t xml:space="preserve">“</w:t>
      </w:r>
      <w:r>
        <w:t xml:space="preserve">cheap loans to towns</w:t>
      </w:r>
      <w:r>
        <w:t xml:space="preserve">”</w:t>
      </w:r>
      <w:r>
        <w:t xml:space="preserve"> </w:t>
      </w:r>
      <w:r>
        <w:t xml:space="preserve">is also</w:t>
      </w:r>
      <w:r>
        <w:t xml:space="preserve"> </w:t>
      </w:r>
      <w:r>
        <w:t xml:space="preserve">“</w:t>
      </w:r>
      <w:r>
        <w:t xml:space="preserve">below-market returns to children,</w:t>
      </w:r>
      <w:r>
        <w:t xml:space="preserve">”</w:t>
      </w:r>
      <w:r>
        <w:t xml:space="preserve"> </w:t>
      </w:r>
      <w:r>
        <w:t xml:space="preserve">and the honest clerk notes the cost.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Enabling Act of Aug. 6, 1846, 9 Stat. 56; admission Act of May 29, 1848; Wis. Const. art. X secs. 2, 7, 8; State Trust Fund Loan Program (1871);</w:t>
      </w:r>
      <w:r>
        <w:t xml:space="preserve"> </w:t>
      </w:r>
      <w:r>
        <w:rPr>
          <w:i/>
        </w:rPr>
        <w:t xml:space="preserve">State ex rel. Commissioners of Public Lands v. Anderson</w:t>
      </w:r>
      <w:r>
        <w:t xml:space="preserve"> </w:t>
      </w:r>
      <w:r>
        <w:t xml:space="preserve">(1973); BCPL Common School Fund reports. Wisconsin received</w:t>
      </w:r>
      <w:r>
        <w:t xml:space="preserve"> </w:t>
      </w:r>
      <w:r>
        <w:rPr>
          <w:b/>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pPr>
        <w:pStyle w:val="FirstParagraph"/>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wi_41b721950592_1200x_q90.jpg" id="0" name="Picture"/>
                    <pic:cNvPicPr>
                      <a:picLocks noChangeArrowheads="1" noChangeAspect="1"/>
                    </pic:cNvPicPr>
                  </pic:nvPicPr>
                  <pic:blipFill>
                    <a:blip r:embed="rId130"/>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schooltrusts.net/reading/us-wi, for current figures, recent developments, and sources.</w:t>
      </w:r>
    </w:p>
    <w:p>
      <w:r>
        <w:br w:type="page"/>
      </w:r>
    </w:p>
    <w:p>
      <w:pPr>
        <w:pStyle w:val="Heading2"/>
      </w:pPr>
      <w:bookmarkStart w:id="131" w:name="Xa0347788bd507684c95e67ec7f84bfd05604a5b"/>
      <w:r>
        <w:t xml:space="preserve">Wyoming — The Modest Acreage That Geology Made Rich</w:t>
      </w:r>
      <w:bookmarkEnd w:id="131"/>
    </w:p>
    <w:p>
      <w:pPr>
        <w:pStyle w:val="FirstParagraph"/>
      </w:pPr>
      <w:r>
        <w:rPr>
          <w:i/>
        </w:rPr>
        <w:t xml:space="preserve">Admitted 1890 - Grant: 2 sections (16 &amp; 36), about 3.47 million acres - about 3.5 million surface acres retained today, plus about 3.9 million mineral acres - Common School Permanent Land Fund about</w:t>
      </w:r>
      <w:r>
        <w:rPr>
          <w:i/>
        </w:rPr>
        <w:t xml:space="preserve"> </w:t>
      </w:r>
      <w:r>
        <w:rPr>
          <w:b/>
          <w:i/>
        </w:rPr>
        <w:t xml:space="preserve">$5.0 billion</w:t>
      </w:r>
      <w:r>
        <w:rPr>
          <w:i/>
        </w:rPr>
        <w:t xml:space="preserve"> </w:t>
      </w:r>
      <w:r>
        <w:rPr>
          <w:i/>
        </w:rPr>
        <w:t xml:space="preserve">[AS OF FY2024], per Wyoming Treasurer reporting (the older 2023 ACFR outlook had cited ~$4.9 billion) - Trustee: five-member ex-officio Board of Land Commissioners - Verdict: Kept faith.</w:t>
      </w:r>
    </w:p>
    <w:p>
      <w:pPr>
        <w:pStyle w:val="BodyText"/>
      </w:pPr>
      <w:r>
        <w:rPr>
          <w:b/>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$5.0 billion. The federal Admission Act of 1890 was purposive, not fiduciary — the doubled section-16-and-36 grant</w:t>
      </w:r>
      <w:r>
        <w:t xml:space="preserve"> </w:t>
      </w:r>
      <w:r>
        <w:t xml:space="preserve">“</w:t>
      </w:r>
      <w:r>
        <w:t xml:space="preserve">for the support of common schools,</w:t>
      </w:r>
      <w:r>
        <w:t xml:space="preserve">”</w:t>
      </w:r>
      <w:r>
        <w:t xml:space="preserve"> </w:t>
      </w:r>
      <w:r>
        <w:t xml:space="preserve">but no express</w:t>
      </w:r>
      <w:r>
        <w:t xml:space="preserve"> </w:t>
      </w:r>
      <w:r>
        <w:t xml:space="preserve">“</w:t>
      </w:r>
      <w:r>
        <w:t xml:space="preserve">in trust</w:t>
      </w:r>
      <w:r>
        <w:t xml:space="preserve">”</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w:t>
      </w:r>
      <w:r>
        <w:t xml:space="preserve">forever inviolate</w:t>
      </w:r>
      <w:r>
        <w:t xml:space="preserve">”</w:t>
      </w:r>
      <w:r>
        <w:t xml:space="preserve"> </w:t>
      </w:r>
      <w:r>
        <w:t xml:space="preserve">and adds Wyoming’s most distinctive sentence: the state pledges to</w:t>
      </w:r>
      <w:r>
        <w:t xml:space="preserve"> </w:t>
      </w:r>
      <w:r>
        <w:t xml:space="preserve">“</w:t>
      </w:r>
      <w:r>
        <w:t xml:space="preserve">make good any losses</w:t>
      </w:r>
      <w:r>
        <w:t xml:space="preserve">”</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rPr>
        <w:t xml:space="preserve">Campbell County</w:t>
      </w:r>
      <w:r>
        <w:t xml:space="preserve"> </w:t>
      </w:r>
      <w:r>
        <w:t xml:space="preserve">adequacy line (1995–2008), runs under the education clause, not the trust clause. And on the land side,</w:t>
      </w:r>
      <w:r>
        <w:t xml:space="preserve"> </w:t>
      </w:r>
      <w:r>
        <w:rPr>
          <w:i/>
        </w:rPr>
        <w:t xml:space="preserve">Riedel v. Anderson</w:t>
      </w:r>
      <w:r>
        <w:t xml:space="preserve"> </w:t>
      </w:r>
      <w:r>
        <w:t xml:space="preserve">(2003) held that neither the Admission Act nor the constitution created an express trust</w:t>
      </w:r>
      <w:r>
        <w:t xml:space="preserve"> </w:t>
      </w:r>
      <w:r>
        <w:rPr>
          <w:i/>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rPr>
        <w:t xml:space="preserve">Merbanco</w:t>
      </w:r>
      <w:r>
        <w:t xml:space="preserve">, held that Article 18 requires public auction for</w:t>
      </w:r>
      <w:r>
        <w:t xml:space="preserve"> </w:t>
      </w:r>
      <w:r>
        <w:rPr>
          <w:i/>
        </w:rPr>
        <w:t xml:space="preserve">sales</w:t>
      </w:r>
      <w:r>
        <w:t xml:space="preserve"> </w:t>
      </w:r>
      <w:r>
        <w:t xml:space="preserve">of school land but not for value-for-value</w:t>
      </w:r>
      <w:r>
        <w:t xml:space="preserve"> </w:t>
      </w:r>
      <w:r>
        <w:rPr>
          <w:i/>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$4.9 billion corpus. (A caution that matters: this is the Common School Permanent Land Fund, the school trust; it is easy to confuse with the separate Permanent Mineral Trust Fund, a severance-tax fund that is</w:t>
      </w:r>
      <w:r>
        <w:t xml:space="preserve"> </w:t>
      </w:r>
      <w:r>
        <w:rPr>
          <w:i/>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rPr>
        <w:t xml:space="preserve">Then→now:</w:t>
      </w:r>
      <w:r>
        <w:t xml:space="preserve"> </w:t>
      </w:r>
      <w:r>
        <w:t xml:space="preserve">A modest 3.47-million-acre grant, almost entirely retained → a roughly</w:t>
      </w:r>
      <w:r>
        <w:t xml:space="preserve"> </w:t>
      </w:r>
      <w:r>
        <w:rPr>
          <w:b/>
        </w:rPr>
        <w:t xml:space="preserve">$4.9 billion</w:t>
      </w:r>
      <w:r>
        <w:t xml:space="preserve"> </w:t>
      </w:r>
      <w:r>
        <w:t xml:space="preserve">mineral-driven endowment, per the Wyoming Treasurer outlook citing the 2023 ACFR.</w:t>
      </w:r>
    </w:p>
    <w:p>
      <w:pPr>
        <w:pStyle w:val="BodyText"/>
      </w:pPr>
      <w:r>
        <w:rPr>
          <w:b/>
        </w:rPr>
        <w:t xml:space="preserve">Lesson:</w:t>
      </w:r>
      <w:r>
        <w:t xml:space="preserve"> </w:t>
      </w:r>
      <w:r>
        <w:t xml:space="preserve">Retention plus a state-treasury guaranty plus geology can outperform a much larger acreage that was sold off — but</w:t>
      </w:r>
      <w:r>
        <w:t xml:space="preserve"> </w:t>
      </w:r>
      <w:r>
        <w:rPr>
          <w:i/>
        </w:rPr>
        <w:t xml:space="preserve">Riedel</w:t>
      </w:r>
      <w:r>
        <w:t xml:space="preserve">’s statutory-trust narrowing is a reminder that the land-side protection is only as strong as the legislature leaves it.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Wyoming Admission Act of July 10, 1890, 26 Stat. 222; Wyo. Const. art. 7 sec. 6, art. 18 sec. 3;</w:t>
      </w:r>
      <w:r>
        <w:t xml:space="preserve"> </w:t>
      </w:r>
      <w:r>
        <w:rPr>
          <w:i/>
        </w:rPr>
        <w:t xml:space="preserve">Riedel v. Anderson</w:t>
      </w:r>
      <w:r>
        <w:t xml:space="preserve"> </w:t>
      </w:r>
      <w:r>
        <w:t xml:space="preserve">(2003);</w:t>
      </w:r>
      <w:r>
        <w:t xml:space="preserve"> </w:t>
      </w:r>
      <w:r>
        <w:rPr>
          <w:i/>
        </w:rPr>
        <w:t xml:space="preserve">Merbanco</w:t>
      </w:r>
      <w:r>
        <w:t xml:space="preserve"> </w:t>
      </w:r>
      <w:r>
        <w:t xml:space="preserve">(2003);</w:t>
      </w:r>
      <w:r>
        <w:t xml:space="preserve"> </w:t>
      </w:r>
      <w:r>
        <w:rPr>
          <w:i/>
        </w:rPr>
        <w:t xml:space="preserve">Teton County v. State</w:t>
      </w:r>
      <w:r>
        <w:t xml:space="preserve"> </w:t>
      </w:r>
      <w:r>
        <w:t xml:space="preserve">(2025 WY 48); Wyoming State Treasurer / 2023 ACFR (fund about $4.9B). Wyoming’s Common School Permanent Land Fund is kept distinct from the separate Permanent Mineral Trust Fund.</w:t>
      </w:r>
    </w:p>
    <w:p>
      <w:r>
        <w:pict>
          <v:rect style="width:0;height:1.5pt" o:hralign="center" o:hrstd="t" o:hr="t"/>
        </w:pict>
      </w:r>
    </w:p>
    <w:p>
      <w:pPr>
        <w:pStyle w:val="FirstParagraph"/>
      </w:pPr>
      <w:r>
        <w:rPr>
          <w:i/>
        </w:rPr>
        <w:t xml:space="preserve">End of Part Two state dossiers.</w:t>
      </w:r>
    </w:p>
    <w:p>
      <w:pPr>
        <w:pStyle w:val="BodyText"/>
      </w:pPr>
      <w:r>
        <w:t xml:space="preserve"> </w:t>
      </w:r>
    </w:p>
    <w:p>
      <w:pPr>
        <w:pStyle w:val="BodyText"/>
      </w:pPr>
      <w:r>
        <w:drawing>
          <wp:inline>
            <wp:extent cx="731520" cy="853135"/>
            <wp:effectExtent b="0" l="0" r="0" t="0"/>
            <wp:docPr descr="" title="" id="1" name="Picture"/>
            <a:graphic>
              <a:graphicData uri="http://schemas.openxmlformats.org/drawingml/2006/picture">
                <pic:pic>
                  <pic:nvPicPr>
                    <pic:cNvPr descr="/sessions/upbeat-blissful-albattani/mnt/Claude%20Cowork/_tools/_web_cache/qr_us-wy_f8dfcc1714b5_1200x_q90.jpg" id="0" name="Picture"/>
                    <pic:cNvPicPr>
                      <a:picLocks noChangeArrowheads="1" noChangeAspect="1"/>
                    </pic:cNvPicPr>
                  </pic:nvPicPr>
                  <pic:blipFill>
                    <a:blip r:embed="rId132"/>
                    <a:stretch>
                      <a:fillRect/>
                    </a:stretch>
                  </pic:blipFill>
                  <pic:spPr bwMode="auto">
                    <a:xfrm>
                      <a:off x="0" y="0"/>
                      <a:ext cx="731520" cy="853135"/>
                    </a:xfrm>
                    <a:prstGeom prst="rect">
                      <a:avLst/>
                    </a:prstGeom>
                    <a:noFill/>
                    <a:ln w="9525">
                      <a:noFill/>
                      <a:headEnd/>
                      <a:tailEnd/>
                    </a:ln>
                  </pic:spPr>
                </pic:pic>
              </a:graphicData>
            </a:graphic>
          </wp:inline>
        </w:drawing>
      </w:r>
    </w:p>
    <w:p>
      <w:pPr>
        <w:pStyle w:val="BodyText"/>
      </w:pPr>
      <w:r>
        <w:rPr>
          <w:i/>
        </w:rPr>
        <w:t xml:space="preserve">Living page — scan, or visit schooltrusts.net/reading/us-wy, for current figures, recent developments, and sources.</w:t>
      </w:r>
    </w:p>
    <w:p>
      <w:r>
        <w:br w:type="page"/>
      </w:r>
    </w:p>
    <w:p>
      <w:pPr>
        <w:pStyle w:val="Heading1"/>
      </w:pPr>
      <w:bookmarkStart w:id="133" w:name="a-note-on-method-and-sources"/>
      <w:r>
        <w:t xml:space="preserve">A Note on Method and Sources</w:t>
      </w:r>
      <w:bookmarkEnd w:id="133"/>
    </w:p>
    <w:p>
      <w:pPr>
        <w:pStyle w:val="FirstParagraph"/>
      </w:pPr>
      <w:r>
        <w:t xml:space="preserve">This book aims to be trusted the way it asks the states to be trusted: it shows its work. Three commitments govern it.</w:t>
      </w:r>
    </w:p>
    <w:p>
      <w:pPr>
        <w:pStyle w:val="BodyText"/>
      </w:pPr>
      <w:r>
        <w:rPr>
          <w:i/>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p>
      <w:pPr>
        <w:pStyle w:val="Heading1"/>
      </w:pPr>
      <w:bookmarkStart w:id="134" w:name="appendix-the-non-grant-states"/>
      <w:r>
        <w:t xml:space="preserve">APPENDIX — The Non-Grant States</w:t>
      </w:r>
      <w:bookmarkEnd w:id="134"/>
    </w:p>
    <w:p>
      <w:pPr>
        <w:pStyle w:val="FirstParagraph"/>
      </w:pPr>
      <w:r>
        <w:rPr>
          <w:i/>
        </w:rPr>
        <w:t xml:space="preserve">Compression note: this is the print-candidate short appendix Margaret requested. The fuller dossier prose remains preserved in</w:t>
      </w:r>
      <w:r>
        <w:rPr>
          <w:i/>
        </w:rPr>
        <w:t xml:space="preserve"> </w:t>
      </w:r>
      <w:r>
        <w:rPr>
          <w:rStyle w:val="VerbatimChar"/>
          <w:i/>
        </w:rPr>
        <w:t xml:space="preserve">FFG_v8_2026-06-01.md</w:t>
      </w:r>
      <w:r>
        <w:rPr>
          <w:i/>
        </w:rPr>
        <w:t xml:space="preserve"> </w:t>
      </w:r>
      <w:r>
        <w:rPr>
          <w:i/>
        </w:rPr>
        <w:t xml:space="preserve">for source substrate or online-companion use.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Why no federal grant</w:t>
            </w:r>
          </w:p>
        </w:tc>
        <w:tc>
          <w:tcPr>
            <w:tcBorders>
              <w:bottom w:val="single"/>
            </w:tcBorders>
            <w:vAlign w:val="bottom"/>
          </w:tcPr>
          <w:p>
            <w:pPr>
              <w:pStyle w:val="Compact"/>
              <w:jc w:val="left"/>
            </w:pPr>
            <w:r>
              <w:t xml:space="preserve">Substitute school-funding architecture</w:t>
            </w:r>
          </w:p>
        </w:tc>
        <w:tc>
          <w:tcPr>
            <w:tcBorders>
              <w:bottom w:val="single"/>
            </w:tcBorders>
            <w:vAlign w:val="bottom"/>
          </w:tcPr>
          <w:p>
            <w:pPr>
              <w:pStyle w:val="Compact"/>
              <w:jc w:val="left"/>
            </w:pPr>
            <w:r>
              <w:t xml:space="preserve">Why it matters to the thesis</w:t>
            </w:r>
          </w:p>
        </w:tc>
      </w:tr>
      <w:tr>
        <w:tc>
          <w:p>
            <w:pPr>
              <w:pStyle w:val="Compact"/>
              <w:jc w:val="left"/>
            </w:pPr>
            <w:r>
              <w:t xml:space="preserve">Connecticut</w:t>
            </w:r>
          </w:p>
        </w:tc>
        <w:tc>
          <w:p>
            <w:pPr>
              <w:pStyle w:val="Compact"/>
              <w:jc w:val="left"/>
            </w:pPr>
            <w:r>
              <w:t xml:space="preserve">Original-13 state; no federal public-domain admission grant.</w:t>
            </w:r>
          </w:p>
        </w:tc>
        <w:tc>
          <w:p>
            <w:pPr>
              <w:pStyle w:val="Compact"/>
              <w:jc w:val="left"/>
            </w:pPr>
            <w:r>
              <w:t xml:space="preserve">Sold the Western Reserve in 1795 and dedicated the $1.2M proceeds to a perpetual school fund.</w:t>
            </w:r>
          </w:p>
        </w:tc>
        <w:tc>
          <w:p>
            <w:pPr>
              <w:pStyle w:val="Compact"/>
              <w:jc w:val="left"/>
            </w:pPr>
            <w:r>
              <w:t xml:space="preserve">Proof that a state-derived land sale could become a real school endowment, though the modern fund is no longer load-bearing.</w:t>
            </w:r>
          </w:p>
        </w:tc>
      </w:tr>
      <w:tr>
        <w:tc>
          <w:p>
            <w:pPr>
              <w:pStyle w:val="Compact"/>
              <w:jc w:val="left"/>
            </w:pPr>
            <w:r>
              <w:t xml:space="preserve">Delaware</w:t>
            </w:r>
          </w:p>
        </w:tc>
        <w:tc>
          <w:p>
            <w:pPr>
              <w:pStyle w:val="Compact"/>
              <w:jc w:val="left"/>
            </w:pPr>
            <w:r>
              <w:t xml:space="preserve">Original-13 state.</w:t>
            </w:r>
          </w:p>
        </w:tc>
        <w:tc>
          <w:p>
            <w:pPr>
              <w:pStyle w:val="Compact"/>
              <w:jc w:val="left"/>
            </w:pPr>
            <w:r>
              <w:t xml:space="preserve">Small statutory public-school fund; education duty mainly runs through state constitutional and statutory finance.</w:t>
            </w:r>
          </w:p>
        </w:tc>
        <w:tc>
          <w:p>
            <w:pPr>
              <w:pStyle w:val="Compact"/>
              <w:jc w:val="left"/>
            </w:pPr>
            <w:r>
              <w:t xml:space="preserve">Shows how a state can have school-fund language without a meaningful land corpus behind it.</w:t>
            </w:r>
          </w:p>
        </w:tc>
      </w:tr>
      <w:tr>
        <w:tc>
          <w:p>
            <w:pPr>
              <w:pStyle w:val="Compact"/>
              <w:jc w:val="left"/>
            </w:pPr>
            <w:r>
              <w:t xml:space="preserve">Georgia</w:t>
            </w:r>
          </w:p>
        </w:tc>
        <w:tc>
          <w:p>
            <w:pPr>
              <w:pStyle w:val="Compact"/>
              <w:jc w:val="left"/>
            </w:pPr>
            <w:r>
              <w:t xml:space="preserve">Original-13 state; later ceded western claims.</w:t>
            </w:r>
          </w:p>
        </w:tc>
        <w:tc>
          <w:p>
            <w:pPr>
              <w:pStyle w:val="Compact"/>
              <w:jc w:val="left"/>
            </w:pPr>
            <w:r>
              <w:t xml:space="preserve">Poor School Fund / lottery-funded education supports; no federal section trust.</w:t>
            </w:r>
          </w:p>
        </w:tc>
        <w:tc>
          <w:p>
            <w:pPr>
              <w:pStyle w:val="Compact"/>
              <w:jc w:val="left"/>
            </w:pPr>
            <w:r>
              <w:t xml:space="preserve">Supplies the opening’s stigma evidence: in Bryan County in 1847, 164 children were entitled to poor-school aid and no more than 16 attended.</w:t>
            </w:r>
          </w:p>
        </w:tc>
      </w:tr>
      <w:tr>
        <w:tc>
          <w:p>
            <w:pPr>
              <w:pStyle w:val="Compact"/>
              <w:jc w:val="left"/>
            </w:pPr>
            <w:r>
              <w:t xml:space="preserve">Maryland</w:t>
            </w:r>
          </w:p>
        </w:tc>
        <w:tc>
          <w:p>
            <w:pPr>
              <w:pStyle w:val="Compact"/>
              <w:jc w:val="left"/>
            </w:pPr>
            <w:r>
              <w:t xml:space="preserve">Original-13 state.</w:t>
            </w:r>
          </w:p>
        </w:tc>
        <w:tc>
          <w:p>
            <w:pPr>
              <w:pStyle w:val="Compact"/>
              <w:jc w:val="left"/>
            </w:pPr>
            <w:r>
              <w:t xml:space="preserve">Thorough-and-efficient school clause; modern Blueprint funding reform; no fiduciary land corpus.</w:t>
            </w:r>
          </w:p>
        </w:tc>
        <w:tc>
          <w:p>
            <w:pPr>
              <w:pStyle w:val="Compact"/>
              <w:jc w:val="left"/>
            </w:pPr>
            <w:r>
              <w:t xml:space="preserve">Maryland helped write the national school-land idea but did not receive it. Its modern fights are adequacy fights, not trust-corpus fights.</w:t>
            </w:r>
          </w:p>
        </w:tc>
      </w:tr>
      <w:tr>
        <w:tc>
          <w:p>
            <w:pPr>
              <w:pStyle w:val="Compact"/>
              <w:jc w:val="left"/>
            </w:pPr>
            <w:r>
              <w:t xml:space="preserve">Massachusetts</w:t>
            </w:r>
          </w:p>
        </w:tc>
        <w:tc>
          <w:p>
            <w:pPr>
              <w:pStyle w:val="Compact"/>
              <w:jc w:val="left"/>
            </w:pPr>
            <w:r>
              <w:t xml:space="preserve">Original-13 state.</w:t>
            </w:r>
          </w:p>
        </w:tc>
        <w:tc>
          <w:p>
            <w:pPr>
              <w:pStyle w:val="Compact"/>
              <w:jc w:val="left"/>
            </w:pPr>
            <w:r>
              <w:t xml:space="preserve">Adams education clause, town-school tradition, adequacy doctrine under</w:t>
            </w:r>
            <w:r>
              <w:t xml:space="preserve"> </w:t>
            </w:r>
            <w:r>
              <w:rPr>
                <w:i/>
              </w:rPr>
              <w:t xml:space="preserve">McDuffy</w:t>
            </w:r>
            <w:r>
              <w:t xml:space="preserve">.</w:t>
            </w:r>
          </w:p>
        </w:tc>
        <w:tc>
          <w:p>
            <w:pPr>
              <w:pStyle w:val="Compact"/>
              <w:jc w:val="left"/>
            </w:pPr>
            <w:r>
              <w:t xml:space="preserve">Supplies the civic premise: public education as a condition of republican liberty, before Congress converted the premise into land.</w:t>
            </w:r>
          </w:p>
        </w:tc>
      </w:tr>
      <w:tr>
        <w:tc>
          <w:p>
            <w:pPr>
              <w:pStyle w:val="Compact"/>
              <w:jc w:val="left"/>
            </w:pPr>
            <w:r>
              <w:t xml:space="preserve">New Hampshire</w:t>
            </w:r>
          </w:p>
        </w:tc>
        <w:tc>
          <w:p>
            <w:pPr>
              <w:pStyle w:val="Compact"/>
              <w:jc w:val="left"/>
            </w:pPr>
            <w:r>
              <w:t xml:space="preserve">Original-13 state.</w:t>
            </w:r>
          </w:p>
        </w:tc>
        <w:tc>
          <w:p>
            <w:pPr>
              <w:pStyle w:val="Compact"/>
              <w:jc w:val="left"/>
            </w:pPr>
            <w:r>
              <w:t xml:space="preserve">Article 83 education duty;</w:t>
            </w:r>
            <w:r>
              <w:t xml:space="preserve"> </w:t>
            </w:r>
            <w:r>
              <w:rPr>
                <w:i/>
              </w:rPr>
              <w:t xml:space="preserve">Claremont</w:t>
            </w:r>
            <w:r>
              <w:t xml:space="preserve"> </w:t>
            </w:r>
            <w:r>
              <w:t xml:space="preserve">line and current challenge to its enforceability.</w:t>
            </w:r>
          </w:p>
        </w:tc>
        <w:tc>
          <w:p>
            <w:pPr>
              <w:pStyle w:val="Compact"/>
              <w:jc w:val="left"/>
            </w:pPr>
            <w:r>
              <w:t xml:space="preserve">A duty can sleep for two centuries, awaken in court, and then be challenged again. Text alone does not enforce itself.</w:t>
            </w:r>
          </w:p>
        </w:tc>
      </w:tr>
      <w:tr>
        <w:tc>
          <w:p>
            <w:pPr>
              <w:pStyle w:val="Compact"/>
              <w:jc w:val="left"/>
            </w:pPr>
            <w:r>
              <w:t xml:space="preserve">New Jersey</w:t>
            </w:r>
          </w:p>
        </w:tc>
        <w:tc>
          <w:p>
            <w:pPr>
              <w:pStyle w:val="Compact"/>
              <w:jc w:val="left"/>
            </w:pPr>
            <w:r>
              <w:t xml:space="preserve">Original-13 state.</w:t>
            </w:r>
          </w:p>
        </w:tc>
        <w:tc>
          <w:p>
            <w:pPr>
              <w:pStyle w:val="Compact"/>
              <w:jc w:val="left"/>
            </w:pPr>
            <w:r>
              <w:t xml:space="preserve">Perpetual School Fund from state sources plus strong education-clause litigation.</w:t>
            </w:r>
          </w:p>
        </w:tc>
        <w:tc>
          <w:p>
            <w:pPr>
              <w:pStyle w:val="Compact"/>
              <w:jc w:val="left"/>
            </w:pPr>
            <w:r>
              <w:t xml:space="preserve">Even strong perpetual-fund language is weaker when the same state constitution can amend it away; adequacy doctrine became the real engine.</w:t>
            </w:r>
          </w:p>
        </w:tc>
      </w:tr>
      <w:tr>
        <w:tc>
          <w:p>
            <w:pPr>
              <w:pStyle w:val="Compact"/>
              <w:jc w:val="left"/>
            </w:pPr>
            <w:r>
              <w:t xml:space="preserve">New York</w:t>
            </w:r>
          </w:p>
        </w:tc>
        <w:tc>
          <w:p>
            <w:pPr>
              <w:pStyle w:val="Compact"/>
              <w:jc w:val="left"/>
            </w:pPr>
            <w:r>
              <w:t xml:space="preserve">Original-13 state.</w:t>
            </w:r>
          </w:p>
        </w:tc>
        <w:tc>
          <w:p>
            <w:pPr>
              <w:pStyle w:val="Compact"/>
              <w:jc w:val="left"/>
            </w:pPr>
            <w:r>
              <w:t xml:space="preserve">1805 Common School Fund from state lands; 1821/1846 lockbox provisions.</w:t>
            </w:r>
          </w:p>
        </w:tc>
        <w:tc>
          <w:p>
            <w:pPr>
              <w:pStyle w:val="Compact"/>
              <w:jc w:val="left"/>
            </w:pPr>
            <w:r>
              <w:t xml:space="preserve">New York worked out the permanent-fund pattern before many public-land states received their grants.</w:t>
            </w:r>
          </w:p>
        </w:tc>
      </w:tr>
      <w:tr>
        <w:tc>
          <w:p>
            <w:pPr>
              <w:pStyle w:val="Compact"/>
              <w:jc w:val="left"/>
            </w:pPr>
            <w:r>
              <w:t xml:space="preserve">North Carolina</w:t>
            </w:r>
          </w:p>
        </w:tc>
        <w:tc>
          <w:p>
            <w:pPr>
              <w:pStyle w:val="Compact"/>
              <w:jc w:val="left"/>
            </w:pPr>
            <w:r>
              <w:t xml:space="preserve">Original-13 state.</w:t>
            </w:r>
          </w:p>
        </w:tc>
        <w:tc>
          <w:p>
            <w:pPr>
              <w:pStyle w:val="Compact"/>
              <w:jc w:val="left"/>
            </w:pPr>
            <w:r>
              <w:t xml:space="preserve">State literary/school funds and modern adequacy litigation.</w:t>
            </w:r>
          </w:p>
        </w:tc>
        <w:tc>
          <w:p>
            <w:pPr>
              <w:pStyle w:val="Compact"/>
              <w:jc w:val="left"/>
            </w:pPr>
            <w:r>
              <w:t xml:space="preserve">The school-fund clause is not self-executing; the contemporary lesson is remedy design, not corpus preservation.</w:t>
            </w:r>
          </w:p>
        </w:tc>
      </w:tr>
      <w:tr>
        <w:tc>
          <w:p>
            <w:pPr>
              <w:pStyle w:val="Compact"/>
              <w:jc w:val="left"/>
            </w:pPr>
            <w:r>
              <w:t xml:space="preserve">Pennsylvania</w:t>
            </w:r>
          </w:p>
        </w:tc>
        <w:tc>
          <w:p>
            <w:pPr>
              <w:pStyle w:val="Compact"/>
              <w:jc w:val="left"/>
            </w:pPr>
            <w:r>
              <w:t xml:space="preserve">Original-13 state.</w:t>
            </w:r>
          </w:p>
        </w:tc>
        <w:tc>
          <w:p>
            <w:pPr>
              <w:pStyle w:val="Compact"/>
              <w:jc w:val="left"/>
            </w:pPr>
            <w:r>
              <w:t xml:space="preserve">Education clause and modern</w:t>
            </w:r>
            <w:r>
              <w:t xml:space="preserve"> </w:t>
            </w:r>
            <w:r>
              <w:rPr>
                <w:i/>
              </w:rPr>
              <w:t xml:space="preserve">William Penn</w:t>
            </w:r>
            <w:r>
              <w:t xml:space="preserve"> </w:t>
            </w:r>
            <w:r>
              <w:t xml:space="preserve">adequacy doctrine; no school-land corpus.</w:t>
            </w:r>
          </w:p>
        </w:tc>
        <w:tc>
          <w:p>
            <w:pPr>
              <w:pStyle w:val="Compact"/>
              <w:jc w:val="left"/>
            </w:pPr>
            <w:r>
              <w:t xml:space="preserve">Shows a demand-side school duty: courts can require adequate schools without restoring a trust fund.</w:t>
            </w:r>
          </w:p>
        </w:tc>
      </w:tr>
      <w:tr>
        <w:tc>
          <w:p>
            <w:pPr>
              <w:pStyle w:val="Compact"/>
              <w:jc w:val="left"/>
            </w:pPr>
            <w:r>
              <w:t xml:space="preserve">Rhode Island</w:t>
            </w:r>
          </w:p>
        </w:tc>
        <w:tc>
          <w:p>
            <w:pPr>
              <w:pStyle w:val="Compact"/>
              <w:jc w:val="left"/>
            </w:pPr>
            <w:r>
              <w:t xml:space="preserve">Original-13 state.</w:t>
            </w:r>
          </w:p>
        </w:tc>
        <w:tc>
          <w:p>
            <w:pPr>
              <w:pStyle w:val="Compact"/>
              <w:jc w:val="left"/>
            </w:pPr>
            <w:r>
              <w:t xml:space="preserve">Small permanent school fund; courts largely noninterventionist on adequacy.</w:t>
            </w:r>
          </w:p>
        </w:tc>
        <w:tc>
          <w:p>
            <w:pPr>
              <w:pStyle w:val="Compact"/>
              <w:jc w:val="left"/>
            </w:pPr>
            <w:r>
              <w:t xml:space="preserve">Perpetuity language cannot carry a system if the fund is tiny and courts decline to enforce the broader duty.</w:t>
            </w:r>
          </w:p>
        </w:tc>
      </w:tr>
      <w:tr>
        <w:tc>
          <w:p>
            <w:pPr>
              <w:pStyle w:val="Compact"/>
              <w:jc w:val="left"/>
            </w:pPr>
            <w:r>
              <w:t xml:space="preserve">South Carolina</w:t>
            </w:r>
          </w:p>
        </w:tc>
        <w:tc>
          <w:p>
            <w:pPr>
              <w:pStyle w:val="Compact"/>
              <w:jc w:val="left"/>
            </w:pPr>
            <w:r>
              <w:t xml:space="preserve">Original-13 state.</w:t>
            </w:r>
          </w:p>
        </w:tc>
        <w:tc>
          <w:p>
            <w:pPr>
              <w:pStyle w:val="Compact"/>
              <w:jc w:val="left"/>
            </w:pPr>
            <w:r>
              <w:t xml:space="preserve">Reconstructed public-school duty, adequacy cases, and no-aid/private-school funding litigation.</w:t>
            </w:r>
          </w:p>
        </w:tc>
        <w:tc>
          <w:p>
            <w:pPr>
              <w:pStyle w:val="Compact"/>
              <w:jc w:val="left"/>
            </w:pPr>
            <w:r>
              <w:t xml:space="preserve">Shows that a school duty can be politically weakened and later rebuilt; vigilance matters even without land.</w:t>
            </w:r>
          </w:p>
        </w:tc>
      </w:tr>
      <w:tr>
        <w:tc>
          <w:p>
            <w:pPr>
              <w:pStyle w:val="Compact"/>
              <w:jc w:val="left"/>
            </w:pPr>
            <w:r>
              <w:t xml:space="preserve">Virginia</w:t>
            </w:r>
          </w:p>
        </w:tc>
        <w:tc>
          <w:p>
            <w:pPr>
              <w:pStyle w:val="Compact"/>
              <w:jc w:val="left"/>
            </w:pPr>
            <w:r>
              <w:t xml:space="preserve">Original-13 state; ceded the Northwest Territory that made the federal template possible.</w:t>
            </w:r>
          </w:p>
        </w:tc>
        <w:tc>
          <w:p>
            <w:pPr>
              <w:pStyle w:val="Compact"/>
              <w:jc w:val="left"/>
            </w:pPr>
            <w:r>
              <w:t xml:space="preserve">Literary Fund and education clause; adequacy door narrower than in some states.</w:t>
            </w:r>
          </w:p>
        </w:tc>
        <w:tc>
          <w:p>
            <w:pPr>
              <w:pStyle w:val="Compact"/>
              <w:jc w:val="left"/>
            </w:pPr>
            <w:r>
              <w:t xml:space="preserve">Virginia supplied both land and argument upstream of the federal system without itself receiving the grant.</w:t>
            </w:r>
          </w:p>
        </w:tc>
      </w:tr>
      <w:tr>
        <w:tc>
          <w:p>
            <w:pPr>
              <w:pStyle w:val="Compact"/>
              <w:jc w:val="left"/>
            </w:pPr>
            <w:r>
              <w:t xml:space="preserve">Vermont</w:t>
            </w:r>
          </w:p>
        </w:tc>
        <w:tc>
          <w:p>
            <w:pPr>
              <w:pStyle w:val="Compact"/>
              <w:jc w:val="left"/>
            </w:pPr>
            <w:r>
              <w:t xml:space="preserve">Entered from its own republic/claims, not federal public domain.</w:t>
            </w:r>
          </w:p>
        </w:tc>
        <w:tc>
          <w:p>
            <w:pPr>
              <w:pStyle w:val="Compact"/>
              <w:jc w:val="left"/>
            </w:pPr>
            <w:r>
              <w:t xml:space="preserve">Town school-right lands and an enforceable state education clause.</w:t>
            </w:r>
          </w:p>
        </w:tc>
        <w:tc>
          <w:p>
            <w:pPr>
              <w:pStyle w:val="Compact"/>
              <w:jc w:val="left"/>
            </w:pPr>
            <w:r>
              <w:t xml:space="preserve">The school-land idea was already in the air before 1785; Vermont proves the federal template ratified a broader civic pattern.</w:t>
            </w:r>
          </w:p>
        </w:tc>
      </w:tr>
      <w:tr>
        <w:tc>
          <w:p>
            <w:pPr>
              <w:pStyle w:val="Compact"/>
              <w:jc w:val="left"/>
            </w:pPr>
            <w:r>
              <w:t xml:space="preserve">Kentucky</w:t>
            </w:r>
          </w:p>
        </w:tc>
        <w:tc>
          <w:p>
            <w:pPr>
              <w:pStyle w:val="Compact"/>
              <w:jc w:val="left"/>
            </w:pPr>
            <w:r>
              <w:t xml:space="preserve">Carved from Virginia; lands never federal public domain.</w:t>
            </w:r>
          </w:p>
        </w:tc>
        <w:tc>
          <w:p>
            <w:pPr>
              <w:pStyle w:val="Compact"/>
              <w:jc w:val="left"/>
            </w:pPr>
            <w:r>
              <w:t xml:space="preserve">Common School Fund seeded in part by federal surplus cash, not land; strong lockbox language.</w:t>
            </w:r>
          </w:p>
        </w:tc>
        <w:tc>
          <w:p>
            <w:pPr>
              <w:pStyle w:val="Compact"/>
              <w:jc w:val="left"/>
            </w:pPr>
            <w:r>
              <w:t xml:space="preserve">A state can build trust-like protection from cash and state law, but it lacks the federal compact floor.</w:t>
            </w:r>
          </w:p>
        </w:tc>
      </w:tr>
      <w:tr>
        <w:tc>
          <w:p>
            <w:pPr>
              <w:pStyle w:val="Compact"/>
              <w:jc w:val="left"/>
            </w:pPr>
            <w:r>
              <w:t xml:space="preserve">Maine</w:t>
            </w:r>
          </w:p>
        </w:tc>
        <w:tc>
          <w:p>
            <w:pPr>
              <w:pStyle w:val="Compact"/>
              <w:jc w:val="left"/>
            </w:pPr>
            <w:r>
              <w:t xml:space="preserve">Separated from Massachusetts; no federal public domain.</w:t>
            </w:r>
          </w:p>
        </w:tc>
        <w:tc>
          <w:p>
            <w:pPr>
              <w:pStyle w:val="Compact"/>
              <w:jc w:val="left"/>
            </w:pPr>
            <w:r>
              <w:t xml:space="preserve">Public lots and reserved lands; modern revenue largely serves land management rather than schools.</w:t>
            </w:r>
          </w:p>
        </w:tc>
        <w:tc>
          <w:p>
            <w:pPr>
              <w:pStyle w:val="Compact"/>
              <w:jc w:val="left"/>
            </w:pPr>
            <w:r>
              <w:t xml:space="preserve">The school thread can fray even when public lands survive; purpose can migrate without dramatic breach.</w:t>
            </w:r>
          </w:p>
        </w:tc>
      </w:tr>
      <w:tr>
        <w:tc>
          <w:p>
            <w:pPr>
              <w:pStyle w:val="Compact"/>
              <w:jc w:val="left"/>
            </w:pPr>
            <w:r>
              <w:t xml:space="preserve">West Virginia</w:t>
            </w:r>
          </w:p>
        </w:tc>
        <w:tc>
          <w:p>
            <w:pPr>
              <w:pStyle w:val="Compact"/>
              <w:jc w:val="left"/>
            </w:pPr>
            <w:r>
              <w:t xml:space="preserve">Carved from Virginia during the Civil War; no federal section grant.</w:t>
            </w:r>
          </w:p>
        </w:tc>
        <w:tc>
          <w:p>
            <w:pPr>
              <w:pStyle w:val="Compact"/>
              <w:jc w:val="left"/>
            </w:pPr>
            <w:r>
              <w:t xml:space="preserve">Small irreducible School Fund plus strong adequacy doctrine in</w:t>
            </w:r>
            <w:r>
              <w:t xml:space="preserve"> </w:t>
            </w:r>
            <w:r>
              <w:rPr>
                <w:i/>
              </w:rPr>
              <w:t xml:space="preserve">Pauley</w:t>
            </w:r>
            <w:r>
              <w:t xml:space="preserve">.</w:t>
            </w:r>
          </w:p>
        </w:tc>
        <w:tc>
          <w:p>
            <w:pPr>
              <w:pStyle w:val="Compact"/>
              <w:jc w:val="left"/>
            </w:pPr>
            <w:r>
              <w:t xml:space="preserve">A small, well-walled fund plus an enforceable school duty may matter more than a large but reachable fund.</w:t>
            </w:r>
          </w:p>
        </w:tc>
      </w:tr>
    </w:tbl>
    <w:p>
      <w:pPr>
        <w:pStyle w:val="BodyText"/>
      </w:pPr>
      <w:r>
        <w:rPr>
          <w:i/>
        </w:rPr>
        <w:t xml:space="preserve">Sources/notes (non-grant states):</w:t>
      </w:r>
      <w:r>
        <w:t xml:space="preserve"> </w:t>
      </w:r>
      <w:r>
        <w:rPr>
          <w:b/>
        </w:rPr>
        <w:t xml:space="preserve">Vermont</w:t>
      </w:r>
      <w:r>
        <w:t xml:space="preserve"> </w:t>
      </w:r>
      <w:r>
        <w:t xml:space="preserve">— Act of Feb. 18, 1791, 1 Stat. 191; Vt. Const. of 1777 (ch. II, §XL) and 1793 (ch. II, §68);</w:t>
      </w:r>
      <w:r>
        <w:t xml:space="preserve"> </w:t>
      </w:r>
      <w:r>
        <w:rPr>
          <w:i/>
        </w:rPr>
        <w:t xml:space="preserve">Galkin v. Town of Chester</w:t>
      </w:r>
      <w:r>
        <w:t xml:space="preserve">, 168 Vt. 82 (1998);</w:t>
      </w:r>
      <w:r>
        <w:t xml:space="preserve"> </w:t>
      </w:r>
      <w:r>
        <w:rPr>
          <w:i/>
        </w:rPr>
        <w:t xml:space="preserve">Brigham v. State</w:t>
      </w:r>
      <w:r>
        <w:t xml:space="preserve">, 166 Vt. 246 (1997).</w:t>
      </w:r>
      <w:r>
        <w:t xml:space="preserve"> </w:t>
      </w:r>
      <w:r>
        <w:rPr>
          <w:b/>
        </w:rPr>
        <w:t xml:space="preserve">Kentucky</w:t>
      </w:r>
      <w:r>
        <w:t xml:space="preserve"> </w:t>
      </w:r>
      <w:r>
        <w:t xml:space="preserve">— Act of Feb. 4, 1791, 1 Stat. 189; Compact with Virginia (1789); Ky. Const. §§183–184;</w:t>
      </w:r>
      <w:r>
        <w:t xml:space="preserve"> </w:t>
      </w:r>
      <w:r>
        <w:rPr>
          <w:i/>
        </w:rPr>
        <w:t xml:space="preserve">Rose v. Council for Better Education</w:t>
      </w:r>
      <w:r>
        <w:t xml:space="preserve">, 790 S.W.2d 186 (Ky. 1989).</w:t>
      </w:r>
      <w:r>
        <w:t xml:space="preserve"> </w:t>
      </w:r>
      <w:r>
        <w:rPr>
          <w:b/>
        </w:rPr>
        <w:t xml:space="preserve">Maine</w:t>
      </w:r>
      <w:r>
        <w:t xml:space="preserve"> </w:t>
      </w:r>
      <w:r>
        <w:t xml:space="preserve">— Act of Mar. 3, 1820, 3 Stat. 544; Articles of Separation (1819);</w:t>
      </w:r>
      <w:r>
        <w:t xml:space="preserve"> </w:t>
      </w:r>
      <w:r>
        <w:rPr>
          <w:i/>
        </w:rPr>
        <w:t xml:space="preserve">Cushing v. State</w:t>
      </w:r>
      <w:r>
        <w:t xml:space="preserve">, 434 A.2d 486 (Me. 1981); L. Schepps,</w:t>
      </w:r>
      <w:r>
        <w:t xml:space="preserve"> </w:t>
      </w:r>
      <w:r>
        <w:rPr>
          <w:i/>
        </w:rPr>
        <w:t xml:space="preserve">Maine’s Public Lots</w:t>
      </w:r>
      <w:r>
        <w:t xml:space="preserve"> </w:t>
      </w:r>
      <w:r>
        <w:t xml:space="preserve">(1973).</w:t>
      </w:r>
      <w:r>
        <w:t xml:space="preserve"> </w:t>
      </w:r>
      <w:r>
        <w:rPr>
          <w:b/>
        </w:rPr>
        <w:t xml:space="preserve">Virginia</w:t>
      </w:r>
      <w:r>
        <w:t xml:space="preserve"> </w:t>
      </w:r>
      <w:r>
        <w:t xml:space="preserve">— Va. Const. art. VIII §8 (Literary Fund, 1810);</w:t>
      </w:r>
      <w:r>
        <w:t xml:space="preserve"> </w:t>
      </w:r>
      <w:r>
        <w:rPr>
          <w:i/>
        </w:rPr>
        <w:t xml:space="preserve">Virginia v. West Virginia</w:t>
      </w:r>
      <w:r>
        <w:t xml:space="preserve">, 220 U.S. 1 (1911), 246 U.S. 565 (1918).</w:t>
      </w:r>
      <w:r>
        <w:t xml:space="preserve"> </w:t>
      </w:r>
      <w:r>
        <w:rPr>
          <w:b/>
        </w:rPr>
        <w:t xml:space="preserve">West Virginia</w:t>
      </w:r>
      <w:r>
        <w:t xml:space="preserve"> </w:t>
      </w:r>
      <w:r>
        <w:t xml:space="preserve">— Act of Dec. 31, 1862, 12 Stat. 633; W. Va. Const. art. XII §§1, 4;</w:t>
      </w:r>
      <w:r>
        <w:t xml:space="preserve"> </w:t>
      </w:r>
      <w:r>
        <w:rPr>
          <w:i/>
        </w:rPr>
        <w:t xml:space="preserve">Pauley v. Kelly</w:t>
      </w:r>
      <w:r>
        <w:t xml:space="preserve">, 162 W. Va. 672 (1979).</w:t>
      </w:r>
      <w:r>
        <w:t xml:space="preserve"> </w:t>
      </w:r>
      <w:r>
        <w:rPr>
          <w:b/>
        </w:rPr>
        <w:t xml:space="preserve">Georgia</w:t>
      </w:r>
      <w:r>
        <w:t xml:space="preserve"> </w:t>
      </w:r>
      <w:r>
        <w:t xml:space="preserve">— Dorothy Orr,</w:t>
      </w:r>
      <w:r>
        <w:t xml:space="preserve"> </w:t>
      </w:r>
      <w:r>
        <w:rPr>
          <w:i/>
        </w:rPr>
        <w:t xml:space="preserve">A History of Education in Georgia</w:t>
      </w:r>
      <w:r>
        <w:t xml:space="preserve"> </w:t>
      </w:r>
      <w:r>
        <w:t xml:space="preserve">(1950). Three of the adequacy-case citations are now pinned (CourtListener): Massachusetts —</w:t>
      </w:r>
      <w:r>
        <w:t xml:space="preserve"> </w:t>
      </w:r>
      <w:r>
        <w:rPr>
          <w:i/>
        </w:rPr>
        <w:t xml:space="preserve">McDuffy v. Secretary of the Executive Office of Education</w:t>
      </w:r>
      <w:r>
        <w:t xml:space="preserve">, 415 Mass. 545, 615 N.E.2d 516 (1993); New Hampshire —</w:t>
      </w:r>
      <w:r>
        <w:t xml:space="preserve"> </w:t>
      </w:r>
      <w:r>
        <w:rPr>
          <w:i/>
        </w:rPr>
        <w:t xml:space="preserve">Claremont School District v. Governor</w:t>
      </w:r>
      <w:r>
        <w:t xml:space="preserve">, 143 N.H. 154 (1998), through 147 N.H. 499 (2002); Pennsylvania —</w:t>
      </w:r>
      <w:r>
        <w:t xml:space="preserve"> </w:t>
      </w:r>
      <w:r>
        <w:rPr>
          <w:i/>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Present-day corpus figures for the non-grant states are intentionally omitted unless already source-dated.</w:t>
      </w:r>
    </w:p>
    <w:p>
      <w:pPr>
        <w:pStyle w:val="BodyText"/>
      </w:pPr>
      <w:r>
        <w:t xml:space="preserve">ewpage</w:t>
      </w:r>
    </w:p>
    <w:p>
      <w:pPr>
        <w:pStyle w:val="BodyText"/>
      </w:pPr>
      <w:r>
        <w:rPr>
          <w:b/>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rPr>
        <w:t xml:space="preserve">Connecticut</w:t>
      </w:r>
      <w:r>
        <w:t xml:space="preserve"> </w:t>
      </w:r>
      <w:r>
        <w:t xml:space="preserve">· schooltrusts.net/reading/us-ct</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ct_109d2e525972_1200x_q90.jpg" id="0" name="Picture"/>
                    <pic:cNvPicPr>
                      <a:picLocks noChangeArrowheads="1" noChangeAspect="1"/>
                    </pic:cNvPicPr>
                  </pic:nvPicPr>
                  <pic:blipFill>
                    <a:blip r:embed="rId13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Delaware</w:t>
      </w:r>
      <w:r>
        <w:t xml:space="preserve"> </w:t>
      </w:r>
      <w:r>
        <w:t xml:space="preserve">· schooltrusts.net/reading/us-de</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de_9dcf07e3989e_1200x_q90.jpg" id="0" name="Picture"/>
                    <pic:cNvPicPr>
                      <a:picLocks noChangeArrowheads="1" noChangeAspect="1"/>
                    </pic:cNvPicPr>
                  </pic:nvPicPr>
                  <pic:blipFill>
                    <a:blip r:embed="rId13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Georgia</w:t>
      </w:r>
      <w:r>
        <w:t xml:space="preserve"> </w:t>
      </w:r>
      <w:r>
        <w:t xml:space="preserve">· schooltrusts.net/reading/us-ga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ga_7a697471e6eb_1200x_q90.jpg" id="0" name="Picture"/>
                    <pic:cNvPicPr>
                      <a:picLocks noChangeArrowheads="1" noChangeAspect="1"/>
                    </pic:cNvPicPr>
                  </pic:nvPicPr>
                  <pic:blipFill>
                    <a:blip r:embed="rId13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Kentucky</w:t>
      </w:r>
      <w:r>
        <w:t xml:space="preserve"> </w:t>
      </w:r>
      <w:r>
        <w:t xml:space="preserve">· schooltrusts.net/reading/us-ky</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ky_12c2a04ac2bb_1200x_q90.jpg" id="0" name="Picture"/>
                    <pic:cNvPicPr>
                      <a:picLocks noChangeArrowheads="1" noChangeAspect="1"/>
                    </pic:cNvPicPr>
                  </pic:nvPicPr>
                  <pic:blipFill>
                    <a:blip r:embed="rId13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Maine</w:t>
      </w:r>
      <w:r>
        <w:t xml:space="preserve"> </w:t>
      </w:r>
      <w:r>
        <w:t xml:space="preserve">· schooltrusts.net/reading/us-me</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e_b6f36700784c_1200x_q90.jpg" id="0" name="Picture"/>
                    <pic:cNvPicPr>
                      <a:picLocks noChangeArrowheads="1" noChangeAspect="1"/>
                    </pic:cNvPicPr>
                  </pic:nvPicPr>
                  <pic:blipFill>
                    <a:blip r:embed="rId13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Maryland</w:t>
      </w:r>
      <w:r>
        <w:t xml:space="preserve"> </w:t>
      </w:r>
      <w:r>
        <w:t xml:space="preserve">· schooltrusts.net/reading/us-md</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d_fffbe9b033b1_1200x_q90.jpg" id="0" name="Picture"/>
                    <pic:cNvPicPr>
                      <a:picLocks noChangeArrowheads="1" noChangeAspect="1"/>
                    </pic:cNvPicPr>
                  </pic:nvPicPr>
                  <pic:blipFill>
                    <a:blip r:embed="rId14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Massachusetts</w:t>
      </w:r>
      <w:r>
        <w:t xml:space="preserve"> </w:t>
      </w:r>
      <w:r>
        <w:t xml:space="preserve">· schooltrusts.net/reading/us-ma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a_b0688c0d2114_1200x_q90.jpg" id="0" name="Picture"/>
                    <pic:cNvPicPr>
                      <a:picLocks noChangeArrowheads="1" noChangeAspect="1"/>
                    </pic:cNvPicPr>
                  </pic:nvPicPr>
                  <pic:blipFill>
                    <a:blip r:embed="rId14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Hampshire</w:t>
      </w:r>
      <w:r>
        <w:t xml:space="preserve"> </w:t>
      </w:r>
      <w:r>
        <w:t xml:space="preserve">· schooltrusts.net/reading/us-nh</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h_13a397d2881d_1200x_q90.jpg" id="0" name="Picture"/>
                    <pic:cNvPicPr>
                      <a:picLocks noChangeArrowheads="1" noChangeAspect="1"/>
                    </pic:cNvPicPr>
                  </pic:nvPicPr>
                  <pic:blipFill>
                    <a:blip r:embed="rId14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Jersey</w:t>
      </w:r>
      <w:r>
        <w:t xml:space="preserve"> </w:t>
      </w:r>
      <w:r>
        <w:t xml:space="preserve">· schooltrusts.net/reading/us-nj</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j_61f1b3947c89_1200x_q90.jpg" id="0" name="Picture"/>
                    <pic:cNvPicPr>
                      <a:picLocks noChangeArrowheads="1" noChangeAspect="1"/>
                    </pic:cNvPicPr>
                  </pic:nvPicPr>
                  <pic:blipFill>
                    <a:blip r:embed="rId14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York</w:t>
      </w:r>
      <w:r>
        <w:t xml:space="preserve"> </w:t>
      </w:r>
      <w:r>
        <w:t xml:space="preserve">· schooltrusts.net/reading/us-ny</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y_e323bfb045f1_1200x_q90.jpg" id="0" name="Picture"/>
                    <pic:cNvPicPr>
                      <a:picLocks noChangeArrowheads="1" noChangeAspect="1"/>
                    </pic:cNvPicPr>
                  </pic:nvPicPr>
                  <pic:blipFill>
                    <a:blip r:embed="rId14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North Carolina</w:t>
      </w:r>
      <w:r>
        <w:t xml:space="preserve"> </w:t>
      </w:r>
      <w:r>
        <w:t xml:space="preserve">· schooltrusts.net/reading/us-nc</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c_df76be61207d_1200x_q90.jpg" id="0" name="Picture"/>
                    <pic:cNvPicPr>
                      <a:picLocks noChangeArrowheads="1" noChangeAspect="1"/>
                    </pic:cNvPicPr>
                  </pic:nvPicPr>
                  <pic:blipFill>
                    <a:blip r:embed="rId14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Pennsylvania</w:t>
      </w:r>
      <w:r>
        <w:t xml:space="preserve"> </w:t>
      </w:r>
      <w:r>
        <w:t xml:space="preserve">· schooltrusts.net/reading/us-pa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pa_c50aed5cc052_1200x_q90.jpg" id="0" name="Picture"/>
                    <pic:cNvPicPr>
                      <a:picLocks noChangeArrowheads="1" noChangeAspect="1"/>
                    </pic:cNvPicPr>
                  </pic:nvPicPr>
                  <pic:blipFill>
                    <a:blip r:embed="rId14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Rhode Island</w:t>
      </w:r>
      <w:r>
        <w:t xml:space="preserve"> </w:t>
      </w:r>
      <w:r>
        <w:t xml:space="preserve">· schooltrusts.net/reading/us-ri</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ri_50f3f6190519_1200x_q90.jpg" id="0" name="Picture"/>
                    <pic:cNvPicPr>
                      <a:picLocks noChangeArrowheads="1" noChangeAspect="1"/>
                    </pic:cNvPicPr>
                  </pic:nvPicPr>
                  <pic:blipFill>
                    <a:blip r:embed="rId14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South Carolina</w:t>
      </w:r>
      <w:r>
        <w:t xml:space="preserve"> </w:t>
      </w:r>
      <w:r>
        <w:t xml:space="preserve">· schooltrusts.net/reading/us-sc</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sc_3012d94282d0_1200x_q90.jpg" id="0" name="Picture"/>
                    <pic:cNvPicPr>
                      <a:picLocks noChangeArrowheads="1" noChangeAspect="1"/>
                    </pic:cNvPicPr>
                  </pic:nvPicPr>
                  <pic:blipFill>
                    <a:blip r:embed="rId14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Vermont</w:t>
      </w:r>
      <w:r>
        <w:t xml:space="preserve"> </w:t>
      </w:r>
      <w:r>
        <w:t xml:space="preserve">· schooltrusts.net/reading/us-vt</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vt_c2257b4584fa_1200x_q90.jpg" id="0" name="Picture"/>
                    <pic:cNvPicPr>
                      <a:picLocks noChangeArrowheads="1" noChangeAspect="1"/>
                    </pic:cNvPicPr>
                  </pic:nvPicPr>
                  <pic:blipFill>
                    <a:blip r:embed="rId14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Virginia</w:t>
      </w:r>
      <w:r>
        <w:t xml:space="preserve"> </w:t>
      </w:r>
      <w:r>
        <w:t xml:space="preserve">· schooltrusts.net/reading/us-va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va_c23fb80f5dad_1200x_q90.jpg" id="0" name="Picture"/>
                    <pic:cNvPicPr>
                      <a:picLocks noChangeArrowheads="1" noChangeAspect="1"/>
                    </pic:cNvPicPr>
                  </pic:nvPicPr>
                  <pic:blipFill>
                    <a:blip r:embed="rId15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West Virginia</w:t>
      </w:r>
      <w:r>
        <w:t xml:space="preserve"> </w:t>
      </w:r>
      <w:r>
        <w:t xml:space="preserve">· schooltrusts.net/reading/us-wv</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wv_ae92face8bd4_1200x_q90.jpg" id="0" name="Picture"/>
                    <pic:cNvPicPr>
                      <a:picLocks noChangeArrowheads="1" noChangeAspect="1"/>
                    </pic:cNvPicPr>
                  </pic:nvPicPr>
                  <pic:blipFill>
                    <a:blip r:embed="rId151"/>
                    <a:stretch>
                      <a:fillRect/>
                    </a:stretch>
                  </pic:blipFill>
                  <pic:spPr bwMode="auto">
                    <a:xfrm>
                      <a:off x="0" y="0"/>
                      <a:ext cx="502920" cy="587044"/>
                    </a:xfrm>
                    <a:prstGeom prst="rect">
                      <a:avLst/>
                    </a:prstGeom>
                    <a:noFill/>
                    <a:ln w="9525">
                      <a:noFill/>
                      <a:headEnd/>
                      <a:tailEnd/>
                    </a:ln>
                  </pic:spPr>
                </pic:pic>
              </a:graphicData>
            </a:graphic>
          </wp:inline>
        </w:drawing>
      </w:r>
    </w:p>
    <w:p>
      <w:r>
        <w:br w:type="page"/>
      </w:r>
    </w:p>
    <w:p>
      <w:pPr>
        <w:pStyle w:val="Heading1"/>
      </w:pPr>
      <w:bookmarkStart w:id="152" w:name="illustration-program"/>
      <w:r>
        <w:t xml:space="preserve">Illustration Program</w:t>
      </w:r>
      <w:bookmarkEnd w:id="152"/>
    </w:p>
    <w:p>
      <w:pPr>
        <w:pStyle w:val="FirstParagraph"/>
      </w:pPr>
      <w:r>
        <w:t xml:space="preserve">The book should read like high-end illustrated trade history, not a legal monograph with decoration added afterward. The figures below are editorial assignments, with rights posture stated now so the authors can clear or replace images before layout.</w:t>
      </w:r>
    </w:p>
    <w:p>
      <w:pPr>
        <w:numPr>
          <w:ilvl w:val="0"/>
          <w:numId w:val="1005"/>
        </w:numPr>
      </w:pPr>
      <w:r>
        <w:rPr>
          <w:b/>
        </w:rPr>
        <w:t xml:space="preserve">Map: the surviving trust-land states.</w:t>
      </w:r>
      <w:r>
        <w:t xml:space="preserve"> </w:t>
      </w:r>
      <w:r>
        <w:t xml:space="preserve">Shade the twenty states still holding school trust land by retained acreage; use a second small-symbol layer for permanent-fund size. Caption source: imported ASTL state-page corpus, FY2024. Rights: original cartography to be generated from public data; no rights issue if the base map is made in-house.</w:t>
      </w:r>
    </w:p>
    <w:p>
      <w:pPr>
        <w:numPr>
          <w:ilvl w:val="0"/>
          <w:numId w:val="1005"/>
        </w:numPr>
      </w:pPr>
      <w:r>
        <w:rPr>
          <w:b/>
        </w:rPr>
        <w:t xml:space="preserve">Timeline: one grant across a century.</w:t>
      </w:r>
      <w:r>
        <w:t xml:space="preserve"> </w:t>
      </w:r>
      <w:r>
        <w:t xml:space="preserve">Improve the existing Figure 2 with vertical ticks for 1785, 1787, Ohio 1802, the major one-section / two-section / four-section statehood waves, the 1889 Omnibus Act, the 1910 New Mexico-Arizona enforcement engine, and</w:t>
      </w:r>
      <w:r>
        <w:t xml:space="preserve"> </w:t>
      </w:r>
      <w:r>
        <w:rPr>
          <w:i/>
        </w:rPr>
        <w:t xml:space="preserve">Morrison</w:t>
      </w:r>
      <w:r>
        <w:t xml:space="preserve"> </w:t>
      </w:r>
      <w:r>
        <w:t xml:space="preserve">in 1916. Caption should say: the federal words changed at the margins; the school purpose held. Rights: original chart.</w:t>
      </w:r>
    </w:p>
    <w:p>
      <w:pPr>
        <w:numPr>
          <w:ilvl w:val="0"/>
          <w:numId w:val="1005"/>
        </w:numPr>
      </w:pPr>
      <w:r>
        <w:rPr>
          <w:b/>
        </w:rPr>
        <w:t xml:space="preserve">Chart: then to now.</w:t>
      </w:r>
      <w:r>
        <w:t xml:space="preserve"> </w:t>
      </w:r>
      <w:r>
        <w:t xml:space="preserve">For each of the thirty-three granted states, show original acreage, retained acreage, current school-fund corpus, and a conservative</w:t>
      </w:r>
      <w:r>
        <w:t xml:space="preserve"> </w:t>
      </w:r>
      <w:r>
        <w:t xml:space="preserve">“</w:t>
      </w:r>
      <w:r>
        <w:t xml:space="preserve">faithful stewardship</w:t>
      </w:r>
      <w:r>
        <w:t xml:space="preserve">”</w:t>
      </w:r>
      <w:r>
        <w:t xml:space="preserve"> </w:t>
      </w:r>
      <w:r>
        <w:t xml:space="preserve">comparator where the record supports one. This should be built as a data chart only after the Part Two figures pass is complete. Rights: original chart; methodology note required.</w:t>
      </w:r>
    </w:p>
    <w:p>
      <w:pPr>
        <w:numPr>
          <w:ilvl w:val="0"/>
          <w:numId w:val="1005"/>
        </w:numPr>
      </w:pPr>
      <w:r>
        <w:rPr>
          <w:b/>
        </w:rPr>
        <w:t xml:space="preserve">Diagram: how a school trust works.</w:t>
      </w:r>
      <w:r>
        <w:t xml:space="preserve"> </w:t>
      </w:r>
      <w:r>
        <w:t xml:space="preserve">Use the Chapter 7 figure spec: grantor -&gt; trustee -&gt; schools; corpus versus income; proper green flows and prohibited red leaks. Rights: original diagram.</w:t>
      </w:r>
    </w:p>
    <w:p>
      <w:pPr>
        <w:numPr>
          <w:ilvl w:val="0"/>
          <w:numId w:val="1005"/>
        </w:numPr>
      </w:pPr>
      <w:r>
        <w:rPr>
          <w:b/>
        </w:rPr>
        <w:t xml:space="preserve">Primary-document facsimiles.</w:t>
      </w:r>
      <w:r>
        <w:t xml:space="preserve"> </w:t>
      </w:r>
      <w:r>
        <w:t xml:space="preserve">Candidate reproductions: the Land Ordinance of 1785 school-section language; a Section 16 township grid; an 1889 Omnibus Act page with the $10 floor; the 1910 New Mexico-Arizona Act enforcement clause. Source from L0 scans or federal public-domain sources. Rights: public domain, but each image needs a precise archive citation.</w:t>
      </w:r>
    </w:p>
    <w:p>
      <w:pPr>
        <w:numPr>
          <w:ilvl w:val="0"/>
          <w:numId w:val="1005"/>
        </w:numPr>
      </w:pPr>
      <w:r>
        <w:rPr>
          <w:b/>
        </w:rPr>
        <w:t xml:space="preserve">Period images.</w:t>
      </w:r>
      <w:r>
        <w:t xml:space="preserve"> </w:t>
      </w:r>
      <w:r>
        <w:t xml:space="preserve">Candidate public-domain or rights-clearable images: one-room school exterior; rate-bill or poor-school notice; land-office auction; General Land Office plat; early western schoolhouse with township context. Rights: use Library of Congress, National Archives, state archives, or local historical societies with explicit public-domain / permission status. Any image without a clean rights note should be replaced by an original diagram, not by an unattributed stock photo.</w:t>
      </w:r>
    </w:p>
    <w:p>
      <w:pPr>
        <w:numPr>
          <w:ilvl w:val="0"/>
          <w:numId w:val="1005"/>
        </w:numPr>
      </w:pPr>
      <w:r>
        <w:rPr>
          <w:b/>
        </w:rPr>
        <w:t xml:space="preserve">Generated illustrations.</w:t>
      </w:r>
      <w:r>
        <w:t xml:space="preserve"> </w:t>
      </w:r>
      <w:r>
        <w:t xml:space="preserve">If used at all, generated images should be labeled</w:t>
      </w:r>
      <w:r>
        <w:t xml:space="preserve"> </w:t>
      </w:r>
      <w:r>
        <w:t xml:space="preserve">“</w:t>
      </w:r>
      <w:r>
        <w:t xml:space="preserve">illustration,</w:t>
      </w:r>
      <w:r>
        <w:t xml:space="preserve">”</w:t>
      </w:r>
      <w:r>
        <w:t xml:space="preserve"> </w:t>
      </w:r>
      <w:r>
        <w:t xml:space="preserve">never</w:t>
      </w:r>
      <w:r>
        <w:t xml:space="preserve"> </w:t>
      </w:r>
      <w:r>
        <w:t xml:space="preserve">“</w:t>
      </w:r>
      <w:r>
        <w:t xml:space="preserve">photograph</w:t>
      </w:r>
      <w:r>
        <w:t xml:space="preserve">”</w:t>
      </w:r>
      <w:r>
        <w:t xml:space="preserve"> </w:t>
      </w:r>
      <w:r>
        <w:t xml:space="preserve">or</w:t>
      </w:r>
      <w:r>
        <w:t xml:space="preserve"> </w:t>
      </w:r>
      <w:r>
        <w:t xml:space="preserve">“</w:t>
      </w:r>
      <w:r>
        <w:t xml:space="preserve">archival image.</w:t>
      </w:r>
      <w:r>
        <w:t xml:space="preserve">”</w:t>
      </w:r>
      <w:r>
        <w:t xml:space="preserve"> </w:t>
      </w:r>
      <w:r>
        <w:t xml:space="preserve">Best uses: a neutral section-16 township schematic, not invented people or fake period scenes.</w:t>
      </w:r>
    </w:p>
    <w:p>
      <w:r>
        <w:br w:type="page"/>
      </w:r>
    </w:p>
    <w:p>
      <w:pPr>
        <w:pStyle w:val="Heading1"/>
      </w:pPr>
      <w:bookmarkStart w:id="153" w:name="notes"/>
      <w:r>
        <w:t xml:space="preserve">Notes</w:t>
      </w:r>
      <w:bookmarkEnd w:id="153"/>
    </w:p>
    <w:p>
      <w:pPr>
        <w:pStyle w:val="FirstParagraph"/>
      </w:pPr>
      <w:r>
        <w:rPr>
          <w:i/>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structured</w:t>
      </w:r>
      <w:r>
        <w:rPr>
          <w:i/>
        </w:rPr>
        <w:t xml:space="preserve"> </w:t>
      </w:r>
      <w:r>
        <w:rPr>
          <w:i/>
        </w:rPr>
        <w:t xml:space="preserve">“</w:t>
      </w:r>
      <w:r>
        <w:rPr>
          <w:i/>
        </w:rPr>
        <w:t xml:space="preserve">knowledge stack</w:t>
      </w:r>
      <w:r>
        <w:rPr>
          <w:i/>
        </w:rPr>
        <w:t xml:space="preserve">”</w:t>
      </w:r>
      <w:r>
        <w:rPr>
          <w:i/>
        </w:rPr>
        <w:t xml:space="preserve"> </w:t>
      </w:r>
      <w:r>
        <w:rPr>
          <w:i/>
        </w:rPr>
        <w:t xml:space="preserve">— a layered archive that ties every reusable claim back to a primary source — built by the Advocates for School Trust Lands. Present-day figures change continually and are kept current online. Items still awaiting a pinned source are marked; if you can supply or correct a source, please write to us through schooltrusts.net. State-by-state sources appear with each Part Two entry and its living page.</w:t>
      </w:r>
    </w:p>
    <w:p>
      <w:pPr>
        <w:pStyle w:val="Heading2"/>
      </w:pPr>
      <w:bookmarkStart w:id="154" w:name="X002108d8222916d5d627d7cdcab6d99d58650fa"/>
      <w:r>
        <w:t xml:space="preserve">Front Matter — A Note from the First Author</w:t>
      </w:r>
      <w:bookmarkEnd w:id="154"/>
    </w:p>
    <w:p>
      <w:pPr>
        <w:numPr>
          <w:ilvl w:val="0"/>
          <w:numId w:val="1006"/>
        </w:numPr>
        <w:pStyle w:val="Compact"/>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p>
      <w:pPr>
        <w:pStyle w:val="Heading2"/>
      </w:pPr>
      <w:bookmarkStart w:id="155" w:name="Xb66c01350146b99bd020f215610e5a734adf7f5"/>
      <w:r>
        <w:t xml:space="preserve">Chapter 1 — The Inheritance Still Standing</w:t>
      </w:r>
      <w:bookmarkEnd w:id="155"/>
    </w:p>
    <w:p>
      <w:pPr>
        <w:numPr>
          <w:ilvl w:val="0"/>
          <w:numId w:val="1007"/>
        </w:numPr>
      </w:pPr>
      <w:r>
        <w:t xml:space="preserve">On rate bills and the move to tax-supported common schools, see Carl F. Kaestle,</w:t>
      </w:r>
      <w:r>
        <w:t xml:space="preserve"> </w:t>
      </w:r>
      <w:r>
        <w:rPr>
          <w:i/>
        </w:rPr>
        <w:t xml:space="preserve">Pillars of the Republic</w:t>
      </w:r>
      <w:r>
        <w:t xml:space="preserve"> </w:t>
      </w:r>
      <w:r>
        <w:t xml:space="preserve">(1983); Claudia Goldin &amp; Lawrence F. Katz,</w:t>
      </w:r>
      <w:r>
        <w:t xml:space="preserve"> </w:t>
      </w:r>
      <w:r>
        <w:rPr>
          <w:i/>
        </w:rPr>
        <w:t xml:space="preserve">The Race Between Education and Technology</w:t>
      </w:r>
      <w:r>
        <w:t xml:space="preserve"> </w:t>
      </w:r>
      <w:r>
        <w:t xml:space="preserve">(2008), ch. 4.</w:t>
      </w:r>
    </w:p>
    <w:p>
      <w:pPr>
        <w:numPr>
          <w:ilvl w:val="0"/>
          <w:numId w:val="1007"/>
        </w:numPr>
      </w:pPr>
      <w:r>
        <w:t xml:space="preserve">Bryan County, Georgia, 1847; Dorothy Orr,</w:t>
      </w:r>
      <w:r>
        <w:t xml:space="preserve"> </w:t>
      </w:r>
      <w:r>
        <w:rPr>
          <w:i/>
        </w:rPr>
        <w:t xml:space="preserve">A History of Education in Georgia</w:t>
      </w:r>
      <w:r>
        <w:t xml:space="preserve"> </w:t>
      </w:r>
      <w:r>
        <w:t xml:space="preserve">(Univ. of North Carolina Press, 1950), via the project’s Georgia sourcing memo.</w:t>
      </w:r>
    </w:p>
    <w:p>
      <w:pPr>
        <w:numPr>
          <w:ilvl w:val="0"/>
          <w:numId w:val="1007"/>
        </w:numPr>
      </w:pPr>
      <w:r>
        <w:rPr>
          <w:i/>
        </w:rPr>
        <w:t xml:space="preserve">United States v. Morrison</w:t>
      </w:r>
      <w:r>
        <w:t xml:space="preserve">, 240 U.S. 192 (1916) — which in fact arose under Oregon’s 1859 Admission Act (§4). The Court:</w:t>
      </w:r>
      <w:r>
        <w:t xml:space="preserve"> </w:t>
      </w:r>
      <w:r>
        <w:t xml:space="preserve">“</w:t>
      </w:r>
      <w:r>
        <w:t xml:space="preserve">The same clause, relating to the same subject and enacted in pursuance of the same policy, did not have one meaning in one grant and a different meaning in another.</w:t>
      </w:r>
      <w:r>
        <w:t xml:space="preserve">”</w:t>
      </w:r>
      <w:r>
        <w:t xml:space="preserve"> </w:t>
      </w:r>
      <w:r>
        <w:t xml:space="preserve">Verified against the opinion.</w:t>
      </w:r>
    </w:p>
    <w:p>
      <w:pPr>
        <w:pStyle w:val="Heading2"/>
      </w:pPr>
      <w:bookmarkStart w:id="156" w:name="chapter-2-the-world-that-made-the-gift-1"/>
      <w:r>
        <w:t xml:space="preserve">Chapter 2 — The World That Made the Gift</w:t>
      </w:r>
      <w:bookmarkEnd w:id="156"/>
    </w:p>
    <w:p>
      <w:pPr>
        <w:numPr>
          <w:ilvl w:val="0"/>
          <w:numId w:val="1008"/>
        </w:numPr>
      </w:pPr>
      <w:r>
        <w:t xml:space="preserve">Jefferson chaired the three-member committee that produced the Ordinance of 1784 (with David Howell of Rhode Island and Jeremiah Townley Chase of Maryland); he sailed for France in 1784 and was in Paris when the Land Ordinance of May 20, 1785 — which created the Section 16 school reservation — was written. Founders Online (Papers of Thomas Jefferson, vol. 6); Peter S. Onuf,</w:t>
      </w:r>
      <w:r>
        <w:t xml:space="preserve"> </w:t>
      </w:r>
      <w:r>
        <w:rPr>
          <w:i/>
        </w:rPr>
        <w:t xml:space="preserve">Statehood and Union: A History of the Northwest Ordinance</w:t>
      </w:r>
      <w:r>
        <w:t xml:space="preserve"> </w:t>
      </w:r>
      <w:r>
        <w:t xml:space="preserve">(Indiana Univ. Press, 1987), ch. 2.</w:t>
      </w:r>
    </w:p>
    <w:p>
      <w:pPr>
        <w:numPr>
          <w:ilvl w:val="0"/>
          <w:numId w:val="1008"/>
        </w:numPr>
      </w:pPr>
      <w:r>
        <w:t xml:space="preserve">The use/trust descends through English equity from older charitable-endowment forms.</w:t>
      </w:r>
    </w:p>
    <w:p>
      <w:pPr>
        <w:pStyle w:val="Heading2"/>
      </w:pPr>
      <w:bookmarkStart w:id="157" w:name="chapter-3-the-punctilio-of-honor-1"/>
      <w:r>
        <w:t xml:space="preserve">Chapter 3 — The Punctilio of Honor</w:t>
      </w:r>
      <w:bookmarkEnd w:id="157"/>
    </w:p>
    <w:p>
      <w:pPr>
        <w:numPr>
          <w:ilvl w:val="0"/>
          <w:numId w:val="1009"/>
        </w:numPr>
        <w:pStyle w:val="Compact"/>
      </w:pPr>
      <w:r>
        <w:rPr>
          <w:i/>
        </w:rPr>
        <w:t xml:space="preserve">Meinhard v. Salmon</w:t>
      </w:r>
      <w:r>
        <w:t xml:space="preserve">, 249 N.Y. 458, 464, 164 N.E. 545, 546 (1928) (Cardozo, C.J.).</w:t>
      </w:r>
    </w:p>
    <w:p>
      <w:pPr>
        <w:pStyle w:val="Heading2"/>
      </w:pPr>
      <w:bookmarkStart w:id="158" w:name="X0c57d452c3b676170775aa42a10a1b6bc3c6792"/>
      <w:r>
        <w:t xml:space="preserve">Chapter 4 — Loyalty: The Gift Treated as Pocket Money</w:t>
      </w:r>
      <w:bookmarkEnd w:id="158"/>
    </w:p>
    <w:p>
      <w:pPr>
        <w:numPr>
          <w:ilvl w:val="0"/>
          <w:numId w:val="1010"/>
        </w:numPr>
      </w:pPr>
      <w:r>
        <w:rPr>
          <w:i/>
        </w:rPr>
        <w:t xml:space="preserve">Magruder v. Drury</w:t>
      </w:r>
      <w:r>
        <w:t xml:space="preserve">, 235 U.S. 106, 119 (1914) (Day, J.). (An earlier draft mis-credited the next sentence —</w:t>
      </w:r>
      <w:r>
        <w:t xml:space="preserve"> </w:t>
      </w:r>
      <w:r>
        <w:t xml:space="preserve">“</w:t>
      </w:r>
      <w:r>
        <w:t xml:space="preserve">the morals of the market place</w:t>
      </w:r>
      <w:r>
        <w:t xml:space="preserve">”</w:t>
      </w:r>
      <w:r>
        <w:t xml:space="preserve"> </w:t>
      </w:r>
      <w:r>
        <w:t xml:space="preserve">— to Magruder; that line is Cardozo’s in</w:t>
      </w:r>
      <w:r>
        <w:t xml:space="preserve"> </w:t>
      </w:r>
      <w:r>
        <w:rPr>
          <w:i/>
        </w:rPr>
        <w:t xml:space="preserve">Meinhard</w:t>
      </w:r>
      <w:r>
        <w:t xml:space="preserve">, below.)</w:t>
      </w:r>
    </w:p>
    <w:p>
      <w:pPr>
        <w:numPr>
          <w:ilvl w:val="0"/>
          <w:numId w:val="1010"/>
        </w:numPr>
      </w:pPr>
      <w:r>
        <w:rPr>
          <w:i/>
        </w:rPr>
        <w:t xml:space="preserve">Meinhard v. Salmon</w:t>
      </w:r>
      <w:r>
        <w:t xml:space="preserve">, 249 N.Y. 458, 464, 164 N.E. 545, 546 (1928) (Cardozo, C.J.).</w:t>
      </w:r>
    </w:p>
    <w:p>
      <w:pPr>
        <w:numPr>
          <w:ilvl w:val="0"/>
          <w:numId w:val="1010"/>
        </w:numPr>
      </w:pPr>
      <w:r>
        <w:rPr>
          <w:i/>
        </w:rPr>
        <w:t xml:space="preserve">Ervien v. United States</w:t>
      </w:r>
      <w:r>
        <w:t xml:space="preserve">, 251 U.S. 41 (1919); New Mexico–Arizona Enabling Act of 1910, §10 (36 Stat. 557). The quoted language (</w:t>
      </w:r>
      <w:r>
        <w:t xml:space="preserve">“</w:t>
      </w:r>
      <w:r>
        <w:t xml:space="preserve">special and exact</w:t>
      </w:r>
      <w:r>
        <w:t xml:space="preserve">”</w:t>
      </w:r>
      <w:r>
        <w:t xml:space="preserve">;</w:t>
      </w:r>
      <w:r>
        <w:t xml:space="preserve"> </w:t>
      </w:r>
      <w:r>
        <w:t xml:space="preserve">“</w:t>
      </w:r>
      <w:r>
        <w:t xml:space="preserve">preclude any license of construction or liberties of inference</w:t>
      </w:r>
      <w:r>
        <w:t xml:space="preserve">”</w:t>
      </w:r>
      <w:r>
        <w:t xml:space="preserve">) is verified against the opinion. The sentence sometimes misattributed to</w:t>
      </w:r>
      <w:r>
        <w:t xml:space="preserve"> </w:t>
      </w:r>
      <w:r>
        <w:rPr>
          <w:i/>
        </w:rPr>
        <w:t xml:space="preserve">Ervien</w:t>
      </w:r>
      <w:r>
        <w:t xml:space="preserve"> </w:t>
      </w:r>
      <w:r>
        <w:t xml:space="preserve">—</w:t>
      </w:r>
      <w:r>
        <w:t xml:space="preserve"> </w:t>
      </w:r>
      <w:r>
        <w:t xml:space="preserve">“</w:t>
      </w:r>
      <w:r>
        <w:t xml:space="preserve">they must be performed; they admit of no substitution; they admit of no addition</w:t>
      </w:r>
      <w:r>
        <w:t xml:space="preserve">”</w:t>
      </w:r>
      <w:r>
        <w:t xml:space="preserve"> </w:t>
      </w:r>
      <w:r>
        <w:t xml:space="preserve">— does not appear in it and is not used here.</w:t>
      </w:r>
    </w:p>
    <w:p>
      <w:pPr>
        <w:numPr>
          <w:ilvl w:val="0"/>
          <w:numId w:val="1010"/>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w:t>
      </w:r>
      <w:r>
        <w:t xml:space="preserve">1990</w:t>
      </w:r>
      <w:r>
        <w:t xml:space="preserve">”</w:t>
      </w:r>
      <w:r>
        <w:t xml:space="preserve"> </w:t>
      </w:r>
      <w:r>
        <w:t xml:space="preserve">date is corrected to 1998.</w:t>
      </w:r>
    </w:p>
    <w:p>
      <w:pPr>
        <w:pStyle w:val="Heading2"/>
      </w:pPr>
      <w:bookmarkStart w:id="159" w:name="X06b0bf3faa77b5f67995e4e6d8a528d921f8655"/>
      <w:r>
        <w:t xml:space="preserve">Chapter 5 — Prudence: Do Not Eat the Seed Corn</w:t>
      </w:r>
      <w:bookmarkEnd w:id="159"/>
    </w:p>
    <w:p>
      <w:pPr>
        <w:numPr>
          <w:ilvl w:val="0"/>
          <w:numId w:val="1011"/>
        </w:numPr>
      </w:pPr>
      <w:r>
        <w:t xml:space="preserve">Chicago’s Section 16 (the downtown Loop), sold Oct. 4, 1833.</w:t>
      </w:r>
    </w:p>
    <w:p>
      <w:pPr>
        <w:numPr>
          <w:ilvl w:val="0"/>
          <w:numId w:val="1011"/>
        </w:numPr>
      </w:pPr>
      <w:r>
        <w:t xml:space="preserve">Wisconsin’s price-capped university-land grant and the board of land commissioners’ confession.</w:t>
      </w:r>
    </w:p>
    <w:p>
      <w:pPr>
        <w:numPr>
          <w:ilvl w:val="0"/>
          <w:numId w:val="1011"/>
        </w:numPr>
      </w:pPr>
      <w:r>
        <w:t xml:space="preserve">Alabama’s share of the federal surplus distribution (Deposit Act of June 23, 1836, 5 Stat. 52), lost in the 1843 collapse of the state bank.</w:t>
      </w:r>
    </w:p>
    <w:p>
      <w:pPr>
        <w:numPr>
          <w:ilvl w:val="0"/>
          <w:numId w:val="1011"/>
        </w:numPr>
      </w:pPr>
      <w:r>
        <w:t xml:space="preserve">Nevada Division of State Lands (the surviving school-trust land is about 3,000 acres; the audited figure is 2,914); under $5,000 a year in recent reporting (</w:t>
      </w:r>
      <w:r>
        <w:rPr>
          <w:i/>
        </w:rPr>
        <w:t xml:space="preserve">Las Vegas Review-Journal</w:t>
      </w:r>
      <w:r>
        <w:t xml:space="preserve">). Margaret Bird’s larger never-claimed-acreage estimate is her own judgment and is not asserted here.</w:t>
      </w:r>
    </w:p>
    <w:p>
      <w:pPr>
        <w:numPr>
          <w:ilvl w:val="0"/>
          <w:numId w:val="1011"/>
        </w:numPr>
      </w:pPr>
      <w:r>
        <w:t xml:space="preserve">William Henry Harrison Beadle and the $10/acre minimum written into South Dakota’s 1885/1889 constitution: South Dakota Historical Society Foundation,</w:t>
      </w:r>
      <w:r>
        <w:t xml:space="preserve"> </w:t>
      </w:r>
      <w:r>
        <w:t xml:space="preserve">“</w:t>
      </w:r>
      <w:r>
        <w:t xml:space="preserve">The Savior of School Lands</w:t>
      </w:r>
      <w:r>
        <w:t xml:space="preserve">”</w:t>
      </w:r>
      <w:r>
        <w:t xml:space="preserve">; South Dakota Department of Education. The floor is $10 an acre — not $1.25, which was the federal preemption/homestead price. Beadle’s</w:t>
      </w:r>
      <w:r>
        <w:t xml:space="preserve"> </w:t>
      </w:r>
      <w:r>
        <w:t xml:space="preserve">“</w:t>
      </w:r>
      <w:r>
        <w:t xml:space="preserve">great trust of the future commonwealth</w:t>
      </w:r>
      <w:r>
        <w:t xml:space="preserve">”</w:t>
      </w:r>
      <w:r>
        <w:t xml:space="preserve"> </w:t>
      </w:r>
      <w:r>
        <w:t xml:space="preserve">quotation per the SDHSF account.</w:t>
      </w:r>
    </w:p>
    <w:p>
      <w:pPr>
        <w:numPr>
          <w:ilvl w:val="0"/>
          <w:numId w:val="1011"/>
        </w:numPr>
      </w:pPr>
      <w:r>
        <w:t xml:space="preserve">“</w:t>
      </w:r>
      <w:r>
        <w:t xml:space="preserve">An educated and forewarned constituency</w:t>
      </w:r>
      <w:r>
        <w:t xml:space="preserve">”</w:t>
      </w:r>
      <w:r>
        <w:t xml:space="preserve">: Margaret Bird, manuscript notes, 2026.</w:t>
      </w:r>
    </w:p>
    <w:p>
      <w:pPr>
        <w:numPr>
          <w:ilvl w:val="0"/>
          <w:numId w:val="1011"/>
        </w:numPr>
      </w:pPr>
      <w:r>
        <w:t xml:space="preserve">The Beadle Club survives today as a school-trust advocacy body open to citizen membership (Margaret Bird’s notes).</w:t>
      </w:r>
    </w:p>
    <w:p>
      <w:pPr>
        <w:numPr>
          <w:ilvl w:val="0"/>
          <w:numId w:val="1011"/>
        </w:numPr>
      </w:pPr>
      <w:r>
        <w:t xml:space="preserve">North Dakota Common Schools Trust Fund = $8,436,270,651 [as of Nov. 30, 2025] (North Dakota Department of Trust Lands / Office of the State Treasurer). Oil- and mineral-driven; 2025–27 distributions to schools total $584,677,350, up from about $77 million in 2009–11. Some legislative tables report a lower ~$6–7 billion financial-asset balance excluding land and mineral value; $8.4 billion is the total reported fund value.</w:t>
      </w:r>
    </w:p>
    <w:p>
      <w:pPr>
        <w:numPr>
          <w:ilvl w:val="0"/>
          <w:numId w:val="1011"/>
        </w:numPr>
      </w:pPr>
      <w:r>
        <w:t xml:space="preserve">New Mexico Land Grant Permanent Fund ≈ $32.6 billion [as of Oct. 31, 2024] (New Mexico State Investment Council). The Council reported ≈$1.83 billion in total FY2025 beneficiary distributions, of which public schools (≈ 88% of the fund) received the great majority.</w:t>
      </w:r>
    </w:p>
    <w:p>
      <w:pPr>
        <w:pStyle w:val="Heading2"/>
      </w:pPr>
      <w:bookmarkStart w:id="160" w:name="Xed21330c589ce4e06fad817b746249318876dfe"/>
      <w:r>
        <w:t xml:space="preserve">Chapter 6 — Competence and Accounting: The Books Must Tell the Truth</w:t>
      </w:r>
      <w:bookmarkEnd w:id="160"/>
    </w:p>
    <w:p>
      <w:pPr>
        <w:numPr>
          <w:ilvl w:val="0"/>
          <w:numId w:val="1012"/>
        </w:numPr>
        <w:pStyle w:val="Compact"/>
      </w:pPr>
      <w:r>
        <w:rPr>
          <w:i/>
        </w:rPr>
        <w:t xml:space="preserve">SEC v. Chenery Corp.</w:t>
      </w:r>
      <w:r>
        <w:t xml:space="preserve">, 318 U.S. 80, 85–86 (1943) (Frankfurter, J.).</w:t>
      </w:r>
    </w:p>
    <w:p>
      <w:pPr>
        <w:pStyle w:val="Heading2"/>
      </w:pPr>
      <w:bookmarkStart w:id="161" w:name="X0658e84416aaa0fdfcd22c0c94bee3a12f05811"/>
      <w:r>
        <w:t xml:space="preserve">Chapter 7 — Supervision and Enforcement: Someone Has to Watch the Watcher</w:t>
      </w:r>
      <w:bookmarkEnd w:id="161"/>
    </w:p>
    <w:p>
      <w:pPr>
        <w:numPr>
          <w:ilvl w:val="0"/>
          <w:numId w:val="1013"/>
        </w:numPr>
      </w:pPr>
      <w:r>
        <w:rPr>
          <w:i/>
        </w:rPr>
        <w:t xml:space="preserve">State ex rel. Ebke v. Board of Educational Lands &amp; Funds</w:t>
      </w:r>
      <w:r>
        <w:t xml:space="preserve">, 154 Neb. 244, 248–49, 47 N.W.2d 520, 524 (1951).</w:t>
      </w:r>
    </w:p>
    <w:p>
      <w:pPr>
        <w:numPr>
          <w:ilvl w:val="0"/>
          <w:numId w:val="1013"/>
        </w:numPr>
      </w:pPr>
      <w:r>
        <w:rPr>
          <w:i/>
        </w:rPr>
        <w:t xml:space="preserve">Hill v. Thompson</w:t>
      </w:r>
      <w:r>
        <w:t xml:space="preserve">, 564 So. 2d 1 (Miss. 1989) — the $7.50, ninety-nine-year Forest lease, verified. (Do not cite the discredited</w:t>
      </w:r>
      <w:r>
        <w:t xml:space="preserve"> </w:t>
      </w:r>
      <w:r>
        <w:t xml:space="preserve">“</w:t>
      </w:r>
      <w:r>
        <w:t xml:space="preserve">Holmes v. Jones</w:t>
      </w:r>
      <w:r>
        <w:t xml:space="preserve">”</w:t>
      </w:r>
      <w:r>
        <w:t xml:space="preserve"> </w:t>
      </w:r>
      <w:r>
        <w:t xml:space="preserve">reference flagged in the verified-quotes file.)</w:t>
      </w:r>
    </w:p>
    <w:p>
      <w:pPr>
        <w:numPr>
          <w:ilvl w:val="0"/>
          <w:numId w:val="1013"/>
        </w:numPr>
      </w:pPr>
      <w:r>
        <w:t xml:space="preserve">Rankin County self-dealing, Mississippi Supreme Court, 1975.</w:t>
      </w:r>
    </w:p>
    <w:p>
      <w:pPr>
        <w:numPr>
          <w:ilvl w:val="0"/>
          <w:numId w:val="1013"/>
        </w:numPr>
      </w:pPr>
      <w:r>
        <w:rPr>
          <w:i/>
        </w:rPr>
        <w:t xml:space="preserve">Ervien v. United States</w:t>
      </w:r>
      <w:r>
        <w:t xml:space="preserve">, 251 U.S. 41, 47 (1919).</w:t>
      </w:r>
    </w:p>
    <w:p>
      <w:pPr>
        <w:numPr>
          <w:ilvl w:val="0"/>
          <w:numId w:val="1013"/>
        </w:numPr>
      </w:pPr>
      <w:r>
        <w:rPr>
          <w:i/>
        </w:rPr>
        <w:t xml:space="preserve">Lassen v. Arizona ex rel. Arizona Highway Department</w:t>
      </w:r>
      <w:r>
        <w:t xml:space="preserve">, 385 U.S. 458, 465–69 (1967).</w:t>
      </w:r>
    </w:p>
    <w:p>
      <w:pPr>
        <w:numPr>
          <w:ilvl w:val="0"/>
          <w:numId w:val="1013"/>
        </w:numPr>
      </w:pPr>
      <w:r>
        <w:t xml:space="preserve">The decades-long delay in enforcing</w:t>
      </w:r>
      <w:r>
        <w:t xml:space="preserve"> </w:t>
      </w:r>
      <w:r>
        <w:rPr>
          <w:i/>
        </w:rPr>
        <w:t xml:space="preserve">Lassen</w:t>
      </w:r>
      <w:r>
        <w:t xml:space="preserve"> </w:t>
      </w:r>
      <w:r>
        <w:t xml:space="preserve">and the later statute-of-limitations defeat are from Margaret Bird’s compiled account; the specific Arizona suit, court, and limitations holding have not been located in a primary source.</w:t>
      </w:r>
    </w:p>
    <w:p>
      <w:pPr>
        <w:numPr>
          <w:ilvl w:val="0"/>
          <w:numId w:val="1013"/>
        </w:numPr>
      </w:pPr>
      <w:r>
        <w:rPr>
          <w:i/>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w:t>
      </w:r>
      <w:r>
        <w:t xml:space="preserve">One good attorney in the right place</w:t>
      </w:r>
      <w:r>
        <w:t xml:space="preserve">”</w:t>
      </w:r>
      <w:r>
        <w:t xml:space="preserve">: Margaret Bird, manuscript notes, 2026.</w:t>
      </w:r>
    </w:p>
    <w:p>
      <w:pPr>
        <w:numPr>
          <w:ilvl w:val="0"/>
          <w:numId w:val="1013"/>
        </w:numPr>
      </w:pPr>
      <w:r>
        <w:t xml:space="preserve">Project BOLD, championed by Gov. Scott M. Matheson. The account that it would have reworked the Enabling Act to serve the state rather than the schools — flagged by Bird to the State School Board — is her first-hand recollection.</w:t>
      </w:r>
    </w:p>
    <w:p>
      <w:pPr>
        <w:numPr>
          <w:ilvl w:val="0"/>
          <w:numId w:val="1013"/>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w:t>
      </w:r>
      <w:r>
        <w:t xml:space="preserve">5 million to 150 million … thirty times</w:t>
      </w:r>
      <w:r>
        <w:t xml:space="preserve">”</w:t>
      </w:r>
      <w:r>
        <w:t xml:space="preserve"> </w:t>
      </w:r>
      <w:r>
        <w:t xml:space="preserve">describes annual land revenue (SITLA FY2025 land revenue ≈ $142.1 million).</w:t>
      </w:r>
    </w:p>
    <w:p>
      <w:pPr>
        <w:numPr>
          <w:ilvl w:val="0"/>
          <w:numId w:val="1013"/>
        </w:numPr>
      </w:pPr>
      <w:r>
        <w:t xml:space="preserve">Dick Molpus / sixteenth-section reform:</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w:t>
      </w:r>
      <w:r>
        <w:t xml:space="preserve">Revenue and lease-count figures rest on secondary accounts; specific numbers to be pinned to a Mississippi Secretary of State report before being asserted bare.</w:t>
      </w:r>
    </w:p>
    <w:p>
      <w:pPr>
        <w:pStyle w:val="Heading2"/>
      </w:pPr>
      <w:bookmarkStart w:id="162" w:name="Xba3caf33798fa140509d3941306ee913b9f024f"/>
      <w:r>
        <w:t xml:space="preserve">Chapter 8 — What the Record Teaches the Architects of Forever-Trusts</w:t>
      </w:r>
      <w:bookmarkEnd w:id="162"/>
    </w:p>
    <w:p>
      <w:pPr>
        <w:numPr>
          <w:ilvl w:val="0"/>
          <w:numId w:val="1014"/>
        </w:numPr>
        <w:pStyle w:val="Compact"/>
      </w:pPr>
      <w:r>
        <w:t xml:space="preserve">Edmund Burke,</w:t>
      </w:r>
      <w:r>
        <w:t xml:space="preserve"> </w:t>
      </w:r>
      <w:r>
        <w:rPr>
          <w:i/>
        </w:rPr>
        <w:t xml:space="preserve">Reflections on the Revolution in France</w:t>
      </w:r>
      <w:r>
        <w:t xml:space="preserve"> </w:t>
      </w:r>
      <w:r>
        <w:t xml:space="preserve">(1790).</w:t>
      </w:r>
    </w:p>
    <w:p>
      <w:pPr>
        <w:pStyle w:val="Heading2"/>
      </w:pPr>
      <w:bookmarkStart w:id="163" w:name="Xaf204645ff0b5dace61587ad057af319359c5b7"/>
      <w:r>
        <w:t xml:space="preserve">Lens 2 — The Cases: How Courts Read the Trust</w:t>
      </w:r>
      <w:bookmarkEnd w:id="163"/>
    </w:p>
    <w:p>
      <w:pPr>
        <w:numPr>
          <w:ilvl w:val="0"/>
          <w:numId w:val="1015"/>
        </w:numPr>
        <w:pStyle w:val="Compact"/>
      </w:pPr>
      <w:r>
        <w:rPr>
          <w:i/>
        </w:rPr>
        <w:t xml:space="preserve">Cooper v. Roberts</w:t>
      </w:r>
      <w:r>
        <w:t xml:space="preserve">, 59 U.S. (18 How.) 173, 178 (1855).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phrasings sometimes attached to</w:t>
      </w:r>
      <w:r>
        <w:t xml:space="preserve"> </w:t>
      </w:r>
      <w:r>
        <w:rPr>
          <w:i/>
        </w:rPr>
        <w:t xml:space="preserve">Cooper</w:t>
      </w:r>
      <w:r>
        <w:t xml:space="preserve"> </w:t>
      </w:r>
      <w:r>
        <w:t xml:space="preserve">are not yet authenticated for display; only the</w:t>
      </w:r>
      <w:r>
        <w:t xml:space="preserve"> </w:t>
      </w:r>
      <w:r>
        <w:t xml:space="preserve">“</w:t>
      </w:r>
      <w:r>
        <w:t xml:space="preserve">cherished policy</w:t>
      </w:r>
      <w:r>
        <w:t xml:space="preserve">”</w:t>
      </w:r>
      <w:r>
        <w:t xml:space="preserve"> </w:t>
      </w:r>
      <w:r>
        <w:t xml:space="preserve">passage at 178 is verified.</w:t>
      </w:r>
    </w:p>
    <w:p>
      <w:r>
        <w:br w:type="page"/>
      </w:r>
    </w:p>
    <w:p>
      <w:pPr>
        <w:pStyle w:val="Heading1"/>
      </w:pPr>
      <w:bookmarkStart w:id="164" w:name="what-you-can-do"/>
      <w:r>
        <w:t xml:space="preserve">What You Can Do</w:t>
      </w:r>
      <w:bookmarkEnd w:id="164"/>
    </w:p>
    <w:p>
      <w:pPr>
        <w:pStyle w:val="FirstParagraph"/>
      </w:pPr>
      <w:r>
        <w:t xml:space="preserve">This book has a thesis it cannot prove on paper: that the only thing which ever protected the gift was someone willing to watch. So it ends not with a conclusion but with an invitation.</w:t>
      </w:r>
    </w:p>
    <w:p>
      <w:pPr>
        <w:pStyle w:val="BodyText"/>
      </w:pPr>
      <w:r>
        <w:rPr>
          <w:b/>
        </w:rPr>
        <w:t xml:space="preserve">Find out whether your state holds trust lands.</w:t>
      </w:r>
      <w:r>
        <w:t xml:space="preserve"> </w:t>
      </w:r>
      <w:r>
        <w:t xml:space="preserve">About twenty still do. If yours is one, your public schools own land and a permanent fund — right now, in your name and your children’s.</w:t>
      </w:r>
    </w:p>
    <w:p>
      <w:pPr>
        <w:pStyle w:val="BodyText"/>
      </w:pPr>
      <w:r>
        <w:rPr>
          <w:b/>
        </w:rPr>
        <w:t xml:space="preserve">Ask the simple questions a beneficiary is owed.</w:t>
      </w:r>
      <w:r>
        <w:t xml:space="preserve"> </w:t>
      </w:r>
      <w:r>
        <w:t xml:space="preserve">How large is the permanent fund? Is it growing, or being drawn down? What did the trust lands earn last year, and where did the money go? A trustee that cannot answer is telling you something.</w:t>
      </w:r>
    </w:p>
    <w:p>
      <w:pPr>
        <w:pStyle w:val="BodyText"/>
      </w:pPr>
      <w:r>
        <w:rPr>
          <w:b/>
        </w:rPr>
        <w:t xml:space="preserve">Insist on full value, and on undivided loyalty.</w:t>
      </w:r>
      <w:r>
        <w:t xml:space="preserve"> </w:t>
      </w:r>
      <w:r>
        <w:t xml:space="preserve">When a state proposes to sell, lease, trade, or</w:t>
      </w:r>
      <w:r>
        <w:t xml:space="preserve"> </w:t>
      </w:r>
      <w:r>
        <w:t xml:space="preserve">“</w:t>
      </w:r>
      <w:r>
        <w:t xml:space="preserve">decouple</w:t>
      </w:r>
      <w:r>
        <w:t xml:space="preserve">”</w:t>
      </w:r>
      <w:r>
        <w:t xml:space="preserve"> </w:t>
      </w:r>
      <w:r>
        <w:t xml:space="preserve">trust land, the only question that matters is whether the schools receive full value and whether the decision serves them alone.</w:t>
      </w:r>
      <w:r>
        <w:t xml:space="preserve"> </w:t>
      </w:r>
      <w:r>
        <w:t xml:space="preserve">“</w:t>
      </w:r>
      <w:r>
        <w:t xml:space="preserve">Laudable other objectives,</w:t>
      </w:r>
      <w:r>
        <w:t xml:space="preserve">”</w:t>
      </w:r>
      <w:r>
        <w:t xml:space="preserve"> </w:t>
      </w:r>
      <w:r>
        <w:t xml:space="preserve">the courts have held, are not an excuse.</w:t>
      </w:r>
    </w:p>
    <w:p>
      <w:pPr>
        <w:pStyle w:val="BodyText"/>
      </w:pPr>
      <w:r>
        <w:rPr>
          <w:b/>
        </w:rPr>
        <w:t xml:space="preserve">Be the constituency.</w:t>
      </w:r>
      <w:r>
        <w:t xml:space="preserve"> </w:t>
      </w:r>
      <w:r>
        <w:t xml:space="preserve">The reforms that worked — in Utah, in Mississippi, in New Mexico — worked because organized people refused to look away. The trust does not defend itself. You do.</w:t>
      </w:r>
    </w:p>
    <w:p>
      <w:pPr>
        <w:pStyle w:val="BodyText"/>
      </w:pPr>
      <w:r>
        <w:t xml:space="preserve">It was meant to be a forever gift. Whether it is handed forward now is up to people who know it exists. You do now.</w:t>
      </w:r>
    </w:p>
    <w:p>
      <w:r>
        <w:br w:type="page"/>
      </w:r>
    </w:p>
    <w:p>
      <w:pPr>
        <w:pStyle w:val="Heading1"/>
      </w:pPr>
      <w:bookmarkStart w:id="165" w:name="Xa0cbc8defdb9d9eae0b50d1d59db4abe4acdaa3"/>
      <w:r>
        <w:t xml:space="preserve">Editor’s Report – Codex v11 Evidence-Lock Pass</w:t>
      </w:r>
      <w:bookmarkEnd w:id="165"/>
    </w:p>
    <w:p>
      <w:pPr>
        <w:pStyle w:val="Heading2"/>
      </w:pPr>
      <w:bookmarkStart w:id="166" w:name="biggest-improvements-made"/>
      <w:r>
        <w:t xml:space="preserve">Biggest Improvements Made</w:t>
      </w:r>
      <w:bookmarkEnd w:id="166"/>
    </w:p>
    <w:p>
      <w:pPr>
        <w:numPr>
          <w:ilvl w:val="0"/>
          <w:numId w:val="1016"/>
        </w:numPr>
        <w:pStyle w:val="Compact"/>
      </w:pPr>
      <w:r>
        <w:rPr>
          <w:b/>
        </w:rPr>
        <w:t xml:space="preserve">The manuscript no longer prints live verification scaffolding.</w:t>
      </w:r>
      <w:r>
        <w:t xml:space="preserve"> </w:t>
      </w:r>
      <w:r>
        <w:t xml:space="preserve">v11 removes the visible verification, quote-needed, and author-review markers from the book text. Where I could verify the figure, I added a dated source. Where I could not, I tightened the prose so the book does not assert an unverified number.</w:t>
      </w:r>
    </w:p>
    <w:p>
      <w:pPr>
        <w:numPr>
          <w:ilvl w:val="0"/>
          <w:numId w:val="1016"/>
        </w:numPr>
        <w:pStyle w:val="Compact"/>
      </w:pPr>
      <w:r>
        <w:rPr>
          <w:b/>
        </w:rPr>
        <w:t xml:space="preserve">The main live figures are now locked to dated sources.</w:t>
      </w:r>
      <w:r>
        <w:t xml:space="preserve"> </w:t>
      </w:r>
      <w:r>
        <w:t xml:space="preserve">North Dakota, Oregon, Idaho, Nebraska, Nevada, South Dakota, Texas, Utah, Wisconsin, and Wyoming now carry dated figures or careful caveats. Earlier verified figures for New Mexico, Colorado, Minnesota, Arizona, Alaska, and California remain governed by the 2026-05-29 finishing/propagation reports.</w:t>
      </w:r>
    </w:p>
    <w:p>
      <w:pPr>
        <w:numPr>
          <w:ilvl w:val="0"/>
          <w:numId w:val="1016"/>
        </w:numPr>
        <w:pStyle w:val="Compact"/>
      </w:pPr>
      <w:r>
        <w:rPr>
          <w:b/>
        </w:rPr>
        <w:t xml:space="preserve">The Nevada and Utah problem spots are safer.</w:t>
      </w:r>
      <w:r>
        <w:t xml:space="preserve"> </w:t>
      </w:r>
      <w:r>
        <w:t xml:space="preserve">Nevada’s broad statutory Permanent School Fund is now distinguished from the tiny surviving land-trust residue. Utah’s coal-land scandal and Arches camp-out remain in the book as important author leads, but no longer as unsourced direct quotation or unsourced precision.</w:t>
      </w:r>
    </w:p>
    <w:p>
      <w:pPr>
        <w:numPr>
          <w:ilvl w:val="0"/>
          <w:numId w:val="1016"/>
        </w:numPr>
        <w:pStyle w:val="Compact"/>
      </w:pPr>
      <w:r>
        <w:rPr>
          <w:b/>
        </w:rPr>
        <w:t xml:space="preserve">Reusable numbers were promoted.</w:t>
      </w:r>
      <w:r>
        <w:t xml:space="preserve"> </w:t>
      </w:r>
      <w:r>
        <w:t xml:space="preserve">The figures most likely to recur in other deliverables now live in</w:t>
      </w:r>
      <w:r>
        <w:t xml:space="preserve"> </w:t>
      </w:r>
      <w:r>
        <w:rPr>
          <w:rStyle w:val="VerbatimChar"/>
        </w:rPr>
        <w:t xml:space="preserve">L1_Canonical_Claims/L1_Figures.md</w:t>
      </w:r>
      <w:r>
        <w:t xml:space="preserve">, with the manuscript pointing back to one canonical source of truth.</w:t>
      </w:r>
    </w:p>
    <w:p>
      <w:pPr>
        <w:numPr>
          <w:ilvl w:val="0"/>
          <w:numId w:val="1016"/>
        </w:numPr>
        <w:pStyle w:val="Compact"/>
      </w:pPr>
      <w:r>
        <w:rPr>
          <w:b/>
        </w:rPr>
        <w:t xml:space="preserve">Research debt is now outside the reader’s path.</w:t>
      </w:r>
      <w:r>
        <w:t xml:space="preserve"> </w:t>
      </w:r>
      <w:r>
        <w:t xml:space="preserve">Open items are listed in</w:t>
      </w:r>
      <w:r>
        <w:t xml:space="preserve"> </w:t>
      </w:r>
      <w:r>
        <w:rPr>
          <w:rStyle w:val="VerbatimChar"/>
        </w:rPr>
        <w:t xml:space="preserve">FFG_v11_Unresolved_Research_Log_2026-06-01.md</w:t>
      </w:r>
      <w:r>
        <w:t xml:space="preserve">; quote issues are listed in</w:t>
      </w:r>
      <w:r>
        <w:t xml:space="preserve"> </w:t>
      </w:r>
      <w:r>
        <w:rPr>
          <w:rStyle w:val="VerbatimChar"/>
        </w:rPr>
        <w:t xml:space="preserve">FFG_v11_Quote_Compliance_Log_2026-06-01.md</w:t>
      </w:r>
      <w:r>
        <w:t xml:space="preserve">; the full occurrence-by-occurrence ledger is</w:t>
      </w:r>
      <w:r>
        <w:t xml:space="preserve"> </w:t>
      </w:r>
      <w:r>
        <w:rPr>
          <w:rStyle w:val="VerbatimChar"/>
        </w:rPr>
        <w:t xml:space="preserve">FFG_v11_Verification_Ledger_2026-06-01.md</w:t>
      </w:r>
      <w:r>
        <w:t xml:space="preserve">.</w:t>
      </w:r>
    </w:p>
    <w:p>
      <w:pPr>
        <w:pStyle w:val="Heading2"/>
      </w:pPr>
      <w:bookmarkStart w:id="167" w:name="still-unresolved"/>
      <w:r>
        <w:t xml:space="preserve">Still Unresolved</w:t>
      </w:r>
      <w:bookmarkEnd w:id="167"/>
    </w:p>
    <w:p>
      <w:pPr>
        <w:numPr>
          <w:ilvl w:val="0"/>
          <w:numId w:val="1017"/>
        </w:numPr>
        <w:pStyle w:val="Compact"/>
      </w:pPr>
      <w:r>
        <w:t xml:space="preserve">Utah coal-land scandal: parcel prices, federal value list, front-buyer identities, destroyed-audit-record account, and the 1989 loss calculation still need a documentary packet before final print.</w:t>
      </w:r>
    </w:p>
    <w:p>
      <w:pPr>
        <w:numPr>
          <w:ilvl w:val="0"/>
          <w:numId w:val="1017"/>
        </w:numPr>
        <w:pStyle w:val="Compact"/>
      </w:pPr>
      <w:r>
        <w:t xml:space="preserve">Arches / Utah camp-out: the story is strong in Margaret Bird’s oral history, but the exact quotation and chronology need promotion to the approved quotation file or permanent paraphrase.</w:t>
      </w:r>
    </w:p>
    <w:p>
      <w:pPr>
        <w:numPr>
          <w:ilvl w:val="0"/>
          <w:numId w:val="1017"/>
        </w:numPr>
        <w:pStyle w:val="Compact"/>
      </w:pPr>
      <w:r>
        <w:t xml:space="preserve">Nevada additional-acreage forfeiture: Margaret’s multi-million-acre estimate needs a documentary source before a number can be printed.</w:t>
      </w:r>
    </w:p>
    <w:p>
      <w:pPr>
        <w:numPr>
          <w:ilvl w:val="0"/>
          <w:numId w:val="1017"/>
        </w:numPr>
        <w:pStyle w:val="Compact"/>
      </w:pPr>
      <w:r>
        <w:t xml:space="preserve">Early-state residual corpus figures: Alabama, Arkansas, Florida, Illinois, Indiana, Iowa, Louisiana, Michigan, Mississippi, Missouri, Ohio, and several other early-sale states still need state-specific corpus/acreage pins if the authors want exact figures.</w:t>
      </w:r>
    </w:p>
    <w:p>
      <w:pPr>
        <w:numPr>
          <w:ilvl w:val="0"/>
          <w:numId w:val="1017"/>
        </w:numPr>
        <w:pStyle w:val="Compact"/>
      </w:pPr>
      <w:r>
        <w:t xml:space="preserve">Oklahoma and Montana: v11 avoids unverified permanent-fund corpus figures; current corpus should be pinned to official annual reports before final layout.</w:t>
      </w:r>
    </w:p>
    <w:p>
      <w:pPr>
        <w:numPr>
          <w:ilvl w:val="0"/>
          <w:numId w:val="1017"/>
        </w:numPr>
        <w:pStyle w:val="Compact"/>
      </w:pPr>
      <w:r>
        <w:t xml:space="preserve">Minnesota Boundary Waters, Mississippi reform revenue, and Missouri’s</w:t>
      </w:r>
      <w:r>
        <w:t xml:space="preserve"> </w:t>
      </w:r>
      <w:r>
        <w:rPr>
          <w:i/>
        </w:rPr>
        <w:t xml:space="preserve">Davis</w:t>
      </w:r>
      <w:r>
        <w:t xml:space="preserve"> </w:t>
      </w:r>
      <w:r>
        <w:t xml:space="preserve">amount: the prose now avoids exact numbers, but the exact figures remain research items.</w:t>
      </w:r>
    </w:p>
    <w:p>
      <w:pPr>
        <w:numPr>
          <w:ilvl w:val="0"/>
          <w:numId w:val="1017"/>
        </w:numPr>
        <w:pStyle w:val="Compact"/>
      </w:pPr>
      <w:r>
        <w:t xml:space="preserve">Encoding cleanup: the Drive-mounted source still shows signs of earlier character-encoding damage in some inherited text. This pass avoided amplifying it, but a dedicated typographic/encoding cleanup should run before DOCX rendering.</w:t>
      </w:r>
    </w:p>
    <w:p>
      <w:pPr>
        <w:pStyle w:val="Heading2"/>
      </w:pPr>
      <w:bookmarkStart w:id="168" w:name="Xc4942a6f875c823040e793de5801bc312bef68e"/>
      <w:r>
        <w:t xml:space="preserve">Top Five Recommendations for the Next Pass</w:t>
      </w:r>
      <w:bookmarkEnd w:id="168"/>
    </w:p>
    <w:p>
      <w:pPr>
        <w:numPr>
          <w:ilvl w:val="0"/>
          <w:numId w:val="1018"/>
        </w:numPr>
        <w:pStyle w:val="Compact"/>
      </w:pPr>
      <w:r>
        <w:rPr>
          <w:b/>
        </w:rPr>
        <w:t xml:space="preserve">Turn the unresolved log into assignments.</w:t>
      </w:r>
      <w:r>
        <w:t xml:space="preserve"> </w:t>
      </w:r>
      <w:r>
        <w:t xml:space="preserve">The remaining items are discrete research tasks, not whole-book problems.</w:t>
      </w:r>
    </w:p>
    <w:p>
      <w:pPr>
        <w:numPr>
          <w:ilvl w:val="0"/>
          <w:numId w:val="1018"/>
        </w:numPr>
        <w:pStyle w:val="Compact"/>
      </w:pPr>
      <w:r>
        <w:rPr>
          <w:b/>
        </w:rPr>
        <w:t xml:space="preserve">Promote any newly approved quotation into the verified-quote file before it re-enters the book.</w:t>
      </w:r>
      <w:r>
        <w:t xml:space="preserve"> </w:t>
      </w:r>
      <w:r>
        <w:t xml:space="preserve">Especially the Arches line and any Margaret oral-history language.</w:t>
      </w:r>
    </w:p>
    <w:p>
      <w:pPr>
        <w:numPr>
          <w:ilvl w:val="0"/>
          <w:numId w:val="1018"/>
        </w:numPr>
        <w:pStyle w:val="Compact"/>
      </w:pPr>
      <w:r>
        <w:rPr>
          <w:b/>
        </w:rPr>
        <w:t xml:space="preserve">Fill Lens 4 from the Comparative Atlas.</w:t>
      </w:r>
      <w:r>
        <w:t xml:space="preserve"> </w:t>
      </w:r>
      <w:r>
        <w:t xml:space="preserve">The lower-block structure cells are now intentionally labeled as deferred; they should be filled once, from the Atlas, not guessed in prose.</w:t>
      </w:r>
    </w:p>
    <w:p>
      <w:pPr>
        <w:numPr>
          <w:ilvl w:val="0"/>
          <w:numId w:val="1018"/>
        </w:numPr>
        <w:pStyle w:val="Compact"/>
      </w:pPr>
      <w:r>
        <w:rPr>
          <w:b/>
        </w:rPr>
        <w:t xml:space="preserve">Run a typographic repair pass before beauty/layout.</w:t>
      </w:r>
      <w:r>
        <w:t xml:space="preserve"> </w:t>
      </w:r>
      <w:r>
        <w:t xml:space="preserve">Fix mojibake, arrows, section symbols, accented names, and dash consistency before rendering the next DOCX.</w:t>
      </w:r>
    </w:p>
    <w:p>
      <w:pPr>
        <w:numPr>
          <w:ilvl w:val="0"/>
          <w:numId w:val="1018"/>
        </w:numPr>
        <w:pStyle w:val="Compact"/>
      </w:pPr>
      <w:r>
        <w:rPr>
          <w:b/>
        </w:rPr>
        <w:t xml:space="preserve">Then make the illustrated packet.</w:t>
      </w:r>
      <w:r>
        <w:t xml:space="preserve"> </w:t>
      </w:r>
      <w:r>
        <w:t xml:space="preserve">With the figures now cleaner, the map, timeline, trust diagram, Elliott valuation chart, and Margaret sampling packet can be designed on firmer ground.</w:t>
      </w:r>
    </w:p>
    <w:sectPr>
      <w:headerReference w:type="default" r:id="rId9"/>
      <w:footerReference w:type="default" r:id="rId10"/>
      <w:pgSz w:w="8640" w:h="12960"/>
      <w:pgMar w:top="864" w:right="720" w:bottom="864" w:left="864" w:header="576" w:footer="432" w:gutter="14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The Forgotten Forever Gift to Public Schools (Volume I) · Page </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The Forgotten Forever Gift to Public Schools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489"/>
    <w:multiLevelType w:val="multilevel"/>
    <w:tmpl w:val="6E7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5A4"/>
    <w:multiLevelType w:val="multilevel"/>
    <w:tmpl w:val="66C4CA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46019"/>
    <w:multiLevelType w:val="multilevel"/>
    <w:tmpl w:val="B3E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99E"/>
    <w:multiLevelType w:val="multilevel"/>
    <w:tmpl w:val="D09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3402"/>
    <w:multiLevelType w:val="multilevel"/>
    <w:tmpl w:val="D748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569F0"/>
    <w:multiLevelType w:val="multilevel"/>
    <w:tmpl w:val="CBF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41006"/>
    <w:multiLevelType w:val="multilevel"/>
    <w:tmpl w:val="D8D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D20AD"/>
    <w:multiLevelType w:val="multilevel"/>
    <w:tmpl w:val="6776A7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126A7A"/>
    <w:multiLevelType w:val="hybridMultilevel"/>
    <w:tmpl w:val="41AE44A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78640D5"/>
    <w:multiLevelType w:val="multilevel"/>
    <w:tmpl w:val="C4A8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327AC"/>
    <w:multiLevelType w:val="multilevel"/>
    <w:tmpl w:val="45C8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914CD"/>
    <w:multiLevelType w:val="multilevel"/>
    <w:tmpl w:val="559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44A82"/>
    <w:multiLevelType w:val="multilevel"/>
    <w:tmpl w:val="2180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83062"/>
    <w:multiLevelType w:val="hybridMultilevel"/>
    <w:tmpl w:val="A17E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67879"/>
    <w:multiLevelType w:val="multilevel"/>
    <w:tmpl w:val="273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C01CD"/>
    <w:multiLevelType w:val="multilevel"/>
    <w:tmpl w:val="732860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93E95"/>
    <w:multiLevelType w:val="multilevel"/>
    <w:tmpl w:val="538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707CC"/>
    <w:multiLevelType w:val="multilevel"/>
    <w:tmpl w:val="BAB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F1236"/>
    <w:multiLevelType w:val="multilevel"/>
    <w:tmpl w:val="8CD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35787"/>
    <w:multiLevelType w:val="multilevel"/>
    <w:tmpl w:val="1A1A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0E682D"/>
    <w:multiLevelType w:val="multilevel"/>
    <w:tmpl w:val="9340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4064F4"/>
    <w:multiLevelType w:val="multilevel"/>
    <w:tmpl w:val="7ED2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23FDF"/>
    <w:multiLevelType w:val="multilevel"/>
    <w:tmpl w:val="3DB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D3BAF"/>
    <w:multiLevelType w:val="multilevel"/>
    <w:tmpl w:val="D78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A868DF"/>
    <w:multiLevelType w:val="multilevel"/>
    <w:tmpl w:val="F2F663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DF3196"/>
    <w:multiLevelType w:val="multilevel"/>
    <w:tmpl w:val="22E0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206C53"/>
    <w:multiLevelType w:val="multilevel"/>
    <w:tmpl w:val="0AEAF4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3706FC4"/>
    <w:multiLevelType w:val="multilevel"/>
    <w:tmpl w:val="1B0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23E40"/>
    <w:multiLevelType w:val="multilevel"/>
    <w:tmpl w:val="B770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7283A"/>
    <w:multiLevelType w:val="multilevel"/>
    <w:tmpl w:val="E42267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5C273F8"/>
    <w:multiLevelType w:val="multilevel"/>
    <w:tmpl w:val="9EF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100FB"/>
    <w:multiLevelType w:val="multilevel"/>
    <w:tmpl w:val="A13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B1EDA"/>
    <w:multiLevelType w:val="multilevel"/>
    <w:tmpl w:val="812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262E5"/>
    <w:multiLevelType w:val="multilevel"/>
    <w:tmpl w:val="91E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53F6B"/>
    <w:multiLevelType w:val="multilevel"/>
    <w:tmpl w:val="617A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C0BD3"/>
    <w:multiLevelType w:val="multilevel"/>
    <w:tmpl w:val="8228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D52E58"/>
    <w:multiLevelType w:val="multilevel"/>
    <w:tmpl w:val="3280C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5385D"/>
    <w:multiLevelType w:val="multilevel"/>
    <w:tmpl w:val="EA2C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7F2A8E"/>
    <w:multiLevelType w:val="multilevel"/>
    <w:tmpl w:val="81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10337"/>
    <w:multiLevelType w:val="multilevel"/>
    <w:tmpl w:val="1C2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6415F"/>
    <w:multiLevelType w:val="multilevel"/>
    <w:tmpl w:val="29B6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9261D"/>
    <w:multiLevelType w:val="multilevel"/>
    <w:tmpl w:val="9FC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A7AC5"/>
    <w:multiLevelType w:val="multilevel"/>
    <w:tmpl w:val="6AD61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0AC10D0"/>
    <w:multiLevelType w:val="multilevel"/>
    <w:tmpl w:val="61E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6409A"/>
    <w:multiLevelType w:val="multilevel"/>
    <w:tmpl w:val="12F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A25DE"/>
    <w:multiLevelType w:val="multilevel"/>
    <w:tmpl w:val="E27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0510C"/>
    <w:multiLevelType w:val="multilevel"/>
    <w:tmpl w:val="DF4C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821C6A"/>
    <w:multiLevelType w:val="multilevel"/>
    <w:tmpl w:val="AE3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0E10B7"/>
    <w:multiLevelType w:val="multilevel"/>
    <w:tmpl w:val="E2D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C0EE5"/>
    <w:multiLevelType w:val="multilevel"/>
    <w:tmpl w:val="49BE4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56B211C"/>
    <w:multiLevelType w:val="multilevel"/>
    <w:tmpl w:val="D5B0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82382B"/>
    <w:multiLevelType w:val="multilevel"/>
    <w:tmpl w:val="F7065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5851C1C"/>
    <w:multiLevelType w:val="multilevel"/>
    <w:tmpl w:val="28E06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58A4C0E"/>
    <w:multiLevelType w:val="multilevel"/>
    <w:tmpl w:val="EED8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B65F7"/>
    <w:multiLevelType w:val="multilevel"/>
    <w:tmpl w:val="E36A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3633F"/>
    <w:multiLevelType w:val="multilevel"/>
    <w:tmpl w:val="528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233F9"/>
    <w:multiLevelType w:val="multilevel"/>
    <w:tmpl w:val="379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D7BEA"/>
    <w:multiLevelType w:val="multilevel"/>
    <w:tmpl w:val="46D0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434A80"/>
    <w:multiLevelType w:val="multilevel"/>
    <w:tmpl w:val="B56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916CB1"/>
    <w:multiLevelType w:val="multilevel"/>
    <w:tmpl w:val="222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F5880"/>
    <w:multiLevelType w:val="multilevel"/>
    <w:tmpl w:val="040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B0E77"/>
    <w:multiLevelType w:val="multilevel"/>
    <w:tmpl w:val="3D5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D547BE"/>
    <w:multiLevelType w:val="multilevel"/>
    <w:tmpl w:val="EC0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F04CA4"/>
    <w:multiLevelType w:val="multilevel"/>
    <w:tmpl w:val="0C265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A0AE9"/>
    <w:multiLevelType w:val="multilevel"/>
    <w:tmpl w:val="6CB2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67257F"/>
    <w:multiLevelType w:val="multilevel"/>
    <w:tmpl w:val="472480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2D4E486A"/>
    <w:multiLevelType w:val="multilevel"/>
    <w:tmpl w:val="83F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B1191"/>
    <w:multiLevelType w:val="multilevel"/>
    <w:tmpl w:val="38D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86EAD"/>
    <w:multiLevelType w:val="multilevel"/>
    <w:tmpl w:val="576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22A7D"/>
    <w:multiLevelType w:val="multilevel"/>
    <w:tmpl w:val="52B0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C356F8"/>
    <w:multiLevelType w:val="multilevel"/>
    <w:tmpl w:val="855C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007F60"/>
    <w:multiLevelType w:val="multilevel"/>
    <w:tmpl w:val="CB50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0D726E"/>
    <w:multiLevelType w:val="multilevel"/>
    <w:tmpl w:val="9174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E9423C8"/>
    <w:multiLevelType w:val="multilevel"/>
    <w:tmpl w:val="BD4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B63878"/>
    <w:multiLevelType w:val="multilevel"/>
    <w:tmpl w:val="3F5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24471D"/>
    <w:multiLevelType w:val="multilevel"/>
    <w:tmpl w:val="ACA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772FCA"/>
    <w:multiLevelType w:val="multilevel"/>
    <w:tmpl w:val="4C9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F0700"/>
    <w:multiLevelType w:val="multilevel"/>
    <w:tmpl w:val="6532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542B99"/>
    <w:multiLevelType w:val="multilevel"/>
    <w:tmpl w:val="A5E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4752D"/>
    <w:multiLevelType w:val="multilevel"/>
    <w:tmpl w:val="05447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2D96254"/>
    <w:multiLevelType w:val="multilevel"/>
    <w:tmpl w:val="DF067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32F22D74"/>
    <w:multiLevelType w:val="multilevel"/>
    <w:tmpl w:val="F55450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3357C3"/>
    <w:multiLevelType w:val="multilevel"/>
    <w:tmpl w:val="131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41054F"/>
    <w:multiLevelType w:val="multilevel"/>
    <w:tmpl w:val="9B7A3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72499"/>
    <w:multiLevelType w:val="multilevel"/>
    <w:tmpl w:val="922E99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34887E3E"/>
    <w:multiLevelType w:val="multilevel"/>
    <w:tmpl w:val="C99A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1C418F"/>
    <w:multiLevelType w:val="multilevel"/>
    <w:tmpl w:val="BA8C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A772E"/>
    <w:multiLevelType w:val="multilevel"/>
    <w:tmpl w:val="EC3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C05556"/>
    <w:multiLevelType w:val="multilevel"/>
    <w:tmpl w:val="17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9D734E"/>
    <w:multiLevelType w:val="multilevel"/>
    <w:tmpl w:val="9AB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50B74"/>
    <w:multiLevelType w:val="multilevel"/>
    <w:tmpl w:val="557E1C08"/>
    <w:lvl w:ilvl="0">
      <w:start w:val="1"/>
      <w:numFmt w:val="bullet"/>
      <w:pStyle w:val="Box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43038"/>
    <w:multiLevelType w:val="multilevel"/>
    <w:tmpl w:val="0B7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96A17"/>
    <w:multiLevelType w:val="multilevel"/>
    <w:tmpl w:val="6BD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711365"/>
    <w:multiLevelType w:val="multilevel"/>
    <w:tmpl w:val="5FE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891BE5"/>
    <w:multiLevelType w:val="multilevel"/>
    <w:tmpl w:val="896C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2D0C0F"/>
    <w:multiLevelType w:val="multilevel"/>
    <w:tmpl w:val="B20C2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3B6D768D"/>
    <w:multiLevelType w:val="multilevel"/>
    <w:tmpl w:val="B5DC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B54721"/>
    <w:multiLevelType w:val="multilevel"/>
    <w:tmpl w:val="1C622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BC53099"/>
    <w:multiLevelType w:val="multilevel"/>
    <w:tmpl w:val="4E0C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CB20FE"/>
    <w:multiLevelType w:val="multilevel"/>
    <w:tmpl w:val="10307388"/>
    <w:lvl w:ilvl="0">
      <w:start w:val="1"/>
      <w:numFmt w:val="decimal"/>
      <w:pStyle w:val="BulletNumbeered"/>
      <w:lvlText w:val="%1."/>
      <w:lvlJc w:val="left"/>
      <w:pPr>
        <w:tabs>
          <w:tab w:val="num" w:pos="720"/>
        </w:tabs>
        <w:ind w:left="720" w:hanging="360"/>
      </w:pPr>
      <w:rPr>
        <w:rFonts w:ascii="Palatino Linotype" w:hAnsi="Palatino Linotype" w:hint="default"/>
        <w:color w:val="00000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2B06DE"/>
    <w:multiLevelType w:val="hybridMultilevel"/>
    <w:tmpl w:val="DC262F3C"/>
    <w:lvl w:ilvl="0" w:tplc="02E6B3A8">
      <w:numFmt w:val="bullet"/>
      <w:lvlText w:val=""/>
      <w:lvlJc w:val="left"/>
      <w:pPr>
        <w:ind w:left="570" w:hanging="360"/>
      </w:pPr>
      <w:rPr>
        <w:rFonts w:ascii="Wingdings" w:eastAsia="Google Sans Text" w:hAnsi="Wingdings" w:cs="Google Sans Text"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01" w15:restartNumberingAfterBreak="0">
    <w:nsid w:val="3C555179"/>
    <w:multiLevelType w:val="multilevel"/>
    <w:tmpl w:val="CD2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704ADB"/>
    <w:multiLevelType w:val="multilevel"/>
    <w:tmpl w:val="E53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82108F"/>
    <w:multiLevelType w:val="multilevel"/>
    <w:tmpl w:val="CA2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CD2D9E"/>
    <w:multiLevelType w:val="multilevel"/>
    <w:tmpl w:val="8EA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B306FC"/>
    <w:multiLevelType w:val="multilevel"/>
    <w:tmpl w:val="64C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C37C2D"/>
    <w:multiLevelType w:val="multilevel"/>
    <w:tmpl w:val="61600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01E7C60"/>
    <w:multiLevelType w:val="multilevel"/>
    <w:tmpl w:val="6BB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6AA6"/>
    <w:multiLevelType w:val="multilevel"/>
    <w:tmpl w:val="6AA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891277"/>
    <w:multiLevelType w:val="multilevel"/>
    <w:tmpl w:val="0DC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9A090C"/>
    <w:multiLevelType w:val="multilevel"/>
    <w:tmpl w:val="A0067D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41231A37"/>
    <w:multiLevelType w:val="multilevel"/>
    <w:tmpl w:val="D4F2CD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41BC1395"/>
    <w:multiLevelType w:val="multilevel"/>
    <w:tmpl w:val="BC0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823B80"/>
    <w:multiLevelType w:val="multilevel"/>
    <w:tmpl w:val="B12EC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429B79E7"/>
    <w:multiLevelType w:val="multilevel"/>
    <w:tmpl w:val="AFF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DF370F"/>
    <w:multiLevelType w:val="multilevel"/>
    <w:tmpl w:val="14B6D8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430312F6"/>
    <w:multiLevelType w:val="multilevel"/>
    <w:tmpl w:val="274CD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39310B2"/>
    <w:multiLevelType w:val="multilevel"/>
    <w:tmpl w:val="45A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313B65"/>
    <w:multiLevelType w:val="multilevel"/>
    <w:tmpl w:val="7D7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86BF3"/>
    <w:multiLevelType w:val="multilevel"/>
    <w:tmpl w:val="546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A177C8"/>
    <w:multiLevelType w:val="multilevel"/>
    <w:tmpl w:val="ECB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A35442"/>
    <w:multiLevelType w:val="multilevel"/>
    <w:tmpl w:val="7474E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73A371D"/>
    <w:multiLevelType w:val="multilevel"/>
    <w:tmpl w:val="19E2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76D7637"/>
    <w:multiLevelType w:val="multilevel"/>
    <w:tmpl w:val="D708E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477D53A2"/>
    <w:multiLevelType w:val="multilevel"/>
    <w:tmpl w:val="63EC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87F39"/>
    <w:multiLevelType w:val="multilevel"/>
    <w:tmpl w:val="F9C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9241BE"/>
    <w:multiLevelType w:val="multilevel"/>
    <w:tmpl w:val="8A9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D8594D"/>
    <w:multiLevelType w:val="multilevel"/>
    <w:tmpl w:val="3C80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D7063B"/>
    <w:multiLevelType w:val="multilevel"/>
    <w:tmpl w:val="729437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49F03E6A"/>
    <w:multiLevelType w:val="multilevel"/>
    <w:tmpl w:val="349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05674B"/>
    <w:multiLevelType w:val="multilevel"/>
    <w:tmpl w:val="00005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4B51181A"/>
    <w:multiLevelType w:val="multilevel"/>
    <w:tmpl w:val="90361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4B6076AA"/>
    <w:multiLevelType w:val="multilevel"/>
    <w:tmpl w:val="44A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CD2E3D"/>
    <w:multiLevelType w:val="multilevel"/>
    <w:tmpl w:val="243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41C46"/>
    <w:multiLevelType w:val="multilevel"/>
    <w:tmpl w:val="DBE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1B409F"/>
    <w:multiLevelType w:val="multilevel"/>
    <w:tmpl w:val="9D1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6135DC"/>
    <w:multiLevelType w:val="multilevel"/>
    <w:tmpl w:val="EAF4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401538"/>
    <w:multiLevelType w:val="multilevel"/>
    <w:tmpl w:val="5C3A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FDB46EB"/>
    <w:multiLevelType w:val="multilevel"/>
    <w:tmpl w:val="D83E7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503D6F2A"/>
    <w:multiLevelType w:val="hybridMultilevel"/>
    <w:tmpl w:val="CD9A0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50771B82"/>
    <w:multiLevelType w:val="multilevel"/>
    <w:tmpl w:val="00A2A0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51475281"/>
    <w:multiLevelType w:val="multilevel"/>
    <w:tmpl w:val="E204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7A0002"/>
    <w:multiLevelType w:val="multilevel"/>
    <w:tmpl w:val="EFB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D477CD"/>
    <w:multiLevelType w:val="multilevel"/>
    <w:tmpl w:val="88525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8A3A5A"/>
    <w:multiLevelType w:val="multilevel"/>
    <w:tmpl w:val="960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960679"/>
    <w:multiLevelType w:val="multilevel"/>
    <w:tmpl w:val="F96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3B4062"/>
    <w:multiLevelType w:val="multilevel"/>
    <w:tmpl w:val="82384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 w15:restartNumberingAfterBreak="0">
    <w:nsid w:val="5374515C"/>
    <w:multiLevelType w:val="multilevel"/>
    <w:tmpl w:val="118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9E6689"/>
    <w:multiLevelType w:val="multilevel"/>
    <w:tmpl w:val="A5F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BA3144"/>
    <w:multiLevelType w:val="multilevel"/>
    <w:tmpl w:val="794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F044A2"/>
    <w:multiLevelType w:val="multilevel"/>
    <w:tmpl w:val="5942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5670DD9"/>
    <w:multiLevelType w:val="multilevel"/>
    <w:tmpl w:val="C04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594C26"/>
    <w:multiLevelType w:val="multilevel"/>
    <w:tmpl w:val="0976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F40D0E"/>
    <w:multiLevelType w:val="multilevel"/>
    <w:tmpl w:val="1F3A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C84356"/>
    <w:multiLevelType w:val="multilevel"/>
    <w:tmpl w:val="F8A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C52E87"/>
    <w:multiLevelType w:val="multilevel"/>
    <w:tmpl w:val="77B25C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 w15:restartNumberingAfterBreak="0">
    <w:nsid w:val="5ACE56FB"/>
    <w:multiLevelType w:val="multilevel"/>
    <w:tmpl w:val="39B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AD53A6"/>
    <w:multiLevelType w:val="multilevel"/>
    <w:tmpl w:val="78F025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5CC070F0"/>
    <w:multiLevelType w:val="multilevel"/>
    <w:tmpl w:val="D440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D94485"/>
    <w:multiLevelType w:val="multilevel"/>
    <w:tmpl w:val="E612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DB25203"/>
    <w:multiLevelType w:val="multilevel"/>
    <w:tmpl w:val="FF6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430B5C"/>
    <w:multiLevelType w:val="multilevel"/>
    <w:tmpl w:val="0A0E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15B4E"/>
    <w:multiLevelType w:val="multilevel"/>
    <w:tmpl w:val="22D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16094C"/>
    <w:multiLevelType w:val="multilevel"/>
    <w:tmpl w:val="8E2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476DD3"/>
    <w:multiLevelType w:val="multilevel"/>
    <w:tmpl w:val="FC22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5F0A36"/>
    <w:multiLevelType w:val="multilevel"/>
    <w:tmpl w:val="BFB6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FD67132"/>
    <w:multiLevelType w:val="multilevel"/>
    <w:tmpl w:val="939C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60126244"/>
    <w:multiLevelType w:val="multilevel"/>
    <w:tmpl w:val="4856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0846D45"/>
    <w:multiLevelType w:val="multilevel"/>
    <w:tmpl w:val="6E98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A2725D"/>
    <w:multiLevelType w:val="multilevel"/>
    <w:tmpl w:val="3CF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A63F6A"/>
    <w:multiLevelType w:val="multilevel"/>
    <w:tmpl w:val="05945D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62A80EDA"/>
    <w:multiLevelType w:val="multilevel"/>
    <w:tmpl w:val="008E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5163EA"/>
    <w:multiLevelType w:val="multilevel"/>
    <w:tmpl w:val="A9F2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57506A"/>
    <w:multiLevelType w:val="multilevel"/>
    <w:tmpl w:val="4F945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4" w15:restartNumberingAfterBreak="0">
    <w:nsid w:val="638B09D6"/>
    <w:multiLevelType w:val="multilevel"/>
    <w:tmpl w:val="22322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64C53728"/>
    <w:multiLevelType w:val="multilevel"/>
    <w:tmpl w:val="857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095320"/>
    <w:multiLevelType w:val="multilevel"/>
    <w:tmpl w:val="90E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68227F"/>
    <w:multiLevelType w:val="multilevel"/>
    <w:tmpl w:val="4DB21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66132AA6"/>
    <w:multiLevelType w:val="multilevel"/>
    <w:tmpl w:val="B90C9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A43AFE"/>
    <w:multiLevelType w:val="multilevel"/>
    <w:tmpl w:val="9E8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A867E0"/>
    <w:multiLevelType w:val="multilevel"/>
    <w:tmpl w:val="B482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735F5F"/>
    <w:multiLevelType w:val="multilevel"/>
    <w:tmpl w:val="2DE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EE44CA"/>
    <w:multiLevelType w:val="multilevel"/>
    <w:tmpl w:val="64C8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94423F9"/>
    <w:multiLevelType w:val="multilevel"/>
    <w:tmpl w:val="82903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6A5929D9"/>
    <w:multiLevelType w:val="multilevel"/>
    <w:tmpl w:val="6B0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A45C92"/>
    <w:multiLevelType w:val="multilevel"/>
    <w:tmpl w:val="0E5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B270AE9"/>
    <w:multiLevelType w:val="multilevel"/>
    <w:tmpl w:val="9BC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421227"/>
    <w:multiLevelType w:val="multilevel"/>
    <w:tmpl w:val="0974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C0B320D"/>
    <w:multiLevelType w:val="multilevel"/>
    <w:tmpl w:val="ADD2F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6D6A3EDD"/>
    <w:multiLevelType w:val="multilevel"/>
    <w:tmpl w:val="CC64B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705C5C3B"/>
    <w:multiLevelType w:val="multilevel"/>
    <w:tmpl w:val="00A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66477D"/>
    <w:multiLevelType w:val="multilevel"/>
    <w:tmpl w:val="A3F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1802C8"/>
    <w:multiLevelType w:val="multilevel"/>
    <w:tmpl w:val="8DB03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E65512"/>
    <w:multiLevelType w:val="multilevel"/>
    <w:tmpl w:val="A19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55063F"/>
    <w:multiLevelType w:val="multilevel"/>
    <w:tmpl w:val="97C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294A23"/>
    <w:multiLevelType w:val="multilevel"/>
    <w:tmpl w:val="D3B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E56B79"/>
    <w:multiLevelType w:val="multilevel"/>
    <w:tmpl w:val="1A406078"/>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7" w15:restartNumberingAfterBreak="0">
    <w:nsid w:val="750517B4"/>
    <w:multiLevelType w:val="multilevel"/>
    <w:tmpl w:val="0512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284068"/>
    <w:multiLevelType w:val="multilevel"/>
    <w:tmpl w:val="175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EB7ECE"/>
    <w:multiLevelType w:val="multilevel"/>
    <w:tmpl w:val="F036D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76A27427"/>
    <w:multiLevelType w:val="multilevel"/>
    <w:tmpl w:val="999A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6AC6782"/>
    <w:multiLevelType w:val="multilevel"/>
    <w:tmpl w:val="43E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C53E48"/>
    <w:multiLevelType w:val="multilevel"/>
    <w:tmpl w:val="2FAE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D33B8C"/>
    <w:multiLevelType w:val="hybridMultilevel"/>
    <w:tmpl w:val="49D0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7DD3312"/>
    <w:multiLevelType w:val="multilevel"/>
    <w:tmpl w:val="E6BA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036894"/>
    <w:multiLevelType w:val="multilevel"/>
    <w:tmpl w:val="A99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471EAC"/>
    <w:multiLevelType w:val="multilevel"/>
    <w:tmpl w:val="B47C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7456D3"/>
    <w:multiLevelType w:val="multilevel"/>
    <w:tmpl w:val="460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883C65"/>
    <w:multiLevelType w:val="multilevel"/>
    <w:tmpl w:val="4C78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89700DA"/>
    <w:multiLevelType w:val="multilevel"/>
    <w:tmpl w:val="991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2305A9"/>
    <w:multiLevelType w:val="multilevel"/>
    <w:tmpl w:val="9E1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365BF8"/>
    <w:multiLevelType w:val="multilevel"/>
    <w:tmpl w:val="EFC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3708FA"/>
    <w:multiLevelType w:val="multilevel"/>
    <w:tmpl w:val="3C9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4D501E"/>
    <w:multiLevelType w:val="multilevel"/>
    <w:tmpl w:val="BF9E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E77127"/>
    <w:multiLevelType w:val="multilevel"/>
    <w:tmpl w:val="65D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4443B6"/>
    <w:multiLevelType w:val="multilevel"/>
    <w:tmpl w:val="AC2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A73D30"/>
    <w:multiLevelType w:val="multilevel"/>
    <w:tmpl w:val="215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0010AD"/>
    <w:multiLevelType w:val="multilevel"/>
    <w:tmpl w:val="501CB682"/>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DB5ACA"/>
    <w:multiLevelType w:val="multilevel"/>
    <w:tmpl w:val="639E3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7C7E3B92"/>
    <w:multiLevelType w:val="multilevel"/>
    <w:tmpl w:val="01EA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C7F6CDD"/>
    <w:multiLevelType w:val="multilevel"/>
    <w:tmpl w:val="5F2A6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7D3D6381"/>
    <w:multiLevelType w:val="multilevel"/>
    <w:tmpl w:val="216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5414AD"/>
    <w:multiLevelType w:val="hybridMultilevel"/>
    <w:tmpl w:val="4496C5C6"/>
    <w:lvl w:ilvl="0" w:tplc="8430AA3C">
      <w:numFmt w:val="bullet"/>
      <w:lvlText w:val=""/>
      <w:lvlJc w:val="left"/>
      <w:pPr>
        <w:ind w:left="720" w:hanging="360"/>
      </w:pPr>
      <w:rPr>
        <w:rFonts w:ascii="Wingdings" w:eastAsia="Google Sans Text" w:hAnsi="Wingdings"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FF64CDF"/>
    <w:multiLevelType w:val="multilevel"/>
    <w:tmpl w:val="9B80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747649596">
    <w:abstractNumId w:val="131"/>
  </w:num>
  <w:num w:numId="2" w16cid:durableId="883911778">
    <w:abstractNumId w:val="95"/>
  </w:num>
  <w:num w:numId="3" w16cid:durableId="551618336">
    <w:abstractNumId w:val="84"/>
  </w:num>
  <w:num w:numId="4" w16cid:durableId="1401296210">
    <w:abstractNumId w:val="140"/>
  </w:num>
  <w:num w:numId="5" w16cid:durableId="617958071">
    <w:abstractNumId w:val="26"/>
  </w:num>
  <w:num w:numId="6" w16cid:durableId="1880437804">
    <w:abstractNumId w:val="170"/>
  </w:num>
  <w:num w:numId="7" w16cid:durableId="361174028">
    <w:abstractNumId w:val="52"/>
  </w:num>
  <w:num w:numId="8" w16cid:durableId="1960448749">
    <w:abstractNumId w:val="115"/>
  </w:num>
  <w:num w:numId="9" w16cid:durableId="2098363378">
    <w:abstractNumId w:val="42"/>
  </w:num>
  <w:num w:numId="10" w16cid:durableId="1077435058">
    <w:abstractNumId w:val="157"/>
  </w:num>
  <w:num w:numId="11" w16cid:durableId="327710405">
    <w:abstractNumId w:val="130"/>
  </w:num>
  <w:num w:numId="12" w16cid:durableId="1449854649">
    <w:abstractNumId w:val="65"/>
  </w:num>
  <w:num w:numId="13" w16cid:durableId="167453876">
    <w:abstractNumId w:val="111"/>
  </w:num>
  <w:num w:numId="14" w16cid:durableId="188833294">
    <w:abstractNumId w:val="100"/>
  </w:num>
  <w:num w:numId="15" w16cid:durableId="872885304">
    <w:abstractNumId w:val="190"/>
  </w:num>
  <w:num w:numId="16" w16cid:durableId="229772076">
    <w:abstractNumId w:val="222"/>
  </w:num>
  <w:num w:numId="17" w16cid:durableId="6180342">
    <w:abstractNumId w:val="90"/>
  </w:num>
  <w:num w:numId="18" w16cid:durableId="2035112719">
    <w:abstractNumId w:val="31"/>
  </w:num>
  <w:num w:numId="19" w16cid:durableId="342361198">
    <w:abstractNumId w:val="75"/>
  </w:num>
  <w:num w:numId="20" w16cid:durableId="277031651">
    <w:abstractNumId w:val="109"/>
  </w:num>
  <w:num w:numId="21" w16cid:durableId="720052681">
    <w:abstractNumId w:val="37"/>
  </w:num>
  <w:num w:numId="22" w16cid:durableId="190803654">
    <w:abstractNumId w:val="4"/>
  </w:num>
  <w:num w:numId="23" w16cid:durableId="1334071851">
    <w:abstractNumId w:val="9"/>
  </w:num>
  <w:num w:numId="24" w16cid:durableId="1652640673">
    <w:abstractNumId w:val="195"/>
  </w:num>
  <w:num w:numId="25" w16cid:durableId="456874883">
    <w:abstractNumId w:val="68"/>
  </w:num>
  <w:num w:numId="26" w16cid:durableId="604506644">
    <w:abstractNumId w:val="137"/>
  </w:num>
  <w:num w:numId="27" w16cid:durableId="948010113">
    <w:abstractNumId w:val="148"/>
  </w:num>
  <w:num w:numId="28" w16cid:durableId="205262988">
    <w:abstractNumId w:val="172"/>
  </w:num>
  <w:num w:numId="29" w16cid:durableId="1969043435">
    <w:abstractNumId w:val="62"/>
  </w:num>
  <w:num w:numId="30" w16cid:durableId="631597432">
    <w:abstractNumId w:val="64"/>
  </w:num>
  <w:num w:numId="31" w16cid:durableId="1556429664">
    <w:abstractNumId w:val="221"/>
  </w:num>
  <w:num w:numId="32" w16cid:durableId="632832415">
    <w:abstractNumId w:val="39"/>
  </w:num>
  <w:num w:numId="33" w16cid:durableId="1395003120">
    <w:abstractNumId w:val="76"/>
  </w:num>
  <w:num w:numId="34" w16cid:durableId="34896189">
    <w:abstractNumId w:val="85"/>
  </w:num>
  <w:num w:numId="35" w16cid:durableId="429008878">
    <w:abstractNumId w:val="61"/>
  </w:num>
  <w:num w:numId="36" w16cid:durableId="1528762483">
    <w:abstractNumId w:val="12"/>
  </w:num>
  <w:num w:numId="37" w16cid:durableId="212086747">
    <w:abstractNumId w:val="125"/>
  </w:num>
  <w:num w:numId="38" w16cid:durableId="989136311">
    <w:abstractNumId w:val="175"/>
  </w:num>
  <w:num w:numId="39" w16cid:durableId="1379429444">
    <w:abstractNumId w:val="168"/>
  </w:num>
  <w:num w:numId="40" w16cid:durableId="570581103">
    <w:abstractNumId w:val="82"/>
  </w:num>
  <w:num w:numId="41" w16cid:durableId="890919220">
    <w:abstractNumId w:val="135"/>
  </w:num>
  <w:num w:numId="42" w16cid:durableId="48462462">
    <w:abstractNumId w:val="102"/>
  </w:num>
  <w:num w:numId="43" w16cid:durableId="1520923415">
    <w:abstractNumId w:val="50"/>
  </w:num>
  <w:num w:numId="44" w16cid:durableId="1588686787">
    <w:abstractNumId w:val="211"/>
  </w:num>
  <w:num w:numId="45" w16cid:durableId="393967326">
    <w:abstractNumId w:val="15"/>
  </w:num>
  <w:num w:numId="46" w16cid:durableId="438061699">
    <w:abstractNumId w:val="185"/>
  </w:num>
  <w:num w:numId="47" w16cid:durableId="1190754953">
    <w:abstractNumId w:val="81"/>
  </w:num>
  <w:num w:numId="48" w16cid:durableId="90248742">
    <w:abstractNumId w:val="181"/>
  </w:num>
  <w:num w:numId="49" w16cid:durableId="917178225">
    <w:abstractNumId w:val="165"/>
  </w:num>
  <w:num w:numId="50" w16cid:durableId="396244404">
    <w:abstractNumId w:val="20"/>
  </w:num>
  <w:num w:numId="51" w16cid:durableId="585001513">
    <w:abstractNumId w:val="16"/>
  </w:num>
  <w:num w:numId="52" w16cid:durableId="585965262">
    <w:abstractNumId w:val="169"/>
  </w:num>
  <w:num w:numId="53" w16cid:durableId="685837071">
    <w:abstractNumId w:val="210"/>
  </w:num>
  <w:num w:numId="54" w16cid:durableId="1576474405">
    <w:abstractNumId w:val="104"/>
  </w:num>
  <w:num w:numId="55" w16cid:durableId="633945348">
    <w:abstractNumId w:val="118"/>
  </w:num>
  <w:num w:numId="56" w16cid:durableId="294991950">
    <w:abstractNumId w:val="209"/>
  </w:num>
  <w:num w:numId="57" w16cid:durableId="61804189">
    <w:abstractNumId w:val="122"/>
  </w:num>
  <w:num w:numId="58" w16cid:durableId="1165320625">
    <w:abstractNumId w:val="117"/>
  </w:num>
  <w:num w:numId="59" w16cid:durableId="827089927">
    <w:abstractNumId w:val="25"/>
  </w:num>
  <w:num w:numId="60" w16cid:durableId="2043819265">
    <w:abstractNumId w:val="94"/>
  </w:num>
  <w:num w:numId="61" w16cid:durableId="708606461">
    <w:abstractNumId w:val="63"/>
  </w:num>
  <w:num w:numId="62" w16cid:durableId="1864438336">
    <w:abstractNumId w:val="108"/>
  </w:num>
  <w:num w:numId="63" w16cid:durableId="1345788721">
    <w:abstractNumId w:val="149"/>
  </w:num>
  <w:num w:numId="64" w16cid:durableId="960696726">
    <w:abstractNumId w:val="154"/>
  </w:num>
  <w:num w:numId="65" w16cid:durableId="1873609506">
    <w:abstractNumId w:val="160"/>
  </w:num>
  <w:num w:numId="66" w16cid:durableId="460268879">
    <w:abstractNumId w:val="153"/>
  </w:num>
  <w:num w:numId="67" w16cid:durableId="1858152858">
    <w:abstractNumId w:val="171"/>
  </w:num>
  <w:num w:numId="68" w16cid:durableId="83035268">
    <w:abstractNumId w:val="59"/>
  </w:num>
  <w:num w:numId="69" w16cid:durableId="1764715511">
    <w:abstractNumId w:val="147"/>
  </w:num>
  <w:num w:numId="70" w16cid:durableId="1237745521">
    <w:abstractNumId w:val="58"/>
  </w:num>
  <w:num w:numId="71" w16cid:durableId="669791037">
    <w:abstractNumId w:val="152"/>
  </w:num>
  <w:num w:numId="72" w16cid:durableId="2082557437">
    <w:abstractNumId w:val="18"/>
  </w:num>
  <w:num w:numId="73" w16cid:durableId="1841432104">
    <w:abstractNumId w:val="53"/>
  </w:num>
  <w:num w:numId="74" w16cid:durableId="1948850038">
    <w:abstractNumId w:val="73"/>
  </w:num>
  <w:num w:numId="75" w16cid:durableId="2109884301">
    <w:abstractNumId w:val="129"/>
  </w:num>
  <w:num w:numId="76" w16cid:durableId="1018241483">
    <w:abstractNumId w:val="93"/>
  </w:num>
  <w:num w:numId="77" w16cid:durableId="132062523">
    <w:abstractNumId w:val="34"/>
  </w:num>
  <w:num w:numId="78" w16cid:durableId="1863547834">
    <w:abstractNumId w:val="41"/>
  </w:num>
  <w:num w:numId="79" w16cid:durableId="1831361123">
    <w:abstractNumId w:val="87"/>
  </w:num>
  <w:num w:numId="80" w16cid:durableId="1726299848">
    <w:abstractNumId w:val="150"/>
  </w:num>
  <w:num w:numId="81" w16cid:durableId="1483044302">
    <w:abstractNumId w:val="136"/>
  </w:num>
  <w:num w:numId="82" w16cid:durableId="1479616947">
    <w:abstractNumId w:val="40"/>
  </w:num>
  <w:num w:numId="83" w16cid:durableId="947082019">
    <w:abstractNumId w:val="98"/>
  </w:num>
  <w:num w:numId="84" w16cid:durableId="1303778409">
    <w:abstractNumId w:val="96"/>
  </w:num>
  <w:num w:numId="85" w16cid:durableId="2100783447">
    <w:abstractNumId w:val="69"/>
  </w:num>
  <w:num w:numId="86" w16cid:durableId="70858142">
    <w:abstractNumId w:val="214"/>
  </w:num>
  <w:num w:numId="87" w16cid:durableId="859120519">
    <w:abstractNumId w:val="158"/>
  </w:num>
  <w:num w:numId="88" w16cid:durableId="1476987612">
    <w:abstractNumId w:val="78"/>
  </w:num>
  <w:num w:numId="89" w16cid:durableId="1762141280">
    <w:abstractNumId w:val="141"/>
  </w:num>
  <w:num w:numId="90" w16cid:durableId="1976909139">
    <w:abstractNumId w:val="66"/>
  </w:num>
  <w:num w:numId="91" w16cid:durableId="430398597">
    <w:abstractNumId w:val="223"/>
  </w:num>
  <w:num w:numId="92" w16cid:durableId="1173959403">
    <w:abstractNumId w:val="46"/>
  </w:num>
  <w:num w:numId="93" w16cid:durableId="434906350">
    <w:abstractNumId w:val="28"/>
  </w:num>
  <w:num w:numId="94" w16cid:durableId="662706413">
    <w:abstractNumId w:val="213"/>
  </w:num>
  <w:num w:numId="95" w16cid:durableId="1360276423">
    <w:abstractNumId w:val="14"/>
  </w:num>
  <w:num w:numId="96" w16cid:durableId="599145869">
    <w:abstractNumId w:val="86"/>
  </w:num>
  <w:num w:numId="97" w16cid:durableId="1570654677">
    <w:abstractNumId w:val="119"/>
  </w:num>
  <w:num w:numId="98" w16cid:durableId="362681795">
    <w:abstractNumId w:val="91"/>
  </w:num>
  <w:num w:numId="99" w16cid:durableId="441269114">
    <w:abstractNumId w:val="3"/>
  </w:num>
  <w:num w:numId="100" w16cid:durableId="1562204398">
    <w:abstractNumId w:val="202"/>
  </w:num>
  <w:num w:numId="101" w16cid:durableId="779378611">
    <w:abstractNumId w:val="164"/>
  </w:num>
  <w:num w:numId="102" w16cid:durableId="1784494982">
    <w:abstractNumId w:val="77"/>
  </w:num>
  <w:num w:numId="103" w16cid:durableId="1595743273">
    <w:abstractNumId w:val="124"/>
  </w:num>
  <w:num w:numId="104" w16cid:durableId="273904660">
    <w:abstractNumId w:val="54"/>
  </w:num>
  <w:num w:numId="105" w16cid:durableId="1976182414">
    <w:abstractNumId w:val="204"/>
  </w:num>
  <w:num w:numId="106" w16cid:durableId="1446851035">
    <w:abstractNumId w:val="216"/>
  </w:num>
  <w:num w:numId="107" w16cid:durableId="872379869">
    <w:abstractNumId w:val="191"/>
  </w:num>
  <w:num w:numId="108" w16cid:durableId="1020009137">
    <w:abstractNumId w:val="178"/>
  </w:num>
  <w:num w:numId="109" w16cid:durableId="1810896960">
    <w:abstractNumId w:val="27"/>
  </w:num>
  <w:num w:numId="110" w16cid:durableId="248320358">
    <w:abstractNumId w:val="207"/>
  </w:num>
  <w:num w:numId="111" w16cid:durableId="1000347546">
    <w:abstractNumId w:val="92"/>
  </w:num>
  <w:num w:numId="112" w16cid:durableId="1907837805">
    <w:abstractNumId w:val="60"/>
  </w:num>
  <w:num w:numId="113" w16cid:durableId="1805923039">
    <w:abstractNumId w:val="205"/>
  </w:num>
  <w:num w:numId="114" w16cid:durableId="1767336736">
    <w:abstractNumId w:val="193"/>
  </w:num>
  <w:num w:numId="115" w16cid:durableId="2134669207">
    <w:abstractNumId w:val="17"/>
  </w:num>
  <w:num w:numId="116" w16cid:durableId="727189156">
    <w:abstractNumId w:val="67"/>
  </w:num>
  <w:num w:numId="117" w16cid:durableId="233322434">
    <w:abstractNumId w:val="5"/>
  </w:num>
  <w:num w:numId="118" w16cid:durableId="2063097559">
    <w:abstractNumId w:val="103"/>
  </w:num>
  <w:num w:numId="119" w16cid:durableId="1742799338">
    <w:abstractNumId w:val="88"/>
  </w:num>
  <w:num w:numId="120" w16cid:durableId="1761415645">
    <w:abstractNumId w:val="151"/>
  </w:num>
  <w:num w:numId="121" w16cid:durableId="1687439585">
    <w:abstractNumId w:val="133"/>
  </w:num>
  <w:num w:numId="122" w16cid:durableId="431704298">
    <w:abstractNumId w:val="44"/>
  </w:num>
  <w:num w:numId="123" w16cid:durableId="255482916">
    <w:abstractNumId w:val="208"/>
  </w:num>
  <w:num w:numId="124" w16cid:durableId="1178806444">
    <w:abstractNumId w:val="33"/>
  </w:num>
  <w:num w:numId="125" w16cid:durableId="1847548474">
    <w:abstractNumId w:val="184"/>
  </w:num>
  <w:num w:numId="126" w16cid:durableId="350498717">
    <w:abstractNumId w:val="55"/>
  </w:num>
  <w:num w:numId="127" w16cid:durableId="2145155337">
    <w:abstractNumId w:val="145"/>
  </w:num>
  <w:num w:numId="128" w16cid:durableId="614404026">
    <w:abstractNumId w:val="30"/>
  </w:num>
  <w:num w:numId="129" w16cid:durableId="1205170905">
    <w:abstractNumId w:val="182"/>
  </w:num>
  <w:num w:numId="130" w16cid:durableId="1741444944">
    <w:abstractNumId w:val="197"/>
  </w:num>
  <w:num w:numId="131" w16cid:durableId="122040359">
    <w:abstractNumId w:val="83"/>
  </w:num>
  <w:num w:numId="132" w16cid:durableId="304970797">
    <w:abstractNumId w:val="35"/>
  </w:num>
  <w:num w:numId="133" w16cid:durableId="1755128469">
    <w:abstractNumId w:val="74"/>
  </w:num>
  <w:num w:numId="134" w16cid:durableId="542442443">
    <w:abstractNumId w:val="167"/>
  </w:num>
  <w:num w:numId="135" w16cid:durableId="78409045">
    <w:abstractNumId w:val="194"/>
  </w:num>
  <w:num w:numId="136" w16cid:durableId="383720759">
    <w:abstractNumId w:val="127"/>
  </w:num>
  <w:num w:numId="137" w16cid:durableId="451485696">
    <w:abstractNumId w:val="10"/>
  </w:num>
  <w:num w:numId="138" w16cid:durableId="1803688526">
    <w:abstractNumId w:val="217"/>
  </w:num>
  <w:num w:numId="139" w16cid:durableId="1014577321">
    <w:abstractNumId w:val="180"/>
  </w:num>
  <w:num w:numId="140" w16cid:durableId="387850445">
    <w:abstractNumId w:val="212"/>
  </w:num>
  <w:num w:numId="141" w16cid:durableId="743575082">
    <w:abstractNumId w:val="43"/>
  </w:num>
  <w:num w:numId="142" w16cid:durableId="2039888707">
    <w:abstractNumId w:val="45"/>
  </w:num>
  <w:num w:numId="143" w16cid:durableId="223638892">
    <w:abstractNumId w:val="22"/>
  </w:num>
  <w:num w:numId="144" w16cid:durableId="1260404991">
    <w:abstractNumId w:val="155"/>
  </w:num>
  <w:num w:numId="145" w16cid:durableId="1420831479">
    <w:abstractNumId w:val="138"/>
  </w:num>
  <w:num w:numId="146" w16cid:durableId="604266570">
    <w:abstractNumId w:val="183"/>
  </w:num>
  <w:num w:numId="147" w16cid:durableId="939728177">
    <w:abstractNumId w:val="220"/>
  </w:num>
  <w:num w:numId="148" w16cid:durableId="1851791108">
    <w:abstractNumId w:val="106"/>
  </w:num>
  <w:num w:numId="149" w16cid:durableId="1802646557">
    <w:abstractNumId w:val="110"/>
  </w:num>
  <w:num w:numId="150" w16cid:durableId="61224333">
    <w:abstractNumId w:val="173"/>
  </w:num>
  <w:num w:numId="151" w16cid:durableId="561259417">
    <w:abstractNumId w:val="199"/>
  </w:num>
  <w:num w:numId="152" w16cid:durableId="1758401630">
    <w:abstractNumId w:val="79"/>
  </w:num>
  <w:num w:numId="153" w16cid:durableId="908156862">
    <w:abstractNumId w:val="166"/>
  </w:num>
  <w:num w:numId="154" w16cid:durableId="1323583325">
    <w:abstractNumId w:val="7"/>
  </w:num>
  <w:num w:numId="155" w16cid:durableId="561017569">
    <w:abstractNumId w:val="128"/>
  </w:num>
  <w:num w:numId="156" w16cid:durableId="306250680">
    <w:abstractNumId w:val="113"/>
  </w:num>
  <w:num w:numId="157" w16cid:durableId="142476682">
    <w:abstractNumId w:val="49"/>
  </w:num>
  <w:num w:numId="158" w16cid:durableId="2130510687">
    <w:abstractNumId w:val="146"/>
  </w:num>
  <w:num w:numId="159" w16cid:durableId="1998610819">
    <w:abstractNumId w:val="189"/>
  </w:num>
  <w:num w:numId="160" w16cid:durableId="1897083838">
    <w:abstractNumId w:val="123"/>
  </w:num>
  <w:num w:numId="161" w16cid:durableId="2110814498">
    <w:abstractNumId w:val="72"/>
  </w:num>
  <w:num w:numId="162" w16cid:durableId="306516272">
    <w:abstractNumId w:val="51"/>
  </w:num>
  <w:num w:numId="163" w16cid:durableId="272129454">
    <w:abstractNumId w:val="188"/>
  </w:num>
  <w:num w:numId="164" w16cid:durableId="1988165822">
    <w:abstractNumId w:val="196"/>
  </w:num>
  <w:num w:numId="165" w16cid:durableId="2118671223">
    <w:abstractNumId w:val="116"/>
  </w:num>
  <w:num w:numId="166" w16cid:durableId="1229733423">
    <w:abstractNumId w:val="80"/>
  </w:num>
  <w:num w:numId="167" w16cid:durableId="1898123009">
    <w:abstractNumId w:val="29"/>
  </w:num>
  <w:num w:numId="168" w16cid:durableId="621108653">
    <w:abstractNumId w:val="218"/>
  </w:num>
  <w:num w:numId="169" w16cid:durableId="1759712268">
    <w:abstractNumId w:val="174"/>
  </w:num>
  <w:num w:numId="170" w16cid:durableId="381559796">
    <w:abstractNumId w:val="97"/>
  </w:num>
  <w:num w:numId="171" w16cid:durableId="839583911">
    <w:abstractNumId w:val="24"/>
  </w:num>
  <w:num w:numId="172" w16cid:durableId="638343574">
    <w:abstractNumId w:val="177"/>
  </w:num>
  <w:num w:numId="173" w16cid:durableId="1498114944">
    <w:abstractNumId w:val="121"/>
  </w:num>
  <w:num w:numId="174" w16cid:durableId="282221">
    <w:abstractNumId w:val="1"/>
  </w:num>
  <w:num w:numId="175" w16cid:durableId="795022705">
    <w:abstractNumId w:val="134"/>
  </w:num>
  <w:num w:numId="176" w16cid:durableId="1793330212">
    <w:abstractNumId w:val="219"/>
  </w:num>
  <w:num w:numId="177" w16cid:durableId="1938518194">
    <w:abstractNumId w:val="176"/>
  </w:num>
  <w:num w:numId="178" w16cid:durableId="14890569">
    <w:abstractNumId w:val="159"/>
  </w:num>
  <w:num w:numId="179" w16cid:durableId="591351588">
    <w:abstractNumId w:val="70"/>
  </w:num>
  <w:num w:numId="180" w16cid:durableId="1617181281">
    <w:abstractNumId w:val="23"/>
  </w:num>
  <w:num w:numId="181" w16cid:durableId="614016924">
    <w:abstractNumId w:val="161"/>
  </w:num>
  <w:num w:numId="182" w16cid:durableId="1333292323">
    <w:abstractNumId w:val="142"/>
  </w:num>
  <w:num w:numId="183" w16cid:durableId="615454769">
    <w:abstractNumId w:val="57"/>
  </w:num>
  <w:num w:numId="184" w16cid:durableId="748966063">
    <w:abstractNumId w:val="105"/>
  </w:num>
  <w:num w:numId="185" w16cid:durableId="356273885">
    <w:abstractNumId w:val="11"/>
  </w:num>
  <w:num w:numId="186" w16cid:durableId="1852723124">
    <w:abstractNumId w:val="163"/>
  </w:num>
  <w:num w:numId="187" w16cid:durableId="18120394">
    <w:abstractNumId w:val="206"/>
  </w:num>
  <w:num w:numId="188" w16cid:durableId="230623623">
    <w:abstractNumId w:val="186"/>
  </w:num>
  <w:num w:numId="189" w16cid:durableId="6950476">
    <w:abstractNumId w:val="47"/>
  </w:num>
  <w:num w:numId="190" w16cid:durableId="1227447919">
    <w:abstractNumId w:val="71"/>
  </w:num>
  <w:num w:numId="191" w16cid:durableId="983000034">
    <w:abstractNumId w:val="0"/>
  </w:num>
  <w:num w:numId="192" w16cid:durableId="1565948638">
    <w:abstractNumId w:val="126"/>
  </w:num>
  <w:num w:numId="193" w16cid:durableId="1156800600">
    <w:abstractNumId w:val="179"/>
  </w:num>
  <w:num w:numId="194" w16cid:durableId="1646157175">
    <w:abstractNumId w:val="187"/>
  </w:num>
  <w:num w:numId="195" w16cid:durableId="81727290">
    <w:abstractNumId w:val="89"/>
  </w:num>
  <w:num w:numId="196" w16cid:durableId="187062853">
    <w:abstractNumId w:val="120"/>
  </w:num>
  <w:num w:numId="197" w16cid:durableId="1971010502">
    <w:abstractNumId w:val="192"/>
  </w:num>
  <w:num w:numId="198" w16cid:durableId="910696221">
    <w:abstractNumId w:val="132"/>
  </w:num>
  <w:num w:numId="199" w16cid:durableId="120730720">
    <w:abstractNumId w:val="144"/>
  </w:num>
  <w:num w:numId="200" w16cid:durableId="1640064950">
    <w:abstractNumId w:val="99"/>
  </w:num>
  <w:num w:numId="201" w16cid:durableId="2025741294">
    <w:abstractNumId w:val="13"/>
  </w:num>
  <w:num w:numId="202" w16cid:durableId="1349016807">
    <w:abstractNumId w:val="201"/>
  </w:num>
  <w:num w:numId="203" w16cid:durableId="8457100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508639595">
    <w:abstractNumId w:val="215"/>
  </w:num>
  <w:num w:numId="205" w16cid:durableId="1107703135">
    <w:abstractNumId w:val="6"/>
  </w:num>
  <w:num w:numId="206" w16cid:durableId="618339373">
    <w:abstractNumId w:val="198"/>
  </w:num>
  <w:num w:numId="207" w16cid:durableId="1250888040">
    <w:abstractNumId w:val="32"/>
  </w:num>
  <w:num w:numId="208" w16cid:durableId="1838761143">
    <w:abstractNumId w:val="38"/>
  </w:num>
  <w:num w:numId="209" w16cid:durableId="1559432910">
    <w:abstractNumId w:val="114"/>
  </w:num>
  <w:num w:numId="210" w16cid:durableId="486094217">
    <w:abstractNumId w:val="156"/>
  </w:num>
  <w:num w:numId="211" w16cid:durableId="1979797098">
    <w:abstractNumId w:val="56"/>
  </w:num>
  <w:num w:numId="212" w16cid:durableId="1629314137">
    <w:abstractNumId w:val="21"/>
  </w:num>
  <w:num w:numId="213" w16cid:durableId="1419329223">
    <w:abstractNumId w:val="112"/>
  </w:num>
  <w:num w:numId="214" w16cid:durableId="1961256641">
    <w:abstractNumId w:val="200"/>
  </w:num>
  <w:num w:numId="215" w16cid:durableId="927808271">
    <w:abstractNumId w:val="101"/>
  </w:num>
  <w:num w:numId="216" w16cid:durableId="1905752237">
    <w:abstractNumId w:val="139"/>
  </w:num>
  <w:num w:numId="217" w16cid:durableId="1445735079">
    <w:abstractNumId w:val="8"/>
  </w:num>
  <w:num w:numId="218" w16cid:durableId="1090738500">
    <w:abstractNumId w:val="143"/>
  </w:num>
  <w:num w:numId="219" w16cid:durableId="1248925017">
    <w:abstractNumId w:val="36"/>
  </w:num>
  <w:num w:numId="220" w16cid:durableId="364722671">
    <w:abstractNumId w:val="48"/>
  </w:num>
  <w:num w:numId="221" w16cid:durableId="985012261">
    <w:abstractNumId w:val="19"/>
  </w:num>
  <w:num w:numId="222" w16cid:durableId="1527255727">
    <w:abstractNumId w:val="203"/>
  </w:num>
  <w:num w:numId="223" w16cid:durableId="1874999020">
    <w:abstractNumId w:val="107"/>
  </w:num>
  <w:num w:numId="224" w16cid:durableId="2130203210">
    <w:abstractNumId w:val="162"/>
  </w:num>
  <w:num w:numId="225" w16cid:durableId="1772044163">
    <w:abstractNumId w:val="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90"/>
    <w:rPr>
      <w:rFonts w:ascii="Palatino Linotype" w:hAnsi="Palatino Linotype"/>
      <w:sz w:val="22"/>
    </w:rPr>
  </w:style>
  <w:style w:type="paragraph" w:styleId="Heading1">
    <w:name w:val="heading 1"/>
    <w:basedOn w:val="Normal"/>
    <w:next w:val="Normal"/>
    <w:link w:val="Heading1Char"/>
    <w:uiPriority w:val="9"/>
    <w:qFormat/>
    <w:rsid w:val="00456CD0"/>
    <w:pPr>
      <w:keepNext/>
      <w:keepLines/>
      <w:spacing w:after="240"/>
      <w:outlineLvl w:val="0"/>
    </w:pPr>
    <w:rPr>
      <w:rFonts w:ascii="Source Sans Pro" w:eastAsiaTheme="majorEastAsia" w:hAnsi="Source Sans Pro" w:cstheme="majorBidi"/>
      <w:b/>
      <w:color w:val="164432"/>
      <w:sz w:val="40"/>
      <w:szCs w:val="40"/>
    </w:rPr>
  </w:style>
  <w:style w:type="paragraph" w:styleId="Heading2">
    <w:name w:val="heading 2"/>
    <w:basedOn w:val="Normal"/>
    <w:next w:val="Normal"/>
    <w:link w:val="Heading2Char"/>
    <w:uiPriority w:val="9"/>
    <w:unhideWhenUsed/>
    <w:qFormat/>
    <w:rsid w:val="00456CD0"/>
    <w:pPr>
      <w:keepNext/>
      <w:keepLines/>
      <w:spacing w:before="360" w:after="120"/>
      <w:outlineLvl w:val="1"/>
    </w:pPr>
    <w:rPr>
      <w:rFonts w:ascii="Source Sans Pro" w:eastAsiaTheme="majorEastAsia" w:hAnsi="Source Sans Pro" w:cstheme="majorBidi"/>
      <w:color w:val="164432"/>
      <w:sz w:val="32"/>
      <w:szCs w:val="32"/>
    </w:rPr>
  </w:style>
  <w:style w:type="paragraph" w:styleId="Heading3">
    <w:name w:val="heading 3"/>
    <w:basedOn w:val="Normal"/>
    <w:next w:val="Normal"/>
    <w:link w:val="Heading3Char"/>
    <w:uiPriority w:val="9"/>
    <w:unhideWhenUsed/>
    <w:qFormat/>
    <w:rsid w:val="0076240E"/>
    <w:pPr>
      <w:keepNext/>
      <w:keepLines/>
      <w:spacing w:before="160" w:after="80"/>
      <w:outlineLvl w:val="2"/>
    </w:pPr>
    <w:rPr>
      <w:rFonts w:ascii="Source Sans Pro" w:eastAsiaTheme="majorEastAsia" w:hAnsi="Source Sans Pro" w:cstheme="majorBidi"/>
      <w:color w:val="164432"/>
      <w:sz w:val="28"/>
      <w:szCs w:val="28"/>
    </w:rPr>
  </w:style>
  <w:style w:type="paragraph" w:styleId="Heading4">
    <w:name w:val="heading 4"/>
    <w:basedOn w:val="Normal"/>
    <w:next w:val="Normal"/>
    <w:link w:val="Heading4Char"/>
    <w:uiPriority w:val="9"/>
    <w:unhideWhenUsed/>
    <w:qFormat/>
    <w:rsid w:val="00011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D0"/>
    <w:rPr>
      <w:rFonts w:ascii="Source Sans Pro" w:eastAsiaTheme="majorEastAsia" w:hAnsi="Source Sans Pro" w:cstheme="majorBidi"/>
      <w:b/>
      <w:color w:val="164432"/>
      <w:sz w:val="40"/>
      <w:szCs w:val="40"/>
    </w:rPr>
  </w:style>
  <w:style w:type="character" w:customStyle="1" w:styleId="Heading2Char">
    <w:name w:val="Heading 2 Char"/>
    <w:basedOn w:val="DefaultParagraphFont"/>
    <w:link w:val="Heading2"/>
    <w:uiPriority w:val="9"/>
    <w:rsid w:val="00456CD0"/>
    <w:rPr>
      <w:rFonts w:ascii="Source Sans Pro" w:eastAsiaTheme="majorEastAsia" w:hAnsi="Source Sans Pro" w:cstheme="majorBidi"/>
      <w:color w:val="164432"/>
      <w:sz w:val="32"/>
      <w:szCs w:val="32"/>
    </w:rPr>
  </w:style>
  <w:style w:type="character" w:customStyle="1" w:styleId="Heading3Char">
    <w:name w:val="Heading 3 Char"/>
    <w:basedOn w:val="DefaultParagraphFont"/>
    <w:link w:val="Heading3"/>
    <w:uiPriority w:val="9"/>
    <w:rsid w:val="0076240E"/>
    <w:rPr>
      <w:rFonts w:ascii="Source Sans Pro" w:eastAsiaTheme="majorEastAsia" w:hAnsi="Source Sans Pro" w:cstheme="majorBidi"/>
      <w:color w:val="164432"/>
      <w:sz w:val="28"/>
      <w:szCs w:val="28"/>
    </w:rPr>
  </w:style>
  <w:style w:type="character" w:customStyle="1" w:styleId="Heading4Char">
    <w:name w:val="Heading 4 Char"/>
    <w:basedOn w:val="DefaultParagraphFont"/>
    <w:link w:val="Heading4"/>
    <w:uiPriority w:val="9"/>
    <w:rsid w:val="00011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8C"/>
    <w:rPr>
      <w:rFonts w:eastAsiaTheme="majorEastAsia" w:cstheme="majorBidi"/>
      <w:color w:val="272727" w:themeColor="text1" w:themeTint="D8"/>
    </w:rPr>
  </w:style>
  <w:style w:type="paragraph" w:styleId="Title">
    <w:name w:val="Title"/>
    <w:basedOn w:val="Normal"/>
    <w:next w:val="Normal"/>
    <w:link w:val="TitleChar"/>
    <w:uiPriority w:val="10"/>
    <w:qFormat/>
    <w:rsid w:val="00985525"/>
    <w:pPr>
      <w:spacing w:after="80" w:line="240" w:lineRule="auto"/>
      <w:contextualSpacing/>
    </w:pPr>
    <w:rPr>
      <w:rFonts w:ascii="Source Sans Pro" w:eastAsiaTheme="majorEastAsia" w:hAnsi="Source Sans Pro" w:cstheme="majorBidi"/>
      <w:color w:val="164432"/>
      <w:spacing w:val="-10"/>
      <w:kern w:val="28"/>
      <w:sz w:val="56"/>
      <w:szCs w:val="56"/>
    </w:rPr>
  </w:style>
  <w:style w:type="character" w:customStyle="1" w:styleId="TitleChar">
    <w:name w:val="Title Char"/>
    <w:basedOn w:val="DefaultParagraphFont"/>
    <w:link w:val="Title"/>
    <w:uiPriority w:val="10"/>
    <w:rsid w:val="00985525"/>
    <w:rPr>
      <w:rFonts w:ascii="Source Sans Pro" w:eastAsiaTheme="majorEastAsia" w:hAnsi="Source Sans Pro" w:cstheme="majorBidi"/>
      <w:color w:val="164432"/>
      <w:spacing w:val="-10"/>
      <w:kern w:val="28"/>
      <w:sz w:val="56"/>
      <w:szCs w:val="56"/>
    </w:rPr>
  </w:style>
  <w:style w:type="paragraph" w:styleId="Subtitle">
    <w:name w:val="Subtitle"/>
    <w:basedOn w:val="Normal"/>
    <w:next w:val="Normal"/>
    <w:link w:val="SubtitleChar"/>
    <w:uiPriority w:val="11"/>
    <w:qFormat/>
    <w:rsid w:val="0001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3C"/>
    <w:pPr>
      <w:spacing w:before="160"/>
      <w:ind w:left="720" w:right="720"/>
      <w:jc w:val="center"/>
    </w:pPr>
    <w:rPr>
      <w:i/>
      <w:iCs/>
      <w:color w:val="404040" w:themeColor="text1" w:themeTint="BF"/>
      <w:sz w:val="32"/>
      <w:szCs w:val="32"/>
    </w:rPr>
  </w:style>
  <w:style w:type="character" w:customStyle="1" w:styleId="QuoteChar">
    <w:name w:val="Quote Char"/>
    <w:basedOn w:val="DefaultParagraphFont"/>
    <w:link w:val="Quote"/>
    <w:uiPriority w:val="29"/>
    <w:rsid w:val="0062283C"/>
    <w:rPr>
      <w:i/>
      <w:iCs/>
      <w:color w:val="404040" w:themeColor="text1" w:themeTint="BF"/>
      <w:sz w:val="32"/>
      <w:szCs w:val="32"/>
    </w:rPr>
  </w:style>
  <w:style w:type="paragraph" w:styleId="ListParagraph">
    <w:name w:val="List Paragraph"/>
    <w:basedOn w:val="Normal"/>
    <w:uiPriority w:val="34"/>
    <w:qFormat/>
    <w:rsid w:val="0001198C"/>
    <w:pPr>
      <w:ind w:left="720"/>
      <w:contextualSpacing/>
    </w:pPr>
  </w:style>
  <w:style w:type="character" w:styleId="IntenseEmphasis">
    <w:name w:val="Intense Emphasis"/>
    <w:basedOn w:val="DefaultParagraphFont"/>
    <w:uiPriority w:val="21"/>
    <w:qFormat/>
    <w:rsid w:val="0001198C"/>
    <w:rPr>
      <w:i/>
      <w:iCs/>
      <w:color w:val="0F4761" w:themeColor="accent1" w:themeShade="BF"/>
    </w:rPr>
  </w:style>
  <w:style w:type="paragraph" w:styleId="IntenseQuote">
    <w:name w:val="Intense Quote"/>
    <w:basedOn w:val="Normal"/>
    <w:next w:val="Normal"/>
    <w:link w:val="IntenseQuoteChar"/>
    <w:uiPriority w:val="30"/>
    <w:qFormat/>
    <w:rsid w:val="00166494"/>
    <w:pPr>
      <w:pBdr>
        <w:top w:val="single" w:sz="4" w:space="10" w:color="0F4761" w:themeColor="accent1" w:themeShade="BF"/>
        <w:bottom w:val="single" w:sz="4" w:space="10" w:color="0F4761" w:themeColor="accent1" w:themeShade="BF"/>
      </w:pBdr>
      <w:spacing w:before="360" w:after="360"/>
      <w:ind w:left="864" w:right="864"/>
      <w:jc w:val="center"/>
    </w:pPr>
    <w:rPr>
      <w:b/>
      <w:bCs/>
      <w:i/>
      <w:iCs/>
      <w:color w:val="164432"/>
      <w:sz w:val="24"/>
    </w:rPr>
  </w:style>
  <w:style w:type="character" w:customStyle="1" w:styleId="IntenseQuoteChar">
    <w:name w:val="Intense Quote Char"/>
    <w:basedOn w:val="DefaultParagraphFont"/>
    <w:link w:val="IntenseQuote"/>
    <w:uiPriority w:val="30"/>
    <w:rsid w:val="00166494"/>
    <w:rPr>
      <w:rFonts w:ascii="Palatino Linotype" w:hAnsi="Palatino Linotype"/>
      <w:b/>
      <w:bCs/>
      <w:i/>
      <w:iCs/>
      <w:color w:val="164432"/>
    </w:rPr>
  </w:style>
  <w:style w:type="character" w:styleId="IntenseReference">
    <w:name w:val="Intense Reference"/>
    <w:basedOn w:val="DefaultParagraphFont"/>
    <w:uiPriority w:val="32"/>
    <w:qFormat/>
    <w:rsid w:val="0001198C"/>
    <w:rPr>
      <w:b/>
      <w:bCs/>
      <w:smallCaps/>
      <w:color w:val="0F4761" w:themeColor="accent1" w:themeShade="BF"/>
      <w:spacing w:val="5"/>
    </w:rPr>
  </w:style>
  <w:style w:type="paragraph" w:styleId="TOCHeading">
    <w:name w:val="TOC Heading"/>
    <w:basedOn w:val="Heading1"/>
    <w:next w:val="Normal"/>
    <w:uiPriority w:val="39"/>
    <w:unhideWhenUsed/>
    <w:qFormat/>
    <w:rsid w:val="000119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198C"/>
    <w:pPr>
      <w:spacing w:after="100"/>
    </w:pPr>
  </w:style>
  <w:style w:type="paragraph" w:styleId="TOC2">
    <w:name w:val="toc 2"/>
    <w:basedOn w:val="Normal"/>
    <w:next w:val="Normal"/>
    <w:autoRedefine/>
    <w:uiPriority w:val="39"/>
    <w:unhideWhenUsed/>
    <w:rsid w:val="0001198C"/>
    <w:pPr>
      <w:spacing w:after="100"/>
      <w:ind w:left="240"/>
    </w:pPr>
  </w:style>
  <w:style w:type="character" w:styleId="Hyperlink">
    <w:name w:val="Hyperlink"/>
    <w:basedOn w:val="DefaultParagraphFont"/>
    <w:uiPriority w:val="99"/>
    <w:unhideWhenUsed/>
    <w:rsid w:val="0001198C"/>
    <w:rPr>
      <w:color w:val="467886" w:themeColor="hyperlink"/>
      <w:u w:val="single"/>
    </w:rPr>
  </w:style>
  <w:style w:type="paragraph" w:styleId="TOC3">
    <w:name w:val="toc 3"/>
    <w:basedOn w:val="Normal"/>
    <w:next w:val="Normal"/>
    <w:autoRedefine/>
    <w:uiPriority w:val="39"/>
    <w:unhideWhenUsed/>
    <w:rsid w:val="001332E7"/>
    <w:pPr>
      <w:spacing w:after="100"/>
      <w:ind w:left="480"/>
    </w:pPr>
  </w:style>
  <w:style w:type="table" w:styleId="TableGrid">
    <w:name w:val="Table Grid"/>
    <w:basedOn w:val="TableNormal"/>
    <w:uiPriority w:val="59"/>
    <w:rsid w:val="001E2ED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Header">
    <w:name w:val="Box Header"/>
    <w:basedOn w:val="Normal"/>
    <w:qFormat/>
    <w:rsid w:val="001E2EDE"/>
    <w:pPr>
      <w:keepNext/>
      <w:pBdr>
        <w:top w:val="nil"/>
        <w:left w:val="nil"/>
        <w:bottom w:val="nil"/>
        <w:right w:val="nil"/>
        <w:between w:val="nil"/>
      </w:pBdr>
      <w:shd w:val="clear" w:color="auto" w:fill="DAE9F7" w:themeFill="text2" w:themeFillTint="1A"/>
      <w:spacing w:after="240" w:line="276" w:lineRule="auto"/>
      <w:ind w:left="605" w:right="605"/>
    </w:pPr>
    <w:rPr>
      <w:rFonts w:ascii="Google Sans Text" w:eastAsia="Google Sans Text" w:hAnsi="Google Sans Text" w:cs="Google Sans Text"/>
      <w:b/>
      <w:color w:val="1B1C1D"/>
    </w:rPr>
  </w:style>
  <w:style w:type="paragraph" w:styleId="NormalWeb">
    <w:name w:val="Normal (Web)"/>
    <w:basedOn w:val="Normal"/>
    <w:uiPriority w:val="99"/>
    <w:semiHidden/>
    <w:unhideWhenUsed/>
    <w:rsid w:val="005B56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5661"/>
    <w:rPr>
      <w:b/>
      <w:bCs/>
    </w:rPr>
  </w:style>
  <w:style w:type="character" w:customStyle="1" w:styleId="button-container">
    <w:name w:val="button-container"/>
    <w:basedOn w:val="DefaultParagraphFont"/>
    <w:rsid w:val="005B5661"/>
  </w:style>
  <w:style w:type="paragraph" w:styleId="Header">
    <w:name w:val="header"/>
    <w:basedOn w:val="Normal"/>
    <w:link w:val="HeaderChar"/>
    <w:uiPriority w:val="99"/>
    <w:unhideWhenUsed/>
    <w:rsid w:val="00CB0463"/>
    <w:pPr>
      <w:tabs>
        <w:tab w:val="center" w:pos="4680"/>
        <w:tab w:val="right" w:pos="9360"/>
      </w:tabs>
      <w:spacing w:after="0" w:line="240" w:lineRule="auto"/>
    </w:pPr>
    <w:rPr>
      <w:color w:val="164432"/>
    </w:rPr>
  </w:style>
  <w:style w:type="character" w:customStyle="1" w:styleId="HeaderChar">
    <w:name w:val="Header Char"/>
    <w:basedOn w:val="DefaultParagraphFont"/>
    <w:link w:val="Header"/>
    <w:uiPriority w:val="99"/>
    <w:rsid w:val="00CB0463"/>
    <w:rPr>
      <w:rFonts w:ascii="Palatino Linotype" w:hAnsi="Palatino Linotype"/>
      <w:color w:val="164432"/>
      <w:sz w:val="22"/>
    </w:rPr>
  </w:style>
  <w:style w:type="paragraph" w:styleId="Footer">
    <w:name w:val="footer"/>
    <w:basedOn w:val="Normal"/>
    <w:link w:val="FooterChar"/>
    <w:uiPriority w:val="99"/>
    <w:unhideWhenUsed/>
    <w:rsid w:val="008F21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15F"/>
  </w:style>
  <w:style w:type="paragraph" w:styleId="Index1">
    <w:name w:val="index 1"/>
    <w:basedOn w:val="Normal"/>
    <w:next w:val="Normal"/>
    <w:autoRedefine/>
    <w:uiPriority w:val="99"/>
    <w:semiHidden/>
    <w:unhideWhenUsed/>
    <w:rsid w:val="004B37AF"/>
    <w:pPr>
      <w:spacing w:after="0" w:line="240" w:lineRule="auto"/>
      <w:ind w:left="240" w:hanging="240"/>
    </w:pPr>
  </w:style>
  <w:style w:type="paragraph" w:customStyle="1" w:styleId="GatewaySign">
    <w:name w:val="GatewaySign"/>
    <w:basedOn w:val="Heading2"/>
    <w:rsid w:val="00AF7650"/>
    <w:pPr>
      <w:spacing w:before="200" w:after="0" w:line="276" w:lineRule="auto"/>
    </w:pPr>
    <w:rPr>
      <w:rFonts w:ascii="Lato" w:hAnsi="Lato"/>
      <w:b/>
      <w:bCs/>
      <w:color w:val="FFFFFF"/>
      <w:kern w:val="0"/>
      <w:szCs w:val="26"/>
      <w14:ligatures w14:val="none"/>
    </w:rPr>
  </w:style>
  <w:style w:type="paragraph" w:customStyle="1" w:styleId="BodyText">
    <w:name w:val="BodyText"/>
    <w:basedOn w:val="Normal"/>
    <w:rsid w:val="00AF7650"/>
    <w:pPr>
      <w:spacing w:after="200" w:line="276" w:lineRule="auto"/>
    </w:pPr>
    <w:rPr>
      <w:rFonts w:eastAsiaTheme="minorEastAsia"/>
      <w:kern w:val="0"/>
      <w:szCs w:val="22"/>
      <w14:ligatures w14:val="none"/>
    </w:rPr>
  </w:style>
  <w:style w:type="paragraph" w:customStyle="1" w:styleId="PullQuote">
    <w:name w:val="PullQuote"/>
    <w:basedOn w:val="Normal"/>
    <w:rsid w:val="00AF7650"/>
    <w:pPr>
      <w:spacing w:after="200" w:line="276" w:lineRule="auto"/>
    </w:pPr>
    <w:rPr>
      <w:rFonts w:ascii="Lato" w:eastAsiaTheme="minorEastAsia" w:hAnsi="Lato"/>
      <w:i/>
      <w:color w:val="B38B00"/>
      <w:kern w:val="0"/>
      <w:szCs w:val="22"/>
      <w14:ligatures w14:val="none"/>
    </w:rPr>
  </w:style>
  <w:style w:type="character" w:styleId="Emphasis">
    <w:name w:val="Emphasis"/>
    <w:basedOn w:val="DefaultParagraphFont"/>
    <w:uiPriority w:val="20"/>
    <w:qFormat/>
    <w:rsid w:val="00AF5BE5"/>
    <w:rPr>
      <w:i/>
      <w:iCs/>
    </w:rPr>
  </w:style>
  <w:style w:type="character" w:styleId="SubtleReference">
    <w:name w:val="Subtle Reference"/>
    <w:basedOn w:val="DefaultParagraphFont"/>
    <w:uiPriority w:val="31"/>
    <w:qFormat/>
    <w:rsid w:val="00AF5BE5"/>
    <w:rPr>
      <w:smallCaps/>
      <w:color w:val="5A5A5A" w:themeColor="text1" w:themeTint="A5"/>
    </w:rPr>
  </w:style>
  <w:style w:type="paragraph" w:customStyle="1" w:styleId="BoxedHeaderSimple">
    <w:name w:val="Boxed Header Simple"/>
    <w:basedOn w:val="Normal"/>
    <w:qFormat/>
    <w:rsid w:val="00456CD0"/>
    <w:pPr>
      <w:keepNext/>
      <w:shd w:val="clear" w:color="auto" w:fill="164432"/>
      <w:spacing w:before="240" w:after="120" w:line="276" w:lineRule="auto"/>
    </w:pPr>
    <w:rPr>
      <w:rFonts w:ascii="Google Sans Text" w:eastAsia="Google Sans Text" w:hAnsi="Google Sans Text" w:cs="Google Sans Text"/>
      <w:color w:val="FFFFFF" w:themeColor="background1"/>
    </w:rPr>
  </w:style>
  <w:style w:type="paragraph" w:customStyle="1" w:styleId="BoxBody">
    <w:name w:val="Box Body"/>
    <w:basedOn w:val="Normal"/>
    <w:qFormat/>
    <w:rsid w:val="00BA5999"/>
    <w:pPr>
      <w:shd w:val="clear" w:color="auto" w:fill="F2F2F2" w:themeFill="background1" w:themeFillShade="F2"/>
    </w:pPr>
    <w:rPr>
      <w:rFonts w:ascii="Google Sans Text" w:eastAsia="Google Sans Text" w:hAnsi="Google Sans Text" w:cs="Google Sans Text"/>
      <w:color w:val="1B1C1D"/>
    </w:rPr>
  </w:style>
  <w:style w:type="paragraph" w:customStyle="1" w:styleId="BoxBullet">
    <w:name w:val="Box Bullet"/>
    <w:basedOn w:val="Normal"/>
    <w:qFormat/>
    <w:rsid w:val="00C958C9"/>
    <w:pPr>
      <w:numPr>
        <w:numId w:val="17"/>
      </w:numPr>
      <w:shd w:val="clear" w:color="auto" w:fill="F2F2F2" w:themeFill="background1" w:themeFillShade="F2"/>
    </w:pPr>
    <w:rPr>
      <w:sz w:val="20"/>
    </w:rPr>
  </w:style>
  <w:style w:type="character" w:styleId="UnresolvedMention">
    <w:name w:val="Unresolved Mention"/>
    <w:basedOn w:val="DefaultParagraphFont"/>
    <w:uiPriority w:val="99"/>
    <w:semiHidden/>
    <w:unhideWhenUsed/>
    <w:rsid w:val="008620E7"/>
    <w:rPr>
      <w:color w:val="605E5C"/>
      <w:shd w:val="clear" w:color="auto" w:fill="E1DFDD"/>
    </w:rPr>
  </w:style>
  <w:style w:type="character" w:styleId="SubtleEmphasis">
    <w:name w:val="Subtle Emphasis"/>
    <w:basedOn w:val="DefaultParagraphFont"/>
    <w:uiPriority w:val="19"/>
    <w:qFormat/>
    <w:rsid w:val="00DA7290"/>
    <w:rPr>
      <w:i/>
      <w:iCs/>
      <w:color w:val="404040" w:themeColor="text1" w:themeTint="BF"/>
    </w:rPr>
  </w:style>
  <w:style w:type="paragraph" w:customStyle="1" w:styleId="FootnotesChapter">
    <w:name w:val="Footnotes Chapter"/>
    <w:basedOn w:val="Heading2"/>
    <w:qFormat/>
    <w:rsid w:val="00D710A3"/>
  </w:style>
  <w:style w:type="paragraph" w:styleId="Caption">
    <w:name w:val="caption"/>
    <w:basedOn w:val="Normal"/>
    <w:next w:val="Normal"/>
    <w:uiPriority w:val="35"/>
    <w:unhideWhenUsed/>
    <w:qFormat/>
    <w:rsid w:val="007C1DFC"/>
    <w:pPr>
      <w:spacing w:after="200" w:line="240" w:lineRule="auto"/>
    </w:pPr>
    <w:rPr>
      <w:i/>
      <w:iCs/>
      <w:color w:val="164432"/>
      <w:szCs w:val="20"/>
    </w:rPr>
  </w:style>
  <w:style w:type="paragraph" w:customStyle="1" w:styleId="Prompt">
    <w:name w:val="Prompt"/>
    <w:basedOn w:val="Normal"/>
    <w:qFormat/>
    <w:rsid w:val="00BF7295"/>
    <w:pPr>
      <w:ind w:left="720" w:right="720"/>
    </w:pPr>
    <w:rPr>
      <w:i/>
      <w:iCs/>
    </w:rPr>
  </w:style>
  <w:style w:type="character" w:styleId="FollowedHyperlink">
    <w:name w:val="FollowedHyperlink"/>
    <w:basedOn w:val="DefaultParagraphFont"/>
    <w:uiPriority w:val="99"/>
    <w:semiHidden/>
    <w:unhideWhenUsed/>
    <w:rsid w:val="00A47D9D"/>
    <w:rPr>
      <w:color w:val="96607D" w:themeColor="followedHyperlink"/>
      <w:u w:val="single"/>
    </w:rPr>
  </w:style>
  <w:style w:type="table" w:styleId="GridTable1Light-Accent3">
    <w:name w:val="Grid Table 1 Light Accent 3"/>
    <w:basedOn w:val="TableNormal"/>
    <w:uiPriority w:val="46"/>
    <w:rsid w:val="00007FA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Bullet">
    <w:name w:val="Bullet"/>
    <w:basedOn w:val="Normal"/>
    <w:qFormat/>
    <w:rsid w:val="0015752D"/>
    <w:pPr>
      <w:numPr>
        <w:numId w:val="138"/>
      </w:numPr>
      <w:tabs>
        <w:tab w:val="clear" w:pos="720"/>
      </w:tabs>
      <w:spacing w:after="120"/>
      <w:ind w:left="374" w:hanging="187"/>
      <w:contextualSpacing/>
    </w:pPr>
    <w:rPr>
      <w:b/>
      <w:bCs/>
    </w:rPr>
  </w:style>
  <w:style w:type="character" w:customStyle="1" w:styleId="selected">
    <w:name w:val="selected"/>
    <w:basedOn w:val="DefaultParagraphFont"/>
    <w:rsid w:val="00B21985"/>
  </w:style>
  <w:style w:type="table" w:customStyle="1" w:styleId="TableNormal0">
    <w:name w:val="TableNormal"/>
    <w:rsid w:val="00BB70DB"/>
    <w:pPr>
      <w:spacing w:line="259" w:lineRule="auto"/>
    </w:pPr>
    <w:rPr>
      <w:rFonts w:eastAsiaTheme="minorEastAsia"/>
      <w:kern w:val="0"/>
      <w:sz w:val="22"/>
      <w:szCs w:val="22"/>
      <w:lang w:val="en"/>
      <w14:ligatures w14:val="none"/>
    </w:r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type="character" w:customStyle="1" w:styleId="EndnoteTextChar">
    <w:name w:val="Endnote Text Char"/>
    <w:basedOn w:val="DefaultParagraphFont"/>
    <w:link w:val="EndnoteText"/>
    <w:uiPriority w:val="99"/>
    <w:semiHidden/>
    <w:rsid w:val="00BB70DB"/>
    <w:rPr>
      <w:rFonts w:eastAsiaTheme="minorEastAsia"/>
      <w:kern w:val="0"/>
      <w:sz w:val="20"/>
      <w:szCs w:val="20"/>
      <w:lang w:val="en"/>
      <w14:ligatures w14:val="none"/>
    </w:rPr>
  </w:style>
  <w:style w:type="character" w:styleId="EndnoteReference">
    <w:name w:val="endnote reference"/>
    <w:basedOn w:val="DefaultParagraphFont"/>
    <w:uiPriority w:val="99"/>
    <w:semiHidden/>
    <w:unhideWhenUsed/>
    <w:rsid w:val="00BB70DB"/>
    <w:rPr>
      <w:vertAlign w:val="superscript"/>
    </w:rPr>
  </w:style>
  <w:style w:type="table" w:styleId="GridTable1Light">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B70DB"/>
    <w:pPr>
      <w:spacing w:after="0" w:line="240" w:lineRule="auto"/>
    </w:pPr>
    <w:rPr>
      <w:rFonts w:eastAsiaTheme="minorEastAsia"/>
      <w:kern w:val="0"/>
      <w:sz w:val="22"/>
      <w:szCs w:val="22"/>
      <w:lang w:val="en"/>
      <w14:ligatures w14:val="none"/>
    </w:rPr>
  </w:style>
  <w:style w:type="character" w:styleId="BookTitle">
    <w:name w:val="Book Title"/>
    <w:basedOn w:val="DefaultParagraphFont"/>
    <w:uiPriority w:val="33"/>
    <w:qFormat/>
    <w:rsid w:val="00BB70DB"/>
    <w:rPr>
      <w:b/>
      <w:bCs/>
      <w:smallCaps/>
      <w:spacing w:val="7"/>
    </w:rPr>
  </w:style>
  <w:style w:type="paragraph" w:customStyle="1" w:styleId="Footnote">
    <w:name w:val="Footnote"/>
    <w:basedOn w:val="Normal"/>
    <w:qFormat/>
    <w:rsid w:val="00F679EF"/>
    <w:pPr>
      <w:spacing w:after="120" w:line="240" w:lineRule="auto"/>
      <w:ind w:left="86" w:hanging="86"/>
    </w:pPr>
    <w:rPr>
      <w:sz w:val="20"/>
      <w:szCs w:val="22"/>
    </w:rPr>
  </w:style>
  <w:style w:type="table" w:styleId="GridTable1Light-Accent4">
    <w:name w:val="Grid Table 1 Light Accent 4"/>
    <w:basedOn w:val="TableNormal"/>
    <w:uiPriority w:val="46"/>
    <w:rsid w:val="00E005C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customStyle="1" w:styleId="BulletNumbeered">
    <w:name w:val="Bullet Numbeered"/>
    <w:basedOn w:val="Normal"/>
    <w:qFormat/>
    <w:rsid w:val="008041A4"/>
    <w:pPr>
      <w:numPr>
        <w:numId w:val="200"/>
      </w:numPr>
      <w:tabs>
        <w:tab w:val="clear" w:pos="720"/>
      </w:tabs>
      <w:spacing w:line="240" w:lineRule="auto"/>
      <w:ind w:left="360" w:hanging="270"/>
      <w:textAlignment w:val="baseline"/>
    </w:pPr>
    <w:rPr>
      <w:rFonts w:eastAsia="Times New Roman" w:cs="Arial"/>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 Type="http://schemas.openxmlformats.org/officeDocument/2006/relationships/image" Id="rId32" Target="media/rId32.jpg" /><Relationship Type="http://schemas.openxmlformats.org/officeDocument/2006/relationships/image" Id="rId60" Target="media/rId60.jpg" /><Relationship Type="http://schemas.openxmlformats.org/officeDocument/2006/relationships/image" Id="rId28" Target="media/rId28.jpg" /><Relationship Type="http://schemas.openxmlformats.org/officeDocument/2006/relationships/image" Id="rId68" Target="media/rId68.jpg" /><Relationship Type="http://schemas.openxmlformats.org/officeDocument/2006/relationships/image" Id="rId66" Target="media/rId66.jpg" /><Relationship Type="http://schemas.openxmlformats.org/officeDocument/2006/relationships/image" Id="rId72" Target="media/rId72.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76" Target="media/rId76.jpg" /><Relationship Type="http://schemas.openxmlformats.org/officeDocument/2006/relationships/image" Id="rId135" Target="media/rId135.jpg" /><Relationship Type="http://schemas.openxmlformats.org/officeDocument/2006/relationships/image" Id="rId136" Target="media/rId136.jpg" /><Relationship Type="http://schemas.openxmlformats.org/officeDocument/2006/relationships/image" Id="rId78" Target="media/rId78.jpg" /><Relationship Type="http://schemas.openxmlformats.org/officeDocument/2006/relationships/image" Id="rId137" Target="media/rId137.jpg" /><Relationship Type="http://schemas.openxmlformats.org/officeDocument/2006/relationships/image" Id="rId80" Target="media/rId80.jpg" /><Relationship Type="http://schemas.openxmlformats.org/officeDocument/2006/relationships/image" Id="rId88" Target="media/rId88.jpg" /><Relationship Type="http://schemas.openxmlformats.org/officeDocument/2006/relationships/image" Id="rId82" Target="media/rId82.jpg" /><Relationship Type="http://schemas.openxmlformats.org/officeDocument/2006/relationships/image" Id="rId84" Target="media/rId84.jpg" /><Relationship Type="http://schemas.openxmlformats.org/officeDocument/2006/relationships/image" Id="rId86" Target="media/rId86.jpg" /><Relationship Type="http://schemas.openxmlformats.org/officeDocument/2006/relationships/image" Id="rId90" Target="media/rId90.jpg" /><Relationship Type="http://schemas.openxmlformats.org/officeDocument/2006/relationships/image" Id="rId138" Target="media/rId138.jpg" /><Relationship Type="http://schemas.openxmlformats.org/officeDocument/2006/relationships/image" Id="rId92" Target="media/rId92.jpg" /><Relationship Type="http://schemas.openxmlformats.org/officeDocument/2006/relationships/image" Id="rId141" Target="media/rId141.jpg" /><Relationship Type="http://schemas.openxmlformats.org/officeDocument/2006/relationships/image" Id="rId140" Target="media/rId140.jpg" /><Relationship Type="http://schemas.openxmlformats.org/officeDocument/2006/relationships/image" Id="rId139" Target="media/rId139.jpg" /><Relationship Type="http://schemas.openxmlformats.org/officeDocument/2006/relationships/image" Id="rId94" Target="media/rId94.jpg" /><Relationship Type="http://schemas.openxmlformats.org/officeDocument/2006/relationships/image" Id="rId96" Target="media/rId96.jpg" /><Relationship Type="http://schemas.openxmlformats.org/officeDocument/2006/relationships/image" Id="rId100" Target="media/rId100.jpg" /><Relationship Type="http://schemas.openxmlformats.org/officeDocument/2006/relationships/image" Id="rId98" Target="media/rId98.jpg" /><Relationship Type="http://schemas.openxmlformats.org/officeDocument/2006/relationships/image" Id="rId102" Target="media/rId102.jpg" /><Relationship Type="http://schemas.openxmlformats.org/officeDocument/2006/relationships/image" Id="rId145" Target="media/rId145.jpg" /><Relationship Type="http://schemas.openxmlformats.org/officeDocument/2006/relationships/image" Id="rId110" Target="media/rId110.jpg" /><Relationship Type="http://schemas.openxmlformats.org/officeDocument/2006/relationships/image" Id="rId104" Target="media/rId104.jpg" /><Relationship Type="http://schemas.openxmlformats.org/officeDocument/2006/relationships/image" Id="rId142" Target="media/rId142.jpg" /><Relationship Type="http://schemas.openxmlformats.org/officeDocument/2006/relationships/image" Id="rId143" Target="media/rId143.jpg" /><Relationship Type="http://schemas.openxmlformats.org/officeDocument/2006/relationships/image" Id="rId108" Target="media/rId108.jpg" /><Relationship Type="http://schemas.openxmlformats.org/officeDocument/2006/relationships/image" Id="rId106" Target="media/rId106.jpg" /><Relationship Type="http://schemas.openxmlformats.org/officeDocument/2006/relationships/image" Id="rId144" Target="media/rId144.jpg" /><Relationship Type="http://schemas.openxmlformats.org/officeDocument/2006/relationships/image" Id="rId112" Target="media/rId112.jpg" /><Relationship Type="http://schemas.openxmlformats.org/officeDocument/2006/relationships/image" Id="rId114" Target="media/rId114.jpg" /><Relationship Type="http://schemas.openxmlformats.org/officeDocument/2006/relationships/image" Id="rId117" Target="media/rId117.jpg" /><Relationship Type="http://schemas.openxmlformats.org/officeDocument/2006/relationships/image" Id="rId146" Target="media/rId146.jpg" /><Relationship Type="http://schemas.openxmlformats.org/officeDocument/2006/relationships/image" Id="rId147" Target="media/rId147.jpg" /><Relationship Type="http://schemas.openxmlformats.org/officeDocument/2006/relationships/image" Id="rId148" Target="media/rId148.jpg" /><Relationship Type="http://schemas.openxmlformats.org/officeDocument/2006/relationships/image" Id="rId119" Target="media/rId119.jpg" /><Relationship Type="http://schemas.openxmlformats.org/officeDocument/2006/relationships/image" Id="rId121" Target="media/rId121.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150" Target="media/rId150.jpg" /><Relationship Type="http://schemas.openxmlformats.org/officeDocument/2006/relationships/image" Id="rId149" Target="media/rId149.jpg" /><Relationship Type="http://schemas.openxmlformats.org/officeDocument/2006/relationships/image" Id="rId128" Target="media/rId128.jpg" /><Relationship Type="http://schemas.openxmlformats.org/officeDocument/2006/relationships/image" Id="rId130" Target="media/rId130.jpg" /><Relationship Type="http://schemas.openxmlformats.org/officeDocument/2006/relationships/image" Id="rId151" Target="media/rId151.jpg" /><Relationship Type="http://schemas.openxmlformats.org/officeDocument/2006/relationships/image" Id="rId132" Target="media/rId132.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2026-06-02T16:02:56Z</dcterms:created>
  <dcterms:modified xsi:type="dcterms:W3CDTF">2026-06-02T16:02:56Z</dcterms:modified>
</cp:coreProperties>
</file>

<file path=docProps/custom.xml><?xml version="1.0" encoding="utf-8"?>
<Properties xmlns="http://schemas.openxmlformats.org/officeDocument/2006/custom-properties" xmlns:vt="http://schemas.openxmlformats.org/officeDocument/2006/docPropsVTypes"/>
</file>