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3.jpg" ContentType="image/jpeg"/>
  <Override PartName="/word/media/rId71.jpg" ContentType="image/jpeg"/>
  <Override PartName="/word/media/rId39.jpg" ContentType="image/jpeg"/>
  <Override PartName="/word/media/rId79.jpg" ContentType="image/jpeg"/>
  <Override PartName="/word/media/rId77.jpg" ContentType="image/jpeg"/>
  <Override PartName="/word/media/rId83.jpg" ContentType="image/jpeg"/>
  <Override PartName="/word/media/rId81.jpg" ContentType="image/jpeg"/>
  <Override PartName="/word/media/rId85.jpg" ContentType="image/jpeg"/>
  <Override PartName="/word/media/rId87.jpg" ContentType="image/jpeg"/>
  <Override PartName="/word/media/rId146.jpg" ContentType="image/jpeg"/>
  <Override PartName="/word/media/rId147.jpg" ContentType="image/jpeg"/>
  <Override PartName="/word/media/rId89.jpg" ContentType="image/jpeg"/>
  <Override PartName="/word/media/rId148.jpg" ContentType="image/jpeg"/>
  <Override PartName="/word/media/rId91.jpg" ContentType="image/jpeg"/>
  <Override PartName="/word/media/rId99.jpg" ContentType="image/jpeg"/>
  <Override PartName="/word/media/rId93.jpg" ContentType="image/jpeg"/>
  <Override PartName="/word/media/rId95.jpg" ContentType="image/jpeg"/>
  <Override PartName="/word/media/rId97.jpg" ContentType="image/jpeg"/>
  <Override PartName="/word/media/rId101.jpg" ContentType="image/jpeg"/>
  <Override PartName="/word/media/rId149.jpg" ContentType="image/jpeg"/>
  <Override PartName="/word/media/rId103.jpg" ContentType="image/jpeg"/>
  <Override PartName="/word/media/rId152.jpg" ContentType="image/jpeg"/>
  <Override PartName="/word/media/rId151.jpg" ContentType="image/jpeg"/>
  <Override PartName="/word/media/rId150.jpg" ContentType="image/jpeg"/>
  <Override PartName="/word/media/rId105.jpg" ContentType="image/jpeg"/>
  <Override PartName="/word/media/rId107.jpg" ContentType="image/jpeg"/>
  <Override PartName="/word/media/rId111.jpg" ContentType="image/jpeg"/>
  <Override PartName="/word/media/rId109.jpg" ContentType="image/jpeg"/>
  <Override PartName="/word/media/rId113.jpg" ContentType="image/jpeg"/>
  <Override PartName="/word/media/rId156.jpg" ContentType="image/jpeg"/>
  <Override PartName="/word/media/rId121.jpg" ContentType="image/jpeg"/>
  <Override PartName="/word/media/rId115.jpg" ContentType="image/jpeg"/>
  <Override PartName="/word/media/rId153.jpg" ContentType="image/jpeg"/>
  <Override PartName="/word/media/rId154.jpg" ContentType="image/jpeg"/>
  <Override PartName="/word/media/rId119.jpg" ContentType="image/jpeg"/>
  <Override PartName="/word/media/rId117.jpg" ContentType="image/jpeg"/>
  <Override PartName="/word/media/rId155.jpg" ContentType="image/jpeg"/>
  <Override PartName="/word/media/rId123.jpg" ContentType="image/jpeg"/>
  <Override PartName="/word/media/rId125.jpg" ContentType="image/jpeg"/>
  <Override PartName="/word/media/rId128.jpg" ContentType="image/jpeg"/>
  <Override PartName="/word/media/rId157.jpg" ContentType="image/jpeg"/>
  <Override PartName="/word/media/rId158.jpg" ContentType="image/jpeg"/>
  <Override PartName="/word/media/rId159.jpg" ContentType="image/jpeg"/>
  <Override PartName="/word/media/rId130.jpg" ContentType="image/jpeg"/>
  <Override PartName="/word/media/rId132.jpg" ContentType="image/jpeg"/>
  <Override PartName="/word/media/rId134.jpg" ContentType="image/jpeg"/>
  <Override PartName="/word/media/rId137.jpg" ContentType="image/jpeg"/>
  <Override PartName="/word/media/rId161.jpg" ContentType="image/jpeg"/>
  <Override PartName="/word/media/rId160.jpg" ContentType="image/jpeg"/>
  <Override PartName="/word/media/rId139.jpg" ContentType="image/jpeg"/>
  <Override PartName="/word/media/rId141.jpg" ContentType="image/jpeg"/>
  <Override PartName="/word/media/rId162.jpg" ContentType="image/jpeg"/>
  <Override PartName="/word/media/rId143.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changelog"/>
      <w:r>
        <w:t xml:space="preserve">CHANGELOG</w:t>
      </w:r>
      <w:bookmarkEnd w:id="20"/>
    </w:p>
    <w:p>
      <w:pPr>
        <w:pStyle w:val="Heading2"/>
      </w:pPr>
      <w:bookmarkStart w:id="21" w:name="Xfe16ffc01184c7f9662f61f3ad0b6d8f8278c19"/>
      <w:r>
        <w:t xml:space="preserve">v20 — 2026-06-02 (figure numbering + Scale-of-the-Gift rebuild)</w:t>
      </w:r>
      <w:bookmarkEnd w:id="21"/>
    </w:p>
    <w:p>
      <w:pPr>
        <w:pStyle w:val="FirstParagraph"/>
      </w:pPr>
      <w:r>
        <w:rPr>
          <w:i/>
        </w:rPr>
        <w:t xml:space="preserve">Source:</w:t>
      </w:r>
      <w:r>
        <w:rPr>
          <w:i/>
        </w:rPr>
        <w:t xml:space="preserve"> </w:t>
      </w:r>
      <w:r>
        <w:rPr>
          <w:rStyle w:val="VerbatimChar"/>
          <w:i/>
        </w:rPr>
        <w:t xml:space="preserve">FFG_v18_2026-06-01.md</w:t>
      </w:r>
      <w:r>
        <w:rPr>
          <w:i/>
        </w:rPr>
        <w:t xml:space="preserve">.</w:t>
      </w:r>
      <w:r>
        <w:t xml:space="preserve"> </w:t>
      </w:r>
      <w:r>
        <w:t xml:space="preserve">Fixed Figure 1’s caption (a missing blank line had collapsed it into the body text, so it rendered with no number). Rebuilt Figure 1 as</w:t>
      </w:r>
      <w:r>
        <w:t xml:space="preserve"> </w:t>
      </w:r>
      <w:r>
        <w:rPr>
          <w:b/>
        </w:rPr>
        <w:t xml:space="preserve">The scale of the gift — and what is left of it</w:t>
      </w:r>
      <w:r>
        <w:t xml:space="preserve">: adds the original ~78M-acre common-school grant (Souder &amp; Fairfax Table Two, cross-checked to the 77.6M CEP total) alongside Colorado, Utah, and the ~45M surviving today (~58% of the grant). Added the original-vs-surviving paragraph to Ch. 1 with an in-text (Figure 1) reference, and an in-text (Figure 2) reference in the Timeline lens. Per-state data + reproducible chart script in</w:t>
      </w:r>
      <w:r>
        <w:t xml:space="preserve"> </w:t>
      </w:r>
      <w:r>
        <w:rPr>
          <w:rStyle w:val="VerbatimChar"/>
        </w:rPr>
        <w:t xml:space="preserve">_figures/</w:t>
      </w:r>
      <w:r>
        <w:t xml:space="preserve">.</w:t>
      </w:r>
    </w:p>
    <w:p>
      <w:pPr>
        <w:pStyle w:val="Heading2"/>
      </w:pPr>
      <w:bookmarkStart w:id="22" w:name="X9b9fd2ddbfd72ad70632c83ddc5247a31ec5b4a"/>
      <w:r>
        <w:t xml:space="preserve">v18 — 2026-06-01 (citation finish — L0 archive + CourtListener)</w:t>
      </w:r>
      <w:bookmarkEnd w:id="22"/>
    </w:p>
    <w:p>
      <w:pPr>
        <w:pStyle w:val="FirstParagraph"/>
      </w:pPr>
      <w:r>
        <w:rPr>
          <w:i/>
        </w:rPr>
        <w:t xml:space="preserve">Source:</w:t>
      </w:r>
      <w:r>
        <w:rPr>
          <w:i/>
        </w:rPr>
        <w:t xml:space="preserve"> </w:t>
      </w:r>
      <w:r>
        <w:rPr>
          <w:rStyle w:val="VerbatimChar"/>
          <w:i/>
        </w:rPr>
        <w:t xml:space="preserve">FFG_v17_2026-06-01.md</w:t>
      </w:r>
      <w:r>
        <w:rPr>
          <w:i/>
        </w:rPr>
        <w:t xml:space="preserve">.</w:t>
      </w:r>
      <w:r>
        <w:t xml:space="preserve"> </w:t>
      </w:r>
      <w:r>
        <w:t xml:space="preserve">Pinned the remaining flagged case citations from the project’s own L0 case-law archive (</w:t>
      </w:r>
      <w:r>
        <w:rPr>
          <w:rStyle w:val="VerbatimChar"/>
        </w:rPr>
        <w:t xml:space="preserve">L0_Primary_Sources/Case_Law/</w:t>
      </w:r>
      <w:r>
        <w:t xml:space="preserve">) and CourtListener: Oregon</w:t>
      </w:r>
      <w:r>
        <w:t xml:space="preserve"> </w:t>
      </w:r>
      <w:r>
        <w:rPr>
          <w:b/>
        </w:rPr>
        <w:t xml:space="preserve">Cascadia Wildlands v. Dep’t of State Lands, 365 Or. 750 (2019)</w:t>
      </w:r>
      <w:r>
        <w:t xml:space="preserve"> </w:t>
      </w:r>
      <w:r>
        <w:t xml:space="preserve">(Dave’s lead — found in L0; my earlier search missed it on the wrong party name) and the standing case</w:t>
      </w:r>
      <w:r>
        <w:t xml:space="preserve"> </w:t>
      </w:r>
      <w:r>
        <w:rPr>
          <w:b/>
        </w:rPr>
        <w:t xml:space="preserve">Advocates for School Trust Lands v. State, 346 Or. App. 668 (2026)</w:t>
      </w:r>
      <w:r>
        <w:t xml:space="preserve"> </w:t>
      </w:r>
      <w:r>
        <w:t xml:space="preserve">(resolving the</w:t>
      </w:r>
      <w:r>
        <w:t xml:space="preserve"> </w:t>
      </w:r>
      <w:r>
        <w:t xml:space="preserve">“</w:t>
      </w:r>
      <w:r>
        <w:t xml:space="preserve">pincite to be filled</w:t>
      </w:r>
      <w:r>
        <w:t xml:space="preserve">”</w:t>
      </w:r>
      <w:r>
        <w:t xml:space="preserve"> </w:t>
      </w:r>
      <w:r>
        <w:t xml:space="preserve">caveat);</w:t>
      </w:r>
      <w:r>
        <w:t xml:space="preserve"> </w:t>
      </w:r>
      <w:r>
        <w:rPr>
          <w:b/>
        </w:rPr>
        <w:t xml:space="preserve">Jensen v. Dinehart, 645 P.2d 32 (Utah 1982)</w:t>
      </w:r>
      <w:r>
        <w:t xml:space="preserve">;</w:t>
      </w:r>
      <w:r>
        <w:t xml:space="preserve"> </w:t>
      </w:r>
      <w:r>
        <w:rPr>
          <w:b/>
        </w:rPr>
        <w:t xml:space="preserve">Belker, 185 Neb. 270 (1970)</w:t>
      </w:r>
      <w:r>
        <w:t xml:space="preserve"> </w:t>
      </w:r>
      <w:r>
        <w:t xml:space="preserve">&amp;</w:t>
      </w:r>
      <w:r>
        <w:t xml:space="preserve"> </w:t>
      </w:r>
      <w:r>
        <w:rPr>
          <w:b/>
        </w:rPr>
        <w:t xml:space="preserve">Propst, 156 Neb. 226 (1952)</w:t>
      </w:r>
      <w:r>
        <w:t xml:space="preserve">;</w:t>
      </w:r>
      <w:r>
        <w:t xml:space="preserve"> </w:t>
      </w:r>
      <w:r>
        <w:rPr>
          <w:b/>
        </w:rPr>
        <w:t xml:space="preserve">Balderston v. Brady, 18 Idaho 238 (1910)</w:t>
      </w:r>
      <w:r>
        <w:t xml:space="preserve">;</w:t>
      </w:r>
      <w:r>
        <w:t xml:space="preserve"> </w:t>
      </w:r>
      <w:r>
        <w:rPr>
          <w:b/>
        </w:rPr>
        <w:t xml:space="preserve">Okfuskee Cty. Sch. Dist. No. 23, 166 Okla. 226 (1933)</w:t>
      </w:r>
      <w:r>
        <w:t xml:space="preserve">;</w:t>
      </w:r>
      <w:r>
        <w:t xml:space="preserve"> </w:t>
      </w:r>
      <w:r>
        <w:rPr>
          <w:b/>
        </w:rPr>
        <w:t xml:space="preserve">Schutter, 2024 MT 88</w:t>
      </w:r>
      <w:r>
        <w:t xml:space="preserve">;</w:t>
      </w:r>
      <w:r>
        <w:t xml:space="preserve"> </w:t>
      </w:r>
      <w:r>
        <w:rPr>
          <w:b/>
        </w:rPr>
        <w:t xml:space="preserve">Tracy, 125 Ohio St. 399 (1932)</w:t>
      </w:r>
      <w:r>
        <w:t xml:space="preserve">. Only the Missouri</w:t>
      </w:r>
      <w:r>
        <w:t xml:space="preserve"> </w:t>
      </w:r>
      <w:r>
        <w:rPr>
          <w:i/>
        </w:rPr>
        <w:t xml:space="preserve">Fulton</w:t>
      </w:r>
      <w:r>
        <w:t xml:space="preserve"> </w:t>
      </w:r>
      <w:r>
        <w:t xml:space="preserve">case and the original-thirteen fund-clause cites and the fire-sale dollar figures remain flagged — nothing invented.</w:t>
      </w:r>
    </w:p>
    <w:p>
      <w:pPr>
        <w:pStyle w:val="Heading2"/>
      </w:pPr>
      <w:bookmarkStart w:id="23" w:name="X90a83ed1cea10ae89b2e41a1ff93bfa4ed3ad07"/>
      <w:r>
        <w:t xml:space="preserve">v17 — 2026-06-01 (citation verification via CourtListener)</w:t>
      </w:r>
      <w:bookmarkEnd w:id="23"/>
    </w:p>
    <w:p>
      <w:pPr>
        <w:pStyle w:val="FirstParagraph"/>
      </w:pPr>
      <w:r>
        <w:rPr>
          <w:i/>
        </w:rPr>
        <w:t xml:space="preserve">Source:</w:t>
      </w:r>
      <w:r>
        <w:rPr>
          <w:i/>
        </w:rPr>
        <w:t xml:space="preserve"> </w:t>
      </w:r>
      <w:r>
        <w:rPr>
          <w:rStyle w:val="VerbatimChar"/>
          <w:i/>
        </w:rPr>
        <w:t xml:space="preserve">FFG_v16_2026-06-01.md</w:t>
      </w:r>
      <w:r>
        <w:rPr>
          <w:i/>
        </w:rPr>
        <w:t xml:space="preserve">.</w:t>
      </w:r>
      <w:r>
        <w:t xml:space="preserve"> </w:t>
      </w:r>
      <w:r>
        <w:t xml:space="preserve">Ran the gaps register’s case-citation items against the CourtListener legal database and pinned the recoverable ones with real reporter cites: Massachusetts</w:t>
      </w:r>
      <w:r>
        <w:t xml:space="preserve"> </w:t>
      </w:r>
      <w:r>
        <w:rPr>
          <w:i/>
        </w:rPr>
        <w:t xml:space="preserve">McDuffy</w:t>
      </w:r>
      <w:r>
        <w:t xml:space="preserve"> </w:t>
      </w:r>
      <w:r>
        <w:t xml:space="preserve">(415 Mass. 545, 615 N.E.2d 516 (1993)); New Hampshire</w:t>
      </w:r>
      <w:r>
        <w:t xml:space="preserve"> </w:t>
      </w:r>
      <w:r>
        <w:rPr>
          <w:i/>
        </w:rPr>
        <w:t xml:space="preserve">Claremont</w:t>
      </w:r>
      <w:r>
        <w:t xml:space="preserve"> </w:t>
      </w:r>
      <w:r>
        <w:t xml:space="preserve">line (143 N.H. 154 (1998)–147 N.H. 499 (2002)); Pennsylvania</w:t>
      </w:r>
      <w:r>
        <w:t xml:space="preserve"> </w:t>
      </w:r>
      <w:r>
        <w:rPr>
          <w:i/>
        </w:rPr>
        <w:t xml:space="preserve">William Penn</w:t>
      </w:r>
      <w:r>
        <w:t xml:space="preserve"> </w:t>
      </w:r>
      <w:r>
        <w:t xml:space="preserve">(170 A.3d 414 (Pa. 2017)); New Mexico</w:t>
      </w:r>
      <w:r>
        <w:t xml:space="preserve"> </w:t>
      </w:r>
      <w:r>
        <w:rPr>
          <w:i/>
        </w:rPr>
        <w:t xml:space="preserve">King v. Lyons</w:t>
      </w:r>
      <w:r>
        <w:t xml:space="preserve"> </w:t>
      </w:r>
      <w:r>
        <w:t xml:space="preserve">(2011-NMSC-004, 149 N.M. 330, 248 P.3d 878);</w:t>
      </w:r>
      <w:r>
        <w:t xml:space="preserve"> </w:t>
      </w:r>
      <w:r>
        <w:rPr>
          <w:i/>
        </w:rPr>
        <w:t xml:space="preserve">Hill v. Thompson</w:t>
      </w:r>
      <w:r>
        <w:t xml:space="preserve"> </w:t>
      </w:r>
      <w:r>
        <w:t xml:space="preserve">(564 So. 2d 1 (Miss. 1989)) confirmed. Items that did NOT confirm stay flagged, not invented: the Mississippi Rankin County 1975 self-dealing case (no match — the discredited</w:t>
      </w:r>
      <w:r>
        <w:t xml:space="preserve"> </w:t>
      </w:r>
      <w:r>
        <w:t xml:space="preserve">“</w:t>
      </w:r>
      <w:r>
        <w:t xml:space="preserve">Holmes v. Jones</w:t>
      </w:r>
      <w:r>
        <w:t xml:space="preserve">”</w:t>
      </w:r>
      <w:r>
        <w:t xml:space="preserve"> </w:t>
      </w:r>
      <w:r>
        <w:t xml:space="preserve">stays out), the Oregon</w:t>
      </w:r>
      <w:r>
        <w:t xml:space="preserve"> </w:t>
      </w:r>
      <w:r>
        <w:t xml:space="preserve">“</w:t>
      </w:r>
      <w:r>
        <w:t xml:space="preserve">Cascadia</w:t>
      </w:r>
      <w:r>
        <w:t xml:space="preserve">”</w:t>
      </w:r>
      <w:r>
        <w:t xml:space="preserve"> </w:t>
      </w:r>
      <w:r>
        <w:t xml:space="preserve">reference (the real case is A184055), and the Chicago/Wisconsin/Alabama fire-sale dollar figures (web could not pin them).</w:t>
      </w:r>
    </w:p>
    <w:p>
      <w:pPr>
        <w:pStyle w:val="Heading2"/>
      </w:pPr>
      <w:bookmarkStart w:id="24" w:name="v16-2026-06-01-documentation-finish"/>
      <w:r>
        <w:t xml:space="preserve">v16 — 2026-06-01 (documentation finish)</w:t>
      </w:r>
      <w:bookmarkEnd w:id="24"/>
    </w:p>
    <w:p>
      <w:pPr>
        <w:pStyle w:val="FirstParagraph"/>
      </w:pPr>
      <w:r>
        <w:rPr>
          <w:i/>
        </w:rPr>
        <w:t xml:space="preserve">Source:</w:t>
      </w:r>
      <w:r>
        <w:rPr>
          <w:i/>
        </w:rPr>
        <w:t xml:space="preserve"> </w:t>
      </w:r>
      <w:r>
        <w:rPr>
          <w:rStyle w:val="VerbatimChar"/>
          <w:i/>
        </w:rPr>
        <w:t xml:space="preserve">FFG_v15_2026-06-01.md</w:t>
      </w:r>
      <w:r>
        <w:rPr>
          <w:i/>
        </w:rPr>
        <w:t xml:space="preserve">.</w:t>
      </w:r>
      <w:r>
        <w:t xml:space="preserve"> </w:t>
      </w:r>
      <w:r>
        <w:t xml:space="preserve">Completes the documentation pass: resolved</w:t>
      </w:r>
      <w:r>
        <w:t xml:space="preserve"> </w:t>
      </w:r>
      <w:r>
        <w:rPr>
          <w:i/>
        </w:rPr>
        <w:t xml:space="preserve">United States v. Morrison</w:t>
      </w:r>
      <w:r>
        <w:t xml:space="preserve">, 240 U.S. 192 (1916) (web-verified — the case arose under Oregon’s 1859 Act; quotation confirmed), upgrading it from a flag to a citation; corrected the</w:t>
      </w:r>
      <w:r>
        <w:t xml:space="preserve"> </w:t>
      </w:r>
      <w:r>
        <w:rPr>
          <w:i/>
        </w:rPr>
        <w:t xml:space="preserve">Lassen</w:t>
      </w:r>
      <w:r>
        <w:t xml:space="preserve"> </w:t>
      </w:r>
      <w:r>
        <w:t xml:space="preserve">pincite to 465–69; normalized all 33 Part Two state source labels to</w:t>
      </w:r>
      <w:r>
        <w:t xml:space="preserve"> </w:t>
      </w:r>
      <w:r>
        <w:rPr>
          <w:rStyle w:val="VerbatimChar"/>
        </w:rPr>
        <w:t xml:space="preserve">*Sources/notes:*</w:t>
      </w:r>
      <w:r>
        <w:t xml:space="preserve">; recovered real source citations for the non-grant Appendix states (Vermont, Kentucky, Maine, Virginia, West Virginia, Georgia) from the predecessor Ch2, flagging the original-thirteen entries whose reporter cites are not yet pinned.</w:t>
      </w:r>
      <w:r>
        <w:t xml:space="preserve"> </w:t>
      </w:r>
      <w:r>
        <w:rPr>
          <w:b/>
        </w:rPr>
        <w:t xml:space="preserve">Correction:</w:t>
      </w:r>
      <w:r>
        <w:t xml:space="preserve"> </w:t>
      </w:r>
      <w:r>
        <w:t xml:space="preserve">an earlier note that 19 state pages were</w:t>
      </w:r>
      <w:r>
        <w:t xml:space="preserve"> </w:t>
      </w:r>
      <w:r>
        <w:t xml:space="preserve">“</w:t>
      </w:r>
      <w:r>
        <w:t xml:space="preserve">undocumented</w:t>
      </w:r>
      <w:r>
        <w:t xml:space="preserve">”</w:t>
      </w:r>
      <w:r>
        <w:t xml:space="preserve"> </w:t>
      </w:r>
      <w:r>
        <w:t xml:space="preserve">was wrong — every state page already carried a source line (labeled</w:t>
      </w:r>
      <w:r>
        <w:t xml:space="preserve"> </w:t>
      </w:r>
      <w:r>
        <w:rPr>
          <w:rStyle w:val="VerbatimChar"/>
        </w:rPr>
        <w:t xml:space="preserve">*Sources/notes:*</w:t>
      </w:r>
      <w:r>
        <w:t xml:space="preserve">); the recovery agents cross-checked them against the verification stack and they hold. The Documentation Gaps register is corrected accordingly.</w:t>
      </w:r>
    </w:p>
    <w:p>
      <w:pPr>
        <w:pStyle w:val="Heading2"/>
      </w:pPr>
      <w:bookmarkStart w:id="25" w:name="X566b4ea54cee89ee762becc4428bf2c8c73c5c9"/>
      <w:r>
        <w:t xml:space="preserve">v15 — 2026-06-01 (documentation recovery pass)</w:t>
      </w:r>
      <w:bookmarkEnd w:id="25"/>
    </w:p>
    <w:p>
      <w:pPr>
        <w:pStyle w:val="FirstParagraph"/>
      </w:pPr>
      <w:r>
        <w:rPr>
          <w:i/>
        </w:rPr>
        <w:t xml:space="preserve">Source:</w:t>
      </w:r>
      <w:r>
        <w:rPr>
          <w:i/>
        </w:rPr>
        <w:t xml:space="preserve"> </w:t>
      </w:r>
      <w:r>
        <w:rPr>
          <w:rStyle w:val="VerbatimChar"/>
          <w:i/>
        </w:rPr>
        <w:t xml:space="preserve">FFG_v14_2026-06-01.md</w:t>
      </w:r>
      <w:r>
        <w:rPr>
          <w:i/>
        </w:rPr>
        <w:t xml:space="preserve">.</w:t>
      </w:r>
      <w:r>
        <w:t xml:space="preserve"> </w:t>
      </w:r>
      <w:r>
        <w:t xml:space="preserve">Recovers the per-claim citations dropped in the v8→v9 restructure, mined from the predecessor</w:t>
      </w:r>
      <w:r>
        <w:t xml:space="preserve"> </w:t>
      </w:r>
      <w:r>
        <w:rPr>
          <w:i/>
        </w:rPr>
        <w:t xml:space="preserve">Schools of the Republic</w:t>
      </w:r>
      <w:r>
        <w:t xml:space="preserve"> </w:t>
      </w:r>
      <w:r>
        <w:t xml:space="preserve">chapter files (Ch1/Ch2/Ch4 in</w:t>
      </w:r>
      <w:r>
        <w:t xml:space="preserve"> </w:t>
      </w:r>
      <w:r>
        <w:rPr>
          <w:rStyle w:val="VerbatimChar"/>
        </w:rPr>
        <w:t xml:space="preserve">Book_Revision/Chapters/v2_2026-05-29/</w:t>
      </w:r>
      <w:r>
        <w:t xml:space="preserve">) and the verified-quotes file. Part One front matter and Chapters 1–8 + the Lenses are now footnoted for quotations, cases, statutes, and load-bearing claims; the back-of-book Notes section is expanded accordingly; a brief note on the Knowledge Stack method and a corrections link are added. Corrected a real error: the</w:t>
      </w:r>
      <w:r>
        <w:t xml:space="preserve"> </w:t>
      </w:r>
      <w:r>
        <w:t xml:space="preserve">“</w:t>
      </w:r>
      <w:r>
        <w:t xml:space="preserve">morals of the market place</w:t>
      </w:r>
      <w:r>
        <w:t xml:space="preserve">”</w:t>
      </w:r>
      <w:r>
        <w:t xml:space="preserve"> </w:t>
      </w:r>
      <w:r>
        <w:t xml:space="preserve">line was misattributed to</w:t>
      </w:r>
      <w:r>
        <w:t xml:space="preserve"> </w:t>
      </w:r>
      <w:r>
        <w:rPr>
          <w:i/>
        </w:rPr>
        <w:t xml:space="preserve">Magruder</w:t>
      </w:r>
      <w:r>
        <w:t xml:space="preserve">; it is Cardozo in</w:t>
      </w:r>
      <w:r>
        <w:t xml:space="preserve"> </w:t>
      </w:r>
      <w:r>
        <w:rPr>
          <w:i/>
        </w:rPr>
        <w:t xml:space="preserve">Meinhard</w:t>
      </w:r>
      <w:r>
        <w:t xml:space="preserve">. Items that could not be sourced from the stack are flagged</w:t>
      </w:r>
      <w:r>
        <w:t xml:space="preserve"> </w:t>
      </w:r>
      <w:r>
        <w:rPr>
          <w:rStyle w:val="VerbatimChar"/>
        </w:rPr>
        <w:t xml:space="preserve">[VERIFY]</w:t>
      </w:r>
      <w:r>
        <w:t xml:space="preserve"> </w:t>
      </w:r>
      <w:r>
        <w:t xml:space="preserve">in the text and compiled in</w:t>
      </w:r>
      <w:r>
        <w:t xml:space="preserve"> </w:t>
      </w:r>
      <w:r>
        <w:rPr>
          <w:rStyle w:val="VerbatimChar"/>
        </w:rPr>
        <w:t xml:space="preserve">FFG_v15_Documentation_Gaps_2026-06-01.md</w:t>
      </w:r>
      <w:r>
        <w:t xml:space="preserve"> </w:t>
      </w:r>
      <w:r>
        <w:t xml:space="preserve">— nothing was invented to fill a gap.</w:t>
      </w:r>
    </w:p>
    <w:p>
      <w:pPr>
        <w:pStyle w:val="Heading2"/>
      </w:pPr>
      <w:bookmarkStart w:id="26" w:name="Xd477bd5beceeec6a516b6e312a48af3728951c1"/>
      <w:r>
        <w:t xml:space="preserve">v14 — 2026-06-01 (KDP front matter + per-state QR codes)</w:t>
      </w:r>
      <w:bookmarkEnd w:id="26"/>
    </w:p>
    <w:p>
      <w:pPr>
        <w:pStyle w:val="FirstParagraph"/>
      </w:pPr>
      <w:r>
        <w:rPr>
          <w:i/>
        </w:rPr>
        <w:t xml:space="preserve">Source:</w:t>
      </w:r>
      <w:r>
        <w:rPr>
          <w:i/>
        </w:rPr>
        <w:t xml:space="preserve"> </w:t>
      </w:r>
      <w:r>
        <w:rPr>
          <w:rStyle w:val="VerbatimChar"/>
          <w:i/>
        </w:rPr>
        <w:t xml:space="preserve">FFG_v13_2026-06-01.md</w:t>
      </w:r>
      <w:r>
        <w:rPr>
          <w:i/>
        </w:rPr>
        <w:t xml:space="preserve">.</w:t>
      </w:r>
      <w:r>
        <w:t xml:space="preserve"> </w:t>
      </w:r>
      <w:r>
        <w:t xml:space="preserve">Adds publication front matter for an Amazon KDP print edition (half-title, full title page, copyright page with ISBN placeholder, dedication) and an</w:t>
      </w:r>
      <w:r>
        <w:t xml:space="preserve"> </w:t>
      </w:r>
      <w:r>
        <w:rPr>
          <w:b/>
        </w:rPr>
        <w:t xml:space="preserve">“</w:t>
      </w:r>
      <w:r>
        <w:rPr>
          <w:b/>
        </w:rPr>
        <w:t xml:space="preserve">A Living Record</w:t>
      </w:r>
      <w:r>
        <w:rPr>
          <w:b/>
        </w:rPr>
        <w:t xml:space="preserve">”</w:t>
      </w:r>
      <w:r>
        <w:t xml:space="preserve"> </w:t>
      </w:r>
      <w:r>
        <w:t xml:space="preserve">note explaining why the state portraits are brief and current data lives online. Each of the 33 Part Two state entries now carries a QR code to its living page at schooltrusts.net/reading/us-XX; the 17 non-grant states’ codes are listed in the Appendix; a hub code in the front matter links the full index; the front matter now also briefly describes America’s School Trust Library (the online home the codes lead to). The KDP interior does not embed the covers (KDP takes the cover as a separate file). No narrative/figure/endnote changes from v13.</w:t>
      </w:r>
    </w:p>
    <w:p>
      <w:pPr>
        <w:pStyle w:val="Heading2"/>
      </w:pPr>
      <w:bookmarkStart w:id="27" w:name="v13-2026-06-01-endnotes-pass-over-v12"/>
      <w:r>
        <w:t xml:space="preserve">v13 — 2026-06-01 (endnotes pass over v12)</w:t>
      </w:r>
      <w:bookmarkEnd w:id="27"/>
    </w:p>
    <w:p>
      <w:pPr>
        <w:pStyle w:val="FirstParagraph"/>
      </w:pPr>
      <w:r>
        <w:rPr>
          <w:i/>
        </w:rPr>
        <w:t xml:space="preserve">Source:</w:t>
      </w:r>
      <w:r>
        <w:rPr>
          <w:i/>
        </w:rPr>
        <w:t xml:space="preserve"> </w:t>
      </w:r>
      <w:r>
        <w:rPr>
          <w:rStyle w:val="VerbatimChar"/>
          <w:i/>
        </w:rPr>
        <w:t xml:space="preserve">FFG_v12_2026-06-01.md</w:t>
      </w:r>
      <w:r>
        <w:rPr>
          <w:i/>
        </w:rPr>
        <w:t xml:space="preserve">.</w:t>
      </w:r>
      <w:r>
        <w:t xml:space="preserve"> </w:t>
      </w:r>
      <w:r>
        <w:t xml:space="preserve">Restores the per-claim source notes that were dropped in the v8→v9 restructure, now as a</w:t>
      </w:r>
      <w:r>
        <w:t xml:space="preserve"> </w:t>
      </w:r>
      <w:r>
        <w:rPr>
          <w:b/>
        </w:rPr>
        <w:t xml:space="preserve">back-of-book Notes section organized by chapter</w:t>
      </w:r>
      <w:r>
        <w:t xml:space="preserve"> </w:t>
      </w:r>
      <w:r>
        <w:t xml:space="preserve">(superscript markers in the Part One narrative; numbered notes in back). Notes carry the verified citations and the substantive caveats from the v8 apparatus (e.g. the misattributed</w:t>
      </w:r>
      <w:r>
        <w:t xml:space="preserve"> </w:t>
      </w:r>
      <w:r>
        <w:rPr>
          <w:i/>
        </w:rPr>
        <w:t xml:space="preserve">Ervien</w:t>
      </w:r>
      <w:r>
        <w:t xml:space="preserve"> </w:t>
      </w:r>
      <w:r>
        <w:t xml:space="preserve">sentence, the Lassen statute-of-limitations gap, Beadle’s $10 floor vs the $1.25 federal price,</w:t>
      </w:r>
      <w:r>
        <w:t xml:space="preserve"> </w:t>
      </w:r>
      <w:r>
        <w:rPr>
          <w:i/>
        </w:rPr>
        <w:t xml:space="preserve">Skamania</w:t>
      </w:r>
      <w:r>
        <w:t xml:space="preserve"> </w:t>
      </w:r>
      <w:r>
        <w:t xml:space="preserve">vs</w:t>
      </w:r>
      <w:r>
        <w:t xml:space="preserve"> </w:t>
      </w:r>
      <w:r>
        <w:rPr>
          <w:i/>
        </w:rPr>
        <w:t xml:space="preserve">McCleary</w:t>
      </w:r>
      <w:r>
        <w:t xml:space="preserve">). Part Two state dossiers keep their existing per-entry source notes. No narrative text or figures changed from v11/v12.</w:t>
      </w:r>
    </w:p>
    <w:p>
      <w:pPr>
        <w:pStyle w:val="Heading2"/>
      </w:pPr>
      <w:bookmarkStart w:id="28" w:name="v12-2026-06-01-layout-pass-over-v11"/>
      <w:r>
        <w:t xml:space="preserve">v12 — 2026-06-01 (layout pass over v11)</w:t>
      </w:r>
      <w:bookmarkEnd w:id="28"/>
    </w:p>
    <w:p>
      <w:pPr>
        <w:pStyle w:val="FirstParagraph"/>
      </w:pPr>
      <w:r>
        <w:rPr>
          <w:i/>
        </w:rPr>
        <w:t xml:space="preserve">Source:</w:t>
      </w:r>
      <w:r>
        <w:rPr>
          <w:i/>
        </w:rPr>
        <w:t xml:space="preserve"> </w:t>
      </w:r>
      <w:r>
        <w:rPr>
          <w:rStyle w:val="VerbatimChar"/>
          <w:i/>
        </w:rPr>
        <w:t xml:space="preserve">FFG_v11_codex_2026-06-01.md</w:t>
      </w:r>
      <w:r>
        <w:rPr>
          <w:i/>
        </w:rPr>
        <w:t xml:space="preserve"> </w:t>
      </w:r>
      <w:r>
        <w:rPr>
          <w:i/>
        </w:rPr>
        <w:t xml:space="preserve">(canonical figures unchanged).</w:t>
      </w:r>
      <w:r>
        <w:t xml:space="preserve"> </w:t>
      </w:r>
      <w:r>
        <w:t xml:space="preserve">v12 is a</w:t>
      </w:r>
      <w:r>
        <w:t xml:space="preserve"> </w:t>
      </w:r>
      <w:r>
        <w:rPr>
          <w:b/>
        </w:rPr>
        <w:t xml:space="preserve">layout-only</w:t>
      </w:r>
      <w:r>
        <w:t xml:space="preserve"> </w:t>
      </w:r>
      <w:r>
        <w:t xml:space="preserve">pass: adds an auto-updating Table of Contents (chapter level, with page numbers) after the title page, and forces a page break before every chapter, part, lens, back-matter section, and each Part Two state dossier so each starts on a fresh page. No text or figure changes from v11. The Margaret DOCX keeps the front+back covers on pages 1–2.</w:t>
      </w:r>
    </w:p>
    <w:p>
      <w:pPr>
        <w:pStyle w:val="Heading2"/>
      </w:pPr>
      <w:bookmarkStart w:id="29" w:name="X00f15cf96f2dd820a6e0e5d3a54f86c2bb456ee"/>
      <w:r>
        <w:t xml:space="preserve">v11 – 2026-06-01 (Codex evidence-lock pass over v10)</w:t>
      </w:r>
      <w:bookmarkEnd w:id="29"/>
    </w:p>
    <w:p>
      <w:pPr>
        <w:pStyle w:val="FirstParagraph"/>
      </w:pPr>
      <w:r>
        <w:rPr>
          <w:i/>
        </w:rPr>
        <w:t xml:space="preserve">Figures web-verified 2026-06-01 (Cowork): confirmed Texas, New Mexico, Nebraska, Oregon, Wisconsin, Colorado; corrected North Dakota (about $8.4B as of Nov 30 2025), Idaho, Nevada ($531,127,843 fund balance), South Dakota, Utah (Permanent State School Fund ~$3.7B), Wyoming (~$5.0B FY2024); the unsourced national</w:t>
      </w:r>
      <w:r>
        <w:rPr>
          <w:i/>
        </w:rPr>
        <w:t xml:space="preserve"> </w:t>
      </w:r>
      <w:r>
        <w:rPr>
          <w:i/>
        </w:rPr>
        <w:t xml:space="preserve">“</w:t>
      </w:r>
      <w:r>
        <w:rPr>
          <w:i/>
        </w:rPr>
        <w:t xml:space="preserve">$115B funds / $5B FY2024 distributed</w:t>
      </w:r>
      <w:r>
        <w:rPr>
          <w:i/>
        </w:rPr>
        <w:t xml:space="preserve">”</w:t>
      </w:r>
      <w:r>
        <w:rPr>
          <w:i/>
        </w:rPr>
        <w:t xml:space="preserve"> </w:t>
      </w:r>
      <w:r>
        <w:rPr>
          <w:i/>
        </w:rPr>
        <w:t xml:space="preserve">aggregates were dropped in favor of ASTL’s published</w:t>
      </w:r>
      <w:r>
        <w:rPr>
          <w:i/>
        </w:rPr>
        <w:t xml:space="preserve"> </w:t>
      </w:r>
      <w:r>
        <w:rPr>
          <w:i/>
        </w:rPr>
        <w:t xml:space="preserve">“</w:t>
      </w:r>
      <w:r>
        <w:rPr>
          <w:i/>
        </w:rPr>
        <w:t xml:space="preserve">&gt;$100B assets / &gt;$1B FY2022.</w:t>
      </w:r>
      <w:r>
        <w:rPr>
          <w:i/>
        </w:rPr>
        <w:t xml:space="preserve">”</w:t>
      </w:r>
      <w:r>
        <w:rPr>
          <w:i/>
        </w:rPr>
        <w:t xml:space="preserve"> </w:t>
      </w:r>
      <w:r>
        <w:rPr>
          <w:b/>
          <w:i/>
        </w:rPr>
        <w:t xml:space="preserve">v11 is the canonical FFG head.</w:t>
      </w:r>
      <w:r>
        <w:rPr>
          <w:i/>
        </w:rPr>
        <w:t xml:space="preserve"> </w:t>
      </w:r>
      <w:r>
        <w:rPr>
          <w:i/>
        </w:rPr>
        <w:t xml:space="preserve">Per-figure detail in</w:t>
      </w:r>
      <w:r>
        <w:rPr>
          <w:i/>
        </w:rPr>
        <w:t xml:space="preserve"> </w:t>
      </w:r>
      <w:r>
        <w:rPr>
          <w:rStyle w:val="VerbatimChar"/>
          <w:i/>
        </w:rPr>
        <w:t xml:space="preserve">FFG_v11_Verification_Ledger_2026-06-01.md</w:t>
      </w:r>
      <w:r>
        <w:rPr>
          <w:i/>
        </w:rPr>
        <w:t xml:space="preserve"> </w:t>
      </w:r>
      <w:r>
        <w:rPr>
          <w:i/>
        </w:rPr>
        <w:t xml:space="preserve">and</w:t>
      </w:r>
      <w:r>
        <w:rPr>
          <w:i/>
        </w:rPr>
        <w:t xml:space="preserve"> </w:t>
      </w:r>
      <w:r>
        <w:rPr>
          <w:rStyle w:val="VerbatimChar"/>
          <w:i/>
        </w:rPr>
        <w:t xml:space="preserve">L1_Canonical_Claims/L1_Figures.md</w:t>
      </w:r>
      <w:r>
        <w:rPr>
          <w:i/>
        </w:rPr>
        <w:t xml:space="preserve">.</w:t>
      </w:r>
    </w:p>
    <w:p>
      <w:pPr>
        <w:pStyle w:val="BodyText"/>
      </w:pPr>
      <w:r>
        <w:rPr>
          <w:i/>
        </w:rPr>
        <w:t xml:space="preserve">Source file:</w:t>
      </w:r>
      <w:r>
        <w:t xml:space="preserve"> </w:t>
      </w:r>
      <w:r>
        <w:rPr>
          <w:rStyle w:val="VerbatimChar"/>
        </w:rPr>
        <w:t xml:space="preserve">FFG_v10_2026-06-01.md</w:t>
      </w:r>
      <w:r>
        <w:t xml:space="preserve">. v11 does not rewrite the book’s spine; it locks citations, removes print-facing verification scaffolding, and moves unresolved items into the ledger/logs.</w:t>
      </w:r>
    </w:p>
    <w:p>
      <w:pPr>
        <w:pStyle w:val="BodyText"/>
      </w:pPr>
      <w:r>
        <w:t xml:space="preserve">Evidence-lock actions:</w:t>
      </w:r>
    </w:p>
    <w:p>
      <w:pPr>
        <w:numPr>
          <w:ilvl w:val="0"/>
          <w:numId w:val="1001"/>
        </w:numPr>
        <w:pStyle w:val="Compact"/>
      </w:pPr>
      <w:r>
        <w:t xml:space="preserve">Created</w:t>
      </w:r>
      <w:r>
        <w:t xml:space="preserve"> </w:t>
      </w:r>
      <w:r>
        <w:rPr>
          <w:rStyle w:val="VerbatimChar"/>
        </w:rPr>
        <w:t xml:space="preserve">FFG_v11_Verification_Ledger_2026-06-01.md</w:t>
      </w:r>
      <w:r>
        <w:t xml:space="preserve">, capturing 98 verification flags, 2 quote-needed flags, and 2 author-review flags found in v10.</w:t>
      </w:r>
    </w:p>
    <w:p>
      <w:pPr>
        <w:numPr>
          <w:ilvl w:val="0"/>
          <w:numId w:val="1001"/>
        </w:numPr>
        <w:pStyle w:val="Compact"/>
      </w:pPr>
      <w:r>
        <w:t xml:space="preserve">Removed visible bracketed verification markers from the manuscript and either resolved them with dated sources or tightened the prose so the book does not assert an unverified number.</w:t>
      </w:r>
    </w:p>
    <w:p>
      <w:pPr>
        <w:numPr>
          <w:ilvl w:val="0"/>
          <w:numId w:val="1001"/>
        </w:numPr>
        <w:pStyle w:val="Compact"/>
      </w:pPr>
      <w:r>
        <w:t xml:space="preserve">Resolved reusable present-day figures for North Dakota, Oregon, Idaho, Nebraska, Nevada, South Dakota, Texas, Utah, Wisconsin, and Wyoming; retained prior verified figures for New Mexico, Colorado, Minnesota, Arizona, Alaska, and California from the 2026-05-29 finishing/propagation reports.</w:t>
      </w:r>
    </w:p>
    <w:p>
      <w:pPr>
        <w:numPr>
          <w:ilvl w:val="0"/>
          <w:numId w:val="1001"/>
        </w:numPr>
        <w:pStyle w:val="Compact"/>
      </w:pPr>
      <w:r>
        <w:t xml:space="preserve">Promoted reusable figures into</w:t>
      </w:r>
      <w:r>
        <w:t xml:space="preserve"> </w:t>
      </w:r>
      <w:r>
        <w:rPr>
          <w:rStyle w:val="VerbatimChar"/>
        </w:rPr>
        <w:t xml:space="preserve">L1_Canonical_Claims/L1_Figures.md</w:t>
      </w:r>
      <w:r>
        <w:t xml:space="preserve"> </w:t>
      </w:r>
      <w:r>
        <w:t xml:space="preserve">so later passes can cite one source of truth.</w:t>
      </w:r>
    </w:p>
    <w:p>
      <w:pPr>
        <w:numPr>
          <w:ilvl w:val="0"/>
          <w:numId w:val="1001"/>
        </w:numPr>
        <w:pStyle w:val="Compact"/>
      </w:pPr>
      <w:r>
        <w:t xml:space="preserve">Moved unclosed quotation/oral-history material into</w:t>
      </w:r>
      <w:r>
        <w:t xml:space="preserve"> </w:t>
      </w:r>
      <w:r>
        <w:rPr>
          <w:rStyle w:val="VerbatimChar"/>
        </w:rPr>
        <w:t xml:space="preserve">FFG_v11_Quote_Compliance_Log_2026-06-01.md</w:t>
      </w:r>
      <w:r>
        <w:t xml:space="preserve"> </w:t>
      </w:r>
      <w:r>
        <w:t xml:space="preserve">and moved unresolved numbers into</w:t>
      </w:r>
      <w:r>
        <w:t xml:space="preserve"> </w:t>
      </w:r>
      <w:r>
        <w:rPr>
          <w:rStyle w:val="VerbatimChar"/>
        </w:rPr>
        <w:t xml:space="preserve">FFG_v11_Unresolved_Research_Log_2026-06-01.md</w:t>
      </w:r>
      <w:r>
        <w:t xml:space="preserve">.</w:t>
      </w:r>
    </w:p>
    <w:p>
      <w:pPr>
        <w:numPr>
          <w:ilvl w:val="0"/>
          <w:numId w:val="1001"/>
        </w:numPr>
        <w:pStyle w:val="Compact"/>
      </w:pPr>
      <w:r>
        <w:t xml:space="preserve">Replaced the v9 editor’s report with a v11 evidence-lock report.</w:t>
      </w:r>
    </w:p>
    <w:p>
      <w:pPr>
        <w:pStyle w:val="FirstParagraph"/>
      </w:pPr>
      <w:r>
        <w:t xml:space="preserve">Figure sources used in this pass include: the North Dakota Department of Trust Lands / State Treasurer monthly investment report ($8.4B as of Nov. 30, 2025); the Oregon Common School Fund audited financial report and DSL fact sheet (FY2025 / March 2025); Idaho EFIB FY2025 financial statements; Nebraska BELF FY2025 annual report; Nevada Controller FY2025 Permanent School Fund report; South Dakota Investment Council FY2025 annual report; Texas PSF Corporation FY2025 ACFR / TEA bond-guarantee disclosure as captured in the 2026-05-29 finishing report; Utah Trust Lands FY2025 performance reporting; Wisconsin BCPL Common School Fund / Library Aid reporting; and Wyoming Treasurer / 2023 ACFR outlook reporting.</w:t>
      </w:r>
    </w:p>
    <w:p>
      <w:pPr>
        <w:pStyle w:val="Heading2"/>
      </w:pPr>
      <w:bookmarkStart w:id="30" w:name="v10-2026-06-01-restoration-pass-over-v9"/>
      <w:r>
        <w:t xml:space="preserve">v10 — 2026-06-01 (restoration pass over v9)</w:t>
      </w:r>
      <w:bookmarkEnd w:id="30"/>
    </w:p>
    <w:p>
      <w:pPr>
        <w:pStyle w:val="FirstParagraph"/>
      </w:pPr>
      <w:r>
        <w:rPr>
          <w:i/>
        </w:rPr>
        <w:t xml:space="preserve">Source file:</w:t>
      </w:r>
      <w:r>
        <w:t xml:space="preserve"> </w:t>
      </w:r>
      <w:r>
        <w:rPr>
          <w:rStyle w:val="VerbatimChar"/>
        </w:rPr>
        <w:t xml:space="preserve">FFG_v9_codex_2026-06-01.md</w:t>
      </w:r>
      <w:r>
        <w:t xml:space="preserve">. v10 keeps everything that made v9 better — the duty-first Part One (Loyalty / Prudence / Competence / Supervision), the breach taxonomy carried once in Lens 3 instead of duplicated, and the compressed non-grant appendix table — and puts back the vivid narrative cargo v9 over-compressed, under tighter quote-and-figure discipline. Per Codex’s own self-review: keep the skeleton, put the muscle back.</w:t>
      </w:r>
    </w:p>
    <w:p>
      <w:pPr>
        <w:pStyle w:val="BodyText"/>
      </w:pPr>
      <w:r>
        <w:t xml:space="preserve">Restored:</w:t>
      </w:r>
    </w:p>
    <w:p>
      <w:pPr>
        <w:numPr>
          <w:ilvl w:val="0"/>
          <w:numId w:val="1002"/>
        </w:numPr>
        <w:pStyle w:val="Compact"/>
      </w:pPr>
      <w:r>
        <w:rPr>
          <w:b/>
        </w:rPr>
        <w:t xml:space="preserve">Ch5 (Prudence) — the fuller fire-sale sequence:</w:t>
      </w:r>
      <w:r>
        <w:t xml:space="preserve"> </w:t>
      </w:r>
      <w:r>
        <w:t xml:space="preserve">Ohio (first and worst), Kansas, California (failure by omission), the Chicago Section 16 sale, Wisconsin’s price-capped grant, Michigan’s second-window giveaway, Alabama’s bank collapse, and Nevada (including Margaret Bird’s never-claimed-acreage point, held for verification).</w:t>
      </w:r>
    </w:p>
    <w:p>
      <w:pPr>
        <w:numPr>
          <w:ilvl w:val="0"/>
          <w:numId w:val="1002"/>
        </w:numPr>
        <w:pStyle w:val="Compact"/>
      </w:pPr>
      <w:r>
        <w:rPr>
          <w:b/>
        </w:rPr>
        <w:t xml:space="preserve">Ch5 — the</w:t>
      </w:r>
      <w:r>
        <w:rPr>
          <w:b/>
        </w:rPr>
        <w:t xml:space="preserve"> </w:t>
      </w:r>
      <w:r>
        <w:rPr>
          <w:b/>
        </w:rPr>
        <w:t xml:space="preserve">“</w:t>
      </w:r>
      <w:r>
        <w:rPr>
          <w:b/>
        </w:rPr>
        <w:t xml:space="preserve">Don’t Eat the Seed Corn</w:t>
      </w:r>
      <w:r>
        <w:rPr>
          <w:b/>
        </w:rPr>
        <w:t xml:space="preserve">”</w:t>
      </w:r>
      <w:r>
        <w:rPr>
          <w:b/>
        </w:rPr>
        <w:t xml:space="preserve"> </w:t>
      </w:r>
      <w:r>
        <w:rPr>
          <w:b/>
        </w:rPr>
        <w:t xml:space="preserve">teaching box</w:t>
      </w:r>
      <w:r>
        <w:t xml:space="preserve"> </w:t>
      </w:r>
      <w:r>
        <w:t xml:space="preserve">(Nebraska sweep + 1897 Sheldon Act), kept alongside the analytical</w:t>
      </w:r>
      <w:r>
        <w:t xml:space="preserve"> </w:t>
      </w:r>
      <w:r>
        <w:t xml:space="preserve">“</w:t>
      </w:r>
      <w:r>
        <w:t xml:space="preserve">Corpus Test</w:t>
      </w:r>
      <w:r>
        <w:t xml:space="preserve">”</w:t>
      </w:r>
      <w:r>
        <w:t xml:space="preserve"> </w:t>
      </w:r>
      <w:r>
        <w:t xml:space="preserve">box. The unsupported Arizona</w:t>
      </w:r>
      <w:r>
        <w:t xml:space="preserve"> </w:t>
      </w:r>
      <w:r>
        <w:t xml:space="preserve">“</w:t>
      </w:r>
      <w:r>
        <w:t xml:space="preserve">billion-dollar-smaller</w:t>
      </w:r>
      <w:r>
        <w:t xml:space="preserve">”</w:t>
      </w:r>
      <w:r>
        <w:t xml:space="preserve"> </w:t>
      </w:r>
      <w:r>
        <w:t xml:space="preserve">figure is</w:t>
      </w:r>
      <w:r>
        <w:t xml:space="preserve"> </w:t>
      </w:r>
      <w:r>
        <w:rPr>
          <w:i/>
        </w:rPr>
        <w:t xml:space="preserve">not</w:t>
      </w:r>
      <w:r>
        <w:t xml:space="preserve"> </w:t>
      </w:r>
      <w:r>
        <w:t xml:space="preserve">reintroduced.</w:t>
      </w:r>
    </w:p>
    <w:p>
      <w:pPr>
        <w:numPr>
          <w:ilvl w:val="0"/>
          <w:numId w:val="1002"/>
        </w:numPr>
        <w:pStyle w:val="Compact"/>
      </w:pPr>
      <w:r>
        <w:rPr>
          <w:b/>
        </w:rPr>
        <w:t xml:space="preserve">Ch5 — Beadle’s constitutional floor and North Dakota</w:t>
      </w:r>
      <w:r>
        <w:t xml:space="preserve"> </w:t>
      </w:r>
      <w:r>
        <w:t xml:space="preserve">as living counter-stories, correcting v9’s misattribution of the South Dakota minimum-price crusade (it was W.H.H. Beadle himself, not</w:t>
      </w:r>
      <w:r>
        <w:t xml:space="preserve"> </w:t>
      </w:r>
      <w:r>
        <w:t xml:space="preserve">“</w:t>
      </w:r>
      <w:r>
        <w:t xml:space="preserve">Pettigrew and the Beadle Club</w:t>
      </w:r>
      <w:r>
        <w:t xml:space="preserve">”</w:t>
      </w:r>
      <w:r>
        <w:t xml:space="preserve">).</w:t>
      </w:r>
    </w:p>
    <w:p>
      <w:pPr>
        <w:numPr>
          <w:ilvl w:val="0"/>
          <w:numId w:val="1002"/>
        </w:numPr>
        <w:pStyle w:val="Compact"/>
      </w:pPr>
      <w:r>
        <w:rPr>
          <w:b/>
        </w:rPr>
        <w:t xml:space="preserve">Ch7 (Supervision) — the richer Mississippi sweetheart-lease story</w:t>
      </w:r>
      <w:r>
        <w:t xml:space="preserve"> </w:t>
      </w:r>
      <w:r>
        <w:t xml:space="preserve">(Forest’s $7.50 ninety-nine-year lease; the Rankin County self-dealing case, 1975).</w:t>
      </w:r>
    </w:p>
    <w:p>
      <w:pPr>
        <w:numPr>
          <w:ilvl w:val="0"/>
          <w:numId w:val="1002"/>
        </w:numPr>
        <w:pStyle w:val="Compact"/>
      </w:pPr>
      <w:r>
        <w:rPr>
          <w:b/>
        </w:rPr>
        <w:t xml:space="preserve">Ch7 — New Mexico</w:t>
      </w:r>
      <w:r>
        <w:rPr>
          <w:b/>
        </w:rPr>
        <w:t xml:space="preserve"> </w:t>
      </w:r>
      <w:r>
        <w:rPr>
          <w:b/>
        </w:rPr>
        <w:t xml:space="preserve">“</w:t>
      </w:r>
      <w:r>
        <w:rPr>
          <w:b/>
        </w:rPr>
        <w:t xml:space="preserve">words with teeth</w:t>
      </w:r>
      <w:r>
        <w:rPr>
          <w:b/>
        </w:rPr>
        <w:t xml:space="preserve">”</w:t>
      </w:r>
      <w:r>
        <w:t xml:space="preserve"> </w:t>
      </w:r>
      <w:r>
        <w:t xml:space="preserve">(the 1910 Enabling Act naming the U.S. Attorney General as enforcer;</w:t>
      </w:r>
      <w:r>
        <w:t xml:space="preserve"> </w:t>
      </w:r>
      <w:r>
        <w:rPr>
          <w:i/>
        </w:rPr>
        <w:t xml:space="preserve">Ervien</w:t>
      </w:r>
      <w:r>
        <w:t xml:space="preserve">;</w:t>
      </w:r>
      <w:r>
        <w:t xml:space="preserve"> </w:t>
      </w:r>
      <w:r>
        <w:rPr>
          <w:i/>
        </w:rPr>
        <w:t xml:space="preserve">Lassen</w:t>
      </w:r>
      <w:r>
        <w:t xml:space="preserve"> </w:t>
      </w:r>
      <w:r>
        <w:t xml:space="preserve">full-cash-value; the</w:t>
      </w:r>
      <w:r>
        <w:t xml:space="preserve"> </w:t>
      </w:r>
      <w:r>
        <w:t xml:space="preserve">“</w:t>
      </w:r>
      <w:r>
        <w:t xml:space="preserve">beneficiaries fell asleep, the teeth went dull</w:t>
      </w:r>
      <w:r>
        <w:t xml:space="preserve">”</w:t>
      </w:r>
      <w:r>
        <w:t xml:space="preserve"> </w:t>
      </w:r>
      <w:r>
        <w:t xml:space="preserve">warning),</w:t>
      </w:r>
      <w:r>
        <w:t xml:space="preserve"> </w:t>
      </w:r>
      <w:r>
        <w:rPr>
          <w:b/>
        </w:rPr>
        <w:t xml:space="preserve">Montana / Roy Andes / MonTrust</w:t>
      </w:r>
      <w:r>
        <w:t xml:space="preserve">, and the</w:t>
      </w:r>
      <w:r>
        <w:t xml:space="preserve"> </w:t>
      </w:r>
      <w:r>
        <w:rPr>
          <w:b/>
        </w:rPr>
        <w:t xml:space="preserve">Utah reform machinery</w:t>
      </w:r>
      <w:r>
        <w:t xml:space="preserve"> </w:t>
      </w:r>
      <w:r>
        <w:t xml:space="preserve">(Project BOLD, the school-community-council constituency, SITLA, the thirty-fold revenue jump, the sofa-vote story, the Arches campout, and the coal-land-swindle box — the campout and coal box held for Margaret’s verification).</w:t>
      </w:r>
    </w:p>
    <w:p>
      <w:pPr>
        <w:numPr>
          <w:ilvl w:val="0"/>
          <w:numId w:val="1002"/>
        </w:numPr>
        <w:pStyle w:val="Compact"/>
      </w:pPr>
      <w:r>
        <w:rPr>
          <w:b/>
        </w:rPr>
        <w:t xml:space="preserve">Ch4 (Loyalty)</w:t>
      </w:r>
      <w:r>
        <w:t xml:space="preserve"> </w:t>
      </w:r>
      <w:r>
        <w:t xml:space="preserve">— Washington’s</w:t>
      </w:r>
      <w:r>
        <w:t xml:space="preserve"> </w:t>
      </w:r>
      <w:r>
        <w:rPr>
          <w:i/>
        </w:rPr>
        <w:t xml:space="preserve">Skamania</w:t>
      </w:r>
      <w:r>
        <w:t xml:space="preserve"> </w:t>
      </w:r>
      <w:r>
        <w:t xml:space="preserve">holding named, with the</w:t>
      </w:r>
      <w:r>
        <w:t xml:space="preserve"> </w:t>
      </w:r>
      <w:r>
        <w:rPr>
          <w:i/>
        </w:rPr>
        <w:t xml:space="preserve">McCleary</w:t>
      </w:r>
      <w:r>
        <w:t xml:space="preserve"> </w:t>
      </w:r>
      <w:r>
        <w:t xml:space="preserve">caution.</w:t>
      </w:r>
    </w:p>
    <w:p>
      <w:pPr>
        <w:pStyle w:val="FirstParagraph"/>
      </w:pPr>
      <w:r>
        <w:t xml:space="preserve">Repaired:</w:t>
      </w:r>
    </w:p>
    <w:p>
      <w:pPr>
        <w:numPr>
          <w:ilvl w:val="0"/>
          <w:numId w:val="1003"/>
        </w:numPr>
        <w:pStyle w:val="Compact"/>
      </w:pPr>
      <w:r>
        <w:rPr>
          <w:b/>
        </w:rPr>
        <w:t xml:space="preserve">Lens 3</w:t>
      </w:r>
      <w:r>
        <w:t xml:space="preserve"> </w:t>
      </w:r>
      <w:r>
        <w:t xml:space="preserve">chapter cross-references: the five breach mechanisms had all been left pointing at</w:t>
      </w:r>
      <w:r>
        <w:t xml:space="preserve"> </w:t>
      </w:r>
      <w:r>
        <w:t xml:space="preserve">“</w:t>
      </w:r>
      <w:r>
        <w:t xml:space="preserve">[Ch. 4]</w:t>
      </w:r>
      <w:r>
        <w:t xml:space="preserve">”</w:t>
      </w:r>
      <w:r>
        <w:t xml:space="preserve">; each now points to the duty chapter where it actually lives. Removed an internal memory-slug that had leaked into the book text.</w:t>
      </w:r>
    </w:p>
    <w:p>
      <w:pPr>
        <w:pStyle w:val="FirstParagraph"/>
      </w:pPr>
      <w:r>
        <w:t xml:space="preserve">Kept cut (good v9 calls): the duplicated standalone breach-taxonomy chapter (it lives in Lens 3 now), and the seventeen non-grant-state prose dossiers (compressed to the print-candidate table; full prose preserved in v8).</w:t>
      </w:r>
    </w:p>
    <w:p>
      <w:pPr>
        <w:pStyle w:val="Heading2"/>
      </w:pPr>
      <w:bookmarkStart w:id="31" w:name="v9-codex-draft-2026-06-01"/>
      <w:r>
        <w:t xml:space="preserve">v9 — Codex Draft, 2026-06-01</w:t>
      </w:r>
      <w:bookmarkEnd w:id="31"/>
    </w:p>
    <w:p>
      <w:pPr>
        <w:pStyle w:val="FirstParagraph"/>
      </w:pPr>
      <w:r>
        <w:rPr>
          <w:i/>
        </w:rPr>
        <w:t xml:space="preserve">Source file:</w:t>
      </w:r>
      <w:r>
        <w:t xml:space="preserve"> </w:t>
      </w:r>
      <w:r>
        <w:rPr>
          <w:rStyle w:val="VerbatimChar"/>
        </w:rPr>
        <w:t xml:space="preserve">FFG_v8_2026-06-01.md</w:t>
      </w:r>
      <w:r>
        <w:t xml:space="preserve">. This v9 file preserves v8 as the comparison copy and edits only the Markdown source of truth.</w:t>
      </w:r>
    </w:p>
    <w:p>
      <w:pPr>
        <w:numPr>
          <w:ilvl w:val="0"/>
          <w:numId w:val="1004"/>
        </w:numPr>
        <w:pStyle w:val="Compact"/>
      </w:pPr>
      <w:r>
        <w:t xml:space="preserve">Rebuilt the old breach/recovery split in Part One into four duty-first chapters: loyalty, prudence/preservation of corpus, competence/accounting, and supervision/enforcement. Each now follows Margaret’s requested pattern: principle, abuse, honorable counterexample. The v8 wording and source trails remain available in the prior version; v9 condenses and redistributes the material rather than treating the old chapter order as locked.</w:t>
      </w:r>
    </w:p>
    <w:p>
      <w:pPr>
        <w:numPr>
          <w:ilvl w:val="0"/>
          <w:numId w:val="1004"/>
        </w:numPr>
        <w:pStyle w:val="Compact"/>
      </w:pPr>
      <w:r>
        <w:t xml:space="preserve">Strengthened the opening with the Georgia poor-school stigma record: Bryan County, Georgia, 1847, had 164 children entitled to Poor School Fund aid and no more than 16 attending. Source: Dorothy Orr,</w:t>
      </w:r>
      <w:r>
        <w:t xml:space="preserve"> </w:t>
      </w:r>
      <w:r>
        <w:rPr>
          <w:i/>
        </w:rPr>
        <w:t xml:space="preserve">A History of Education in Georgia</w:t>
      </w:r>
      <w:r>
        <w:t xml:space="preserve"> </w:t>
      </w:r>
      <w:r>
        <w:t xml:space="preserve">(1950), as digested in</w:t>
      </w:r>
      <w:r>
        <w:t xml:space="preserve"> </w:t>
      </w:r>
      <w:r>
        <w:rPr>
          <w:rStyle w:val="VerbatimChar"/>
        </w:rPr>
        <w:t xml:space="preserve">Georgia_PauperSchool_Stigma_Sourcing_2026-05-31.docx</w:t>
      </w:r>
      <w:r>
        <w:t xml:space="preserve">, with Taylor Robinson (2014) as the secondary trail.</w:t>
      </w:r>
    </w:p>
    <w:p>
      <w:pPr>
        <w:numPr>
          <w:ilvl w:val="0"/>
          <w:numId w:val="1004"/>
        </w:numPr>
        <w:pStyle w:val="Compact"/>
      </w:pPr>
      <w:r>
        <w:t xml:space="preserve">Resolved or tightened the priority figure flags now reachable from the stack: the surviving trust-land estate is stated as</w:t>
      </w:r>
      <w:r>
        <w:t xml:space="preserve"> </w:t>
      </w:r>
      <w:r>
        <w:rPr>
          <w:b/>
        </w:rPr>
        <w:t xml:space="preserve">more than 45 million acres held by 20 states as of FY2024</w:t>
      </w:r>
      <w:r>
        <w:t xml:space="preserve">, using the imported ASTL state pages; New Mexico’s Land Grant Permanent Fund is stated as</w:t>
      </w:r>
      <w:r>
        <w:t xml:space="preserve"> </w:t>
      </w:r>
      <w:r>
        <w:rPr>
          <w:b/>
        </w:rPr>
        <w:t xml:space="preserve">about $32.6 billion as of Oct. 31, 2024</w:t>
      </w:r>
      <w:r>
        <w:t xml:space="preserve">, using the Book Revision verification packet keyed to NM State Investment Council reporting; the Elliott State Forest figures are restated with source discipline (</w:t>
      </w:r>
      <w:r>
        <w:rPr>
          <w:b/>
        </w:rPr>
        <w:t xml:space="preserve">$99.6M</w:t>
      </w:r>
      <w:r>
        <w:t xml:space="preserve"> </w:t>
      </w:r>
      <w:r>
        <w:t xml:space="preserve">investment value,</w:t>
      </w:r>
      <w:r>
        <w:t xml:space="preserve"> </w:t>
      </w:r>
      <w:r>
        <w:rPr>
          <w:b/>
        </w:rPr>
        <w:t xml:space="preserve">~$220.8M</w:t>
      </w:r>
      <w:r>
        <w:t xml:space="preserve"> </w:t>
      </w:r>
      <w:r>
        <w:t xml:space="preserve">2016 sale ceiling,</w:t>
      </w:r>
      <w:r>
        <w:t xml:space="preserve"> </w:t>
      </w:r>
      <w:r>
        <w:rPr>
          <w:b/>
        </w:rPr>
        <w:t xml:space="preserve">$221M</w:t>
      </w:r>
      <w:r>
        <w:t xml:space="preserve"> </w:t>
      </w:r>
      <w:r>
        <w:t xml:space="preserve">2024 decoupling package, and</w:t>
      </w:r>
      <w:r>
        <w:t xml:space="preserve"> </w:t>
      </w:r>
      <w:r>
        <w:rPr>
          <w:b/>
        </w:rPr>
        <w:t xml:space="preserve">$1.0B–$1.3B</w:t>
      </w:r>
      <w:r>
        <w:t xml:space="preserve"> </w:t>
      </w:r>
      <w:r>
        <w:t xml:space="preserve">public-market evidence range) and with a warning that the figures do not measure identical estate interests.</w:t>
      </w:r>
    </w:p>
    <w:p>
      <w:pPr>
        <w:numPr>
          <w:ilvl w:val="0"/>
          <w:numId w:val="1004"/>
        </w:numPr>
        <w:pStyle w:val="Compact"/>
      </w:pPr>
      <w:r>
        <w:t xml:space="preserve">Tightened the Utah exchange discussion: the</w:t>
      </w:r>
      <w:r>
        <w:t xml:space="preserve"> </w:t>
      </w:r>
      <w:r>
        <w:rPr>
          <w:b/>
        </w:rPr>
        <w:t xml:space="preserve">$50M</w:t>
      </w:r>
      <w:r>
        <w:t xml:space="preserve"> </w:t>
      </w:r>
      <w:r>
        <w:t xml:space="preserve">figure is tied to the 1998 Utah Schools and Lands Exchange Act / Grand Staircase exchange record, while the Arches camp-out chronology remains for Margaret/source review because the voice-note account is vivid but not yet approved for direct quotation.</w:t>
      </w:r>
    </w:p>
    <w:p>
      <w:pPr>
        <w:numPr>
          <w:ilvl w:val="0"/>
          <w:numId w:val="1004"/>
        </w:numPr>
        <w:pStyle w:val="Compact"/>
      </w:pPr>
      <w:r>
        <w:t xml:space="preserve">Removed the unsupported Arizona</w:t>
      </w:r>
      <w:r>
        <w:t xml:space="preserve"> </w:t>
      </w:r>
      <w:r>
        <w:t xml:space="preserve">“</w:t>
      </w:r>
      <w:r>
        <w:t xml:space="preserve">fund is a billion dollars smaller</w:t>
      </w:r>
      <w:r>
        <w:t xml:space="preserve">”</w:t>
      </w:r>
      <w:r>
        <w:t xml:space="preserve"> </w:t>
      </w:r>
      <w:r>
        <w:t xml:space="preserve">shorthand as an assertion. The manuscript now says only that Margaret’s 2016 Proposition 123 analysis treated the measure as an approximately</w:t>
      </w:r>
      <w:r>
        <w:t xml:space="preserve"> </w:t>
      </w:r>
      <w:r>
        <w:rPr>
          <w:b/>
        </w:rPr>
        <w:t xml:space="preserve">$2B</w:t>
      </w:r>
      <w:r>
        <w:t xml:space="preserve"> </w:t>
      </w:r>
      <w:r>
        <w:t xml:space="preserve">corpus draw, and flags any later fund-loss number for audited-source confirmation.</w:t>
      </w:r>
    </w:p>
    <w:p>
      <w:pPr>
        <w:numPr>
          <w:ilvl w:val="0"/>
          <w:numId w:val="1004"/>
        </w:numPr>
        <w:pStyle w:val="Compact"/>
      </w:pPr>
      <w:r>
        <w:t xml:space="preserve">Added specific figure specs for the Elliott valuation bar, a</w:t>
      </w:r>
      <w:r>
        <w:t xml:space="preserve"> </w:t>
      </w:r>
      <w:r>
        <w:t xml:space="preserve">“</w:t>
      </w:r>
      <w:r>
        <w:t xml:space="preserve">one grant, many ledgers</w:t>
      </w:r>
      <w:r>
        <w:t xml:space="preserve">”</w:t>
      </w:r>
      <w:r>
        <w:t xml:space="preserve"> </w:t>
      </w:r>
      <w:r>
        <w:t xml:space="preserve">timeline, and a trust-mechanics diagram. Added a larger illustration program in the back matter for maps, charts, primary-document facsimiles, township grids, period photographs, and generated illustrations if used.</w:t>
      </w:r>
    </w:p>
    <w:p>
      <w:pPr>
        <w:numPr>
          <w:ilvl w:val="0"/>
          <w:numId w:val="1004"/>
        </w:numPr>
        <w:pStyle w:val="Compact"/>
      </w:pPr>
      <w:r>
        <w:t xml:space="preserve">Compressed the 17-state non-grant appendix into a print-candidate table, preserving the full dossier prose by reference to v8 rather than carrying it in the main-book draft.</w:t>
      </w:r>
    </w:p>
    <w:p>
      <w:pPr>
        <w:numPr>
          <w:ilvl w:val="0"/>
          <w:numId w:val="1004"/>
        </w:numPr>
        <w:pStyle w:val="Compact"/>
      </w:pPr>
      <w:r>
        <w:t xml:space="preserve">Expanded the source note into an annotated source guide and added an Editor’s Report at the end of the manuscript with unresolved verification items and recommendations for the next author pass.</w:t>
      </w:r>
    </w:p>
    <w:p>
      <w:pPr>
        <w:pStyle w:val="FirstParagraph"/>
      </w:pPr>
      <w:r>
        <w:rPr>
          <w:i/>
        </w:rPr>
        <w:t xml:space="preserve">[FFG v10 — restoration pass over the v9 Codex draft; structure kept from v9, narrative restored from v8 of The Forgotten Forever Gift to Public Schools. Passages in Margaret Bird’s and Dave Sullivan’s voices remain drafts for them to revise, not finished or endorsed words. Main title locked; subtitle, figure program, remaining state figures, and final endnotes still to confirm.]</w:t>
      </w:r>
    </w:p>
    <w:p>
      <w:r>
        <w:br w:type="page"/>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rPr>
        <w:t xml:space="preserve">THE FORGOTTEN FOREVER GIFT TO PUBLIC SCHOOLS</w:t>
      </w:r>
    </w:p>
    <w:p>
      <w:r>
        <w:br w:type="page"/>
      </w:r>
    </w:p>
    <w:p>
      <w:pPr>
        <w:pStyle w:val="Heading1"/>
      </w:pPr>
      <w:bookmarkStart w:id="32" w:name="Xaa46c0751794f56e24cd815439355bc58727b77"/>
      <w:r>
        <w:t xml:space="preserve">THE FORGOTTEN FOREVER GIFT TO PUBLIC SCHOOLS</w:t>
      </w:r>
      <w:bookmarkEnd w:id="32"/>
    </w:p>
    <w:p>
      <w:pPr>
        <w:pStyle w:val="Heading3"/>
      </w:pPr>
      <w:bookmarkStart w:id="33" w:name="Xc7b91bce76232c1856c188db487c8753b6ff511"/>
      <w:r>
        <w:t xml:space="preserve">The Story of the Land America Set Aside for Its Schools — and What Became of It</w:t>
      </w:r>
      <w:bookmarkEnd w:id="33"/>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pPr>
        <w:pStyle w:val="Heading1"/>
      </w:pPr>
      <w:bookmarkStart w:id="34" w:name="why-this-matters"/>
      <w:r>
        <w:t xml:space="preserve">Why This Matters</w:t>
      </w:r>
      <w:bookmarkEnd w:id="34"/>
    </w:p>
    <w:p>
      <w:pPr>
        <w:pStyle w:val="Heading3"/>
      </w:pPr>
      <w:bookmarkStart w:id="35" w:name="a-note-from-the-authors"/>
      <w:r>
        <w:t xml:space="preserve">A Note from the Authors</w:t>
      </w:r>
      <w:bookmarkEnd w:id="35"/>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36" w:name="a-note-from-the-first-author"/>
      <w:r>
        <w:t xml:space="preserve">A Note from the First Author</w:t>
      </w:r>
      <w:bookmarkEnd w:id="36"/>
    </w:p>
    <w:p>
      <w:pPr>
        <w:pStyle w:val="FirstParagraph"/>
      </w:pPr>
      <w:r>
        <w:rPr>
          <w:i/>
        </w:rPr>
        <w:t xml:space="preserve">[Draft in Margaret Bird’s voice, composed from her recorded words — for her to revise. The middle paragraph touches the same national point as the joint note; hers to keep, trim, or merge.]</w:t>
      </w:r>
    </w:p>
    <w:p>
      <w:pPr>
        <w:pStyle w:val="BodyText"/>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37" w:name="a-note-on-sources"/>
      <w:r>
        <w:t xml:space="preserve">A Note on Sources</w:t>
      </w:r>
      <w:bookmarkEnd w:id="37"/>
    </w:p>
    <w:p>
      <w:pPr>
        <w:pStyle w:val="FirstParagraph"/>
      </w:pPr>
      <w:r>
        <w:t xml:space="preserve">This book rests on five kinds of evidence. The narrative should feel plain, but the floor under it is documentary.</w:t>
      </w:r>
    </w:p>
    <w:p>
      <w:pPr>
        <w:numPr>
          <w:ilvl w:val="0"/>
          <w:numId w:val="1005"/>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5"/>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5"/>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w:t>
      </w:r>
      <w:r>
        <w:t xml:space="preserve"> </w:t>
      </w:r>
      <w:r>
        <w:rPr>
          <w:rStyle w:val="VerbatimChar"/>
        </w:rPr>
        <w:t xml:space="preserve">Quotes_Verified_for_Insets_2026-05-29.md</w:t>
      </w:r>
      <w:r>
        <w:t xml:space="preserve"> </w:t>
      </w:r>
      <w:r>
        <w:t xml:space="preserve">unless a later author pass adds a precisely cited source to that file.</w:t>
      </w:r>
    </w:p>
    <w:p>
      <w:pPr>
        <w:numPr>
          <w:ilvl w:val="0"/>
          <w:numId w:val="1005"/>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5"/>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5"/>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5"/>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38" w:name="a-note-on-this-edition"/>
      <w:r>
        <w:t xml:space="preserve">A Note on This Edition</w:t>
      </w:r>
      <w:bookmarkEnd w:id="38"/>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upbeat-blissful-albattani/mnt/Claude%20Cowork/_tools/_web_cache/qr_hub_884487fd4ee0_1200x_q90.jpg" id="0" name="Picture"/>
                    <pic:cNvPicPr>
                      <a:picLocks noChangeArrowheads="1" noChangeAspect="1"/>
                    </pic:cNvPicPr>
                  </pic:nvPicPr>
                  <pic:blipFill>
                    <a:blip r:embed="rId39"/>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40" w:name="a-few-words-defined"/>
      <w:r>
        <w:t xml:space="preserve">A Few Words, Defined</w:t>
      </w:r>
      <w:bookmarkEnd w:id="40"/>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41" w:name="part-one-the-gift-and-the-duty"/>
      <w:r>
        <w:t xml:space="preserve">PART ONE — The Gift and the Duty</w:t>
      </w:r>
      <w:bookmarkEnd w:id="41"/>
    </w:p>
    <w:p>
      <w:r>
        <w:br w:type="page"/>
      </w:r>
    </w:p>
    <w:p>
      <w:pPr>
        <w:pStyle w:val="Heading1"/>
      </w:pPr>
      <w:bookmarkStart w:id="42" w:name="chapter-1-the-inheritance-still-standing"/>
      <w:r>
        <w:t xml:space="preserve">Chapter 1 — The Inheritance Still Standing</w:t>
      </w:r>
      <w:bookmarkEnd w:id="42"/>
    </w:p>
    <w:p>
      <w:pPr>
        <w:pStyle w:val="PullQuote"/>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1" name="Picture"/>
            <a:graphic>
              <a:graphicData uri="http://schemas.openxmlformats.org/drawingml/2006/picture">
                <pic:pic>
                  <pic:nvPicPr>
                    <pic:cNvPr descr="/sessions/upbeat-blissful-albattani/mnt/Claude%20Cowork/_tools/_web_cache/fig_scale_4d23387e6cef_1200x_q90.jpg" id="0" name="Picture"/>
                    <pic:cNvPicPr>
                      <a:picLocks noChangeArrowheads="1" noChangeAspect="1"/>
                    </pic:cNvPicPr>
                  </pic:nvPicPr>
                  <pic:blipFill>
                    <a:blip r:embed="rId43"/>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44" w:name="chapter-2-the-world-that-made-the-gift"/>
      <w:r>
        <w:t xml:space="preserve">Chapter 2 — The World That Made the Gift</w:t>
      </w:r>
      <w:bookmarkEnd w:id="44"/>
    </w:p>
    <w:p>
      <w:pPr>
        <w:pStyle w:val="PullQuote"/>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BodyText"/>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oxedHeaderSimple"/>
      </w:pPr>
      <w:r>
        <w:t xml:space="preserve">The World of 1785</w:t>
      </w:r>
    </w:p>
    <w:p>
      <w:pPr>
        <w:pStyle w:val="BoxBody"/>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BodyText"/>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oxedHeaderSimple"/>
      </w:pPr>
      <w:r>
        <w:t xml:space="preserve">The Origins of the Trust</w:t>
      </w:r>
    </w:p>
    <w:p>
      <w:pPr>
        <w:pStyle w:val="BoxBody"/>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BodyText"/>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45" w:name="chapter-3-the-punctilio-of-honor"/>
      <w:r>
        <w:t xml:space="preserve">Chapter 3 — The Punctilio of Honor</w:t>
      </w:r>
      <w:bookmarkEnd w:id="45"/>
    </w:p>
    <w:p>
      <w:pPr>
        <w:pStyle w:val="PullQuote"/>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6"/>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6"/>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6"/>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6"/>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46" w:name="Xf0721b9a7c84c277dfa52e2a9db37e4de03c9e3"/>
      <w:r>
        <w:t xml:space="preserve">Chapter 4 — Loyalty: The Gift Treated as Pocket Money</w:t>
      </w:r>
      <w:bookmarkEnd w:id="46"/>
    </w:p>
    <w:p>
      <w:pPr>
        <w:pStyle w:val="PullQuote"/>
      </w:pPr>
      <w:r>
        <w:t xml:space="preserve">“</w:t>
      </w:r>
      <w:r>
        <w:t xml:space="preserve">He that is entrusted with the interest of others, cannot be allowed to make the business an object of interest to himself.</w:t>
      </w:r>
      <w:r>
        <w:t xml:space="preserve">”</w:t>
      </w:r>
    </w:p>
    <w:p>
      <w:pPr>
        <w:pStyle w:val="PullQuote"/>
      </w:pPr>
      <w:r>
        <w:t xml:space="preserve">— Lord Chancellor King,</w:t>
      </w:r>
      <w:r>
        <w:t xml:space="preserve"> </w:t>
      </w:r>
      <w:r>
        <w:rPr>
          <w:i/>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47" w:name="principle"/>
      <w:r>
        <w:t xml:space="preserve">Principle</w:t>
      </w:r>
      <w:bookmarkEnd w:id="47"/>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48" w:name="abuse"/>
      <w:r>
        <w:t xml:space="preserve">Abuse</w:t>
      </w:r>
      <w:bookmarkEnd w:id="48"/>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xBody"/>
      </w:pPr>
      <w:r>
        <w:rPr>
          <w:b/>
        </w:rPr>
        <w:t xml:space="preserve">Figure spec:</w:t>
      </w:r>
      <w:r>
        <w:t xml:space="preserve"> </w:t>
      </w:r>
      <w:r>
        <w:t xml:space="preserve">side-by-side valuation bar: MB&amp;G investment value ($99.6M), 2016 sale ceiling (~$220.8M), 2024 decoupling package ($221M), and public-market evidence range ($1.0B-$1.3B). Caption should state that the figures come from public State Land Board testimony and the SB 1546 legislative report, and should avoid implying that each number measures the identical estate interest.</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49" w:name="honorable-counterexample"/>
      <w:r>
        <w:t xml:space="preserve">Honorable Counterexample</w:t>
      </w:r>
      <w:bookmarkEnd w:id="49"/>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50" w:name="Xb03ca550012684e798b5a556422781d37a83e68"/>
      <w:r>
        <w:t xml:space="preserve">Chapter 5 — Prudence: Do Not Eat the Seed Corn</w:t>
      </w:r>
      <w:bookmarkEnd w:id="50"/>
    </w:p>
    <w:p>
      <w:pPr>
        <w:pStyle w:val="PullQuote"/>
      </w:pPr>
      <w:r>
        <w:t xml:space="preserve">“</w:t>
      </w:r>
      <w:r>
        <w:t xml:space="preserve">The trust must be administered with an eye single to the interests of the beneficiaries.</w:t>
      </w:r>
      <w:r>
        <w:t xml:space="preserve">”</w:t>
      </w:r>
    </w:p>
    <w:p>
      <w:pPr>
        <w:pStyle w:val="PullQuote"/>
      </w:pPr>
      <w:r>
        <w:t xml:space="preserve">—</w:t>
      </w:r>
      <w:r>
        <w:t xml:space="preserve"> </w:t>
      </w:r>
      <w:r>
        <w:rPr>
          <w:i/>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51" w:name="principle-1"/>
      <w:r>
        <w:t xml:space="preserve">Principle</w:t>
      </w:r>
      <w:bookmarkEnd w:id="51"/>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52" w:name="abuse-1"/>
      <w:r>
        <w:t xml:space="preserve">Abuse</w:t>
      </w:r>
      <w:bookmarkEnd w:id="52"/>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numPr>
          <w:ilvl w:val="0"/>
          <w:numId w:val="1007"/>
        </w:numPr>
        <w:pStyle w:val="Compact"/>
      </w:pPr>
      <w:r>
        <w:t xml:space="preserve">Is the trust receiving fair market value or a clearly documented equivalent?</w:t>
      </w:r>
    </w:p>
    <w:p>
      <w:pPr>
        <w:numPr>
          <w:ilvl w:val="0"/>
          <w:numId w:val="1007"/>
        </w:numPr>
        <w:pStyle w:val="Compact"/>
      </w:pPr>
      <w:r>
        <w:t xml:space="preserve">Is the principal preserved, or is principal being spent as if it were income?</w:t>
      </w:r>
    </w:p>
    <w:p>
      <w:pPr>
        <w:numPr>
          <w:ilvl w:val="0"/>
          <w:numId w:val="1007"/>
        </w:numPr>
        <w:pStyle w:val="Compact"/>
      </w:pPr>
      <w:r>
        <w:t xml:space="preserve">Would a private trustee, accountable only to the beneficiary, make the same transaction?</w:t>
      </w:r>
    </w:p>
    <w:p>
      <w:pPr>
        <w:numPr>
          <w:ilvl w:val="0"/>
          <w:numId w:val="1007"/>
        </w:numPr>
        <w:pStyle w:val="Compact"/>
      </w:pPr>
      <w:r>
        <w:t xml:space="preserve">Can the trustee show the calculation in public?</w:t>
      </w:r>
    </w:p>
    <w:p>
      <w:pPr>
        <w:pStyle w:val="BoxBody"/>
      </w:pPr>
      <w:r>
        <w:t xml:space="preserve">If the answer to any of these is no, the burden should fall on the trustee, not on the schools.</w:t>
      </w:r>
    </w:p>
    <w:p>
      <w:pPr>
        <w:pStyle w:val="Heading2"/>
      </w:pPr>
      <w:bookmarkStart w:id="53" w:name="honorable-counterexample-1"/>
      <w:r>
        <w:t xml:space="preserve">Honorable Counterexample</w:t>
      </w:r>
      <w:bookmarkEnd w:id="53"/>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54" w:name="Xa785ff15bbc5aca2cde698441a7895191522807"/>
      <w:r>
        <w:t xml:space="preserve">Chapter 6 — Competence and Accounting: The Books Must Tell the Truth</w:t>
      </w:r>
      <w:bookmarkEnd w:id="54"/>
    </w:p>
    <w:p>
      <w:pPr>
        <w:pStyle w:val="PullQuote"/>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pStyle w:val="PullQuote"/>
      </w:pPr>
      <w:r>
        <w:t xml:space="preserve">—</w:t>
      </w:r>
      <w:r>
        <w:t xml:space="preserve"> </w:t>
      </w:r>
      <w:r>
        <w:rPr>
          <w:i/>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55" w:name="principle-2"/>
      <w:r>
        <w:t xml:space="preserve">Principle</w:t>
      </w:r>
      <w:bookmarkEnd w:id="55"/>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56" w:name="abuse-2"/>
      <w:r>
        <w:t xml:space="preserve">Abuse</w:t>
      </w:r>
      <w:bookmarkEnd w:id="56"/>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BoxedHeaderSimple"/>
      </w:pPr>
      <w:r>
        <w:t xml:space="preserve">Figure: One Grant, Many Ledgers</w:t>
      </w:r>
    </w:p>
    <w:p>
      <w:pPr>
        <w:pStyle w:val="BoxBody"/>
      </w:pPr>
      <w:r>
        <w:rPr>
          <w:b/>
        </w:rPr>
        <w:t xml:space="preserve">Figure spec:</w:t>
      </w:r>
      <w:r>
        <w:t xml:space="preserve"> </w:t>
      </w:r>
      <w:r>
        <w:t xml:space="preserve">timeline beginning with the Land Ordinance of 1785 and running through the major admission/enabling-act waves to New Mexico and Arizona in 1910. Use one color for the federal grant promise and separate small ticks for each state admission. Annotation:</w:t>
      </w:r>
      <w:r>
        <w:t xml:space="preserve"> </w:t>
      </w:r>
      <w:r>
        <w:rPr>
          <w:i/>
        </w:rPr>
        <w:t xml:space="preserve">United States v. Morrison</w:t>
      </w:r>
      <w:r>
        <w:t xml:space="preserve"> </w:t>
      </w:r>
      <w:r>
        <w:t xml:space="preserve">(1916) construed the grant rule identically across the states that received it. The point is visual: one federal instrument, many state ledgers.</w:t>
      </w:r>
    </w:p>
    <w:p>
      <w:pPr>
        <w:pStyle w:val="Heading2"/>
      </w:pPr>
      <w:bookmarkStart w:id="57" w:name="honorable-counterexample-2"/>
      <w:r>
        <w:t xml:space="preserve">Honorable Counterexample</w:t>
      </w:r>
      <w:bookmarkEnd w:id="57"/>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58" w:name="Xe82d56c33fc65cef5eb77d02ed3c998e49bfba3"/>
      <w:r>
        <w:t xml:space="preserve">Chapter 7 — Supervision and Enforcement: Someone Has to Watch the Watcher</w:t>
      </w:r>
      <w:bookmarkEnd w:id="58"/>
    </w:p>
    <w:p>
      <w:pPr>
        <w:pStyle w:val="PullQuote"/>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pStyle w:val="PullQuote"/>
      </w:pPr>
      <w:r>
        <w:t xml:space="preserve">—</w:t>
      </w:r>
      <w:r>
        <w:t xml:space="preserve"> </w:t>
      </w:r>
      <w:r>
        <w:rPr>
          <w:i/>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59" w:name="principle-3"/>
      <w:r>
        <w:t xml:space="preserve">Principle</w:t>
      </w:r>
      <w:bookmarkEnd w:id="59"/>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60" w:name="abuse-3"/>
      <w:r>
        <w:t xml:space="preserve">Abuse</w:t>
      </w:r>
      <w:bookmarkEnd w:id="60"/>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61" w:name="honorable-counterexample-3"/>
      <w:r>
        <w:t xml:space="preserve">Honorable Counterexample</w:t>
      </w:r>
      <w:bookmarkEnd w:id="61"/>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xedHeaderSimple"/>
      </w:pPr>
      <w:r>
        <w:t xml:space="preserve">Figure: How a School Trust Works</w:t>
      </w:r>
    </w:p>
    <w:p>
      <w:pPr>
        <w:pStyle w:val="BoxBody"/>
      </w:pPr>
      <w:r>
        <w:rPr>
          <w:b/>
        </w:rPr>
        <w:t xml:space="preserve">Figure spec:</w:t>
      </w:r>
      <w:r>
        <w:t xml:space="preserve"> </w:t>
      </w:r>
      <w:r>
        <w:t xml:space="preserve">a simple trust diagram:</w:t>
      </w:r>
      <w:r>
        <w:t xml:space="preserve"> </w:t>
      </w:r>
      <w:r>
        <w:rPr>
          <w:b/>
        </w:rPr>
        <w:t xml:space="preserve">United States / grantor</w:t>
      </w:r>
      <w:r>
        <w:t xml:space="preserve"> </w:t>
      </w:r>
      <w:r>
        <w:t xml:space="preserve">-&gt;</w:t>
      </w:r>
      <w:r>
        <w:t xml:space="preserve"> </w:t>
      </w:r>
      <w:r>
        <w:rPr>
          <w:b/>
        </w:rPr>
        <w:t xml:space="preserve">State as trustee</w:t>
      </w:r>
      <w:r>
        <w:t xml:space="preserve"> </w:t>
      </w:r>
      <w:r>
        <w:t xml:space="preserve">-&gt;</w:t>
      </w:r>
      <w:r>
        <w:t xml:space="preserve"> </w:t>
      </w:r>
      <w:r>
        <w:rPr>
          <w:b/>
        </w:rPr>
        <w:t xml:space="preserve">schools as beneficiary</w:t>
      </w:r>
      <w:r>
        <w:t xml:space="preserve">. Under the trustee, show two asset boxes:</w:t>
      </w:r>
      <w:r>
        <w:t xml:space="preserve"> </w:t>
      </w:r>
      <w:r>
        <w:rPr>
          <w:b/>
        </w:rPr>
        <w:t xml:space="preserve">corpus</w:t>
      </w:r>
      <w:r>
        <w:t xml:space="preserve"> </w:t>
      </w:r>
      <w:r>
        <w:t xml:space="preserve">(land, minerals, permanent fund principal) and</w:t>
      </w:r>
      <w:r>
        <w:t xml:space="preserve"> </w:t>
      </w:r>
      <w:r>
        <w:rPr>
          <w:b/>
        </w:rPr>
        <w:t xml:space="preserve">income</w:t>
      </w:r>
      <w:r>
        <w:t xml:space="preserve"> </w:t>
      </w:r>
      <w:r>
        <w:t xml:space="preserve">(leases, royalties, interest, distributions). Use red arrows for prohibited leakage: general fund, favored buyer, uncompensated public project, under-market lease. Use green arrows for proper flow: fair-value sale/exchange into permanent fund; income distributed to schools under law.</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62" w:name="X7c58e6fc56f4cc067210675d0dd3aeee3c1fe7b"/>
      <w:r>
        <w:t xml:space="preserve">Chapter 8 — What the Record Teaches the Architects of Forever-Trusts</w:t>
      </w:r>
      <w:bookmarkEnd w:id="62"/>
    </w:p>
    <w:p>
      <w:pPr>
        <w:pStyle w:val="PullQuote"/>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PullQuote"/>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PullQuote"/>
      </w:pPr>
      <w:r>
        <w:t xml:space="preserve">—</w:t>
      </w:r>
      <w:r>
        <w:t xml:space="preserve"> </w:t>
      </w:r>
      <w:r>
        <w:rPr>
          <w:i/>
        </w:rPr>
        <w:t xml:space="preserve">Andrus v. Utah</w:t>
      </w:r>
      <w:r>
        <w:t xml:space="preserve"> </w:t>
      </w:r>
      <w:r>
        <w:t xml:space="preserve">(1980)</w:t>
      </w:r>
    </w:p>
    <w:p>
      <w:pPr>
        <w:pStyle w:val="BodyText"/>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63" w:name="Xbf2bd63160424372574864a7745b339bf8aa93c"/>
      <w:r>
        <w:t xml:space="preserve">The first lesson: the duty is constant, but the ability to enforce it is engineered</w:t>
      </w:r>
      <w:bookmarkEnd w:id="63"/>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(published at</w:t>
      </w:r>
      <w:r>
        <w:t xml:space="preserve"> </w:t>
      </w:r>
      <w:r>
        <w:rPr>
          <w:i/>
        </w:rPr>
        <w:t xml:space="preserve">Advocates for School Trust Lands v. State</w:t>
      </w:r>
      <w:r>
        <w:t xml:space="preserve">, 346 Or. App. 668 (2026)).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PullQuote"/>
      </w:pPr>
      <w:r>
        <w:rPr>
          <w:b/>
        </w:rPr>
        <w:t xml:space="preserve">PULL-QUOTE:</w:t>
      </w:r>
      <w:r>
        <w:t xml:space="preserve"> </w:t>
      </w:r>
      <w:r>
        <w:t xml:space="preserve">“</w:t>
      </w:r>
      <w:r>
        <w:t xml:space="preserve">The duty you can rely on. The remedy you have to build.</w:t>
      </w:r>
      <w:r>
        <w:t xml:space="preserve">”</w:t>
      </w:r>
    </w:p>
    <w:p>
      <w:pPr>
        <w:pStyle w:val="Heading2"/>
      </w:pPr>
      <w:bookmarkStart w:id="64" w:name="Xe2e370f1571423226764666857d8a0d35e21069"/>
      <w:r>
        <w:t xml:space="preserve">The second lesson: charter it as a bargain the sovereign cannot rewrite, not a gift it can revisit</w:t>
      </w:r>
      <w:bookmarkEnd w:id="64"/>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65" w:name="X31164228a1bb37671799488013fabfebed3a00e"/>
      <w:r>
        <w:t xml:space="preserve">The third lesson: the purpose held its shape for a century, which is why it is worth fixing in writing</w:t>
      </w:r>
      <w:bookmarkEnd w:id="65"/>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66" w:name="X7dc9ad9e1dcd11440b1442b4db5d5323cddae92"/>
      <w:r>
        <w:t xml:space="preserve">The fourth lesson: the specific clauses that did the work</w:t>
      </w:r>
      <w:bookmarkEnd w:id="66"/>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67" w:name="Xa3358e507f90deb1eba435c344df6d5feb7c34c"/>
      <w:r>
        <w:t xml:space="preserve">The fifth lesson: the machinery is inert without a constituency to work it</w:t>
      </w:r>
      <w:bookmarkEnd w:id="67"/>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PullQuote"/>
      </w:pPr>
      <w:r>
        <w:rPr>
          <w:b/>
        </w:rPr>
        <w:t xml:space="preserve">BOX — The design rules, on one page</w:t>
      </w:r>
      <w:r>
        <w:t xml:space="preserve"> </w:t>
      </w:r>
      <w:r>
        <w:rPr>
          <w:i/>
        </w:rPr>
        <w:t xml:space="preserve">(charter the adversary)</w:t>
      </w:r>
    </w:p>
    <w:p>
      <w:pPr>
        <w:pStyle w:val="PullQuote"/>
      </w:pPr>
      <w:r>
        <w:t xml:space="preserve">If you are drafting a forever-institution and want the two-century trial reduced to a checklist, here it is. Each rule is earned by a state’s experience in the chapters behind it.</w:t>
      </w:r>
    </w:p>
    <w:p>
      <w:pPr>
        <w:numPr>
          <w:ilvl w:val="0"/>
          <w:numId w:val="1008"/>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8"/>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8"/>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8"/>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8"/>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8"/>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8"/>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PullQuote"/>
      </w:pPr>
      <w:r>
        <w:t xml:space="preserve">Make the founding deal a bargain the sovereign cannot rewrite, not a gift it can revisit.</w:t>
      </w:r>
    </w:p>
    <w:p>
      <w:r>
        <w:pict>
          <v:rect style="width:0;height:1.5pt" o:hralign="center" o:hrstd="t" o:hr="t"/>
        </w:pict>
      </w:r>
    </w:p>
    <w:p>
      <w:pPr>
        <w:pStyle w:val="Heading2"/>
      </w:pPr>
      <w:bookmarkStart w:id="68" w:name="Xfc84ac02c6ed5d3808d083b2815902fc6ab7dff"/>
      <w:r>
        <w:t xml:space="preserve">What this means for the institutions being chartered now</w:t>
      </w:r>
      <w:bookmarkEnd w:id="68"/>
    </w:p>
    <w:p>
      <w:pPr>
        <w:pStyle w:val="PullQuote"/>
      </w:pPr>
      <w:r>
        <w:t xml:space="preserve">“</w:t>
      </w:r>
      <w:r>
        <w:t xml:space="preserve">Our greatest responsibility is to be good ancestors.</w:t>
      </w:r>
      <w:r>
        <w:t xml:space="preserve">”</w:t>
      </w:r>
      <w:r>
        <w:t xml:space="preserve"> </w:t>
      </w:r>
      <w:r>
        <w:t xml:space="preserve">— Dr. Jonas Salk</w:t>
      </w:r>
    </w:p>
    <w:p>
      <w:pPr>
        <w:pStyle w:val="BodyText"/>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PullQuote"/>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BodyText"/>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69" w:name="part-one-apparatus"/>
      <w:r>
        <w:t xml:space="preserve">Part One — Apparatus</w:t>
      </w:r>
      <w:bookmarkEnd w:id="69"/>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PullQuote"/>
      </w:pPr>
      <w:r>
        <w:t xml:space="preserve">“</w:t>
      </w:r>
      <w:r>
        <w:t xml:space="preserve">But to say that a man is a fiduciary only begins analysis; it gives direction to further inquiry. To whom is he a fiduciary? What obligations does he owe as a fiduciary?</w:t>
      </w:r>
      <w:r>
        <w:t xml:space="preserve">”</w:t>
      </w:r>
    </w:p>
    <w:p>
      <w:pPr>
        <w:pStyle w:val="PullQuote"/>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70" w:name="X0fbc39ac66d30b4e93af9d89a97255e7da03a8e"/>
      <w:r>
        <w:t xml:space="preserve">Lens 1 — The Timeline: One Grant, Across a Century</w:t>
      </w:r>
      <w:bookmarkEnd w:id="70"/>
    </w:p>
    <w:p>
      <w:pPr>
        <w:pStyle w:val="CaptionedFigure"/>
      </w:pPr>
      <w:r>
        <w:drawing>
          <wp:inline>
            <wp:extent cx="4470400" cy="1266380"/>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upbeat-blissful-albattani/mnt/Claude%20Cowork/_tools/_web_cache/fig_timeline_393294e7d0f3_1200x_q90.jpg" id="0" name="Picture"/>
                    <pic:cNvPicPr>
                      <a:picLocks noChangeArrowheads="1" noChangeAspect="1"/>
                    </pic:cNvPicPr>
                  </pic:nvPicPr>
                  <pic:blipFill>
                    <a:blip r:embed="rId71"/>
                    <a:stretch>
                      <a:fillRect/>
                    </a:stretch>
                  </pic:blipFill>
                  <pic:spPr bwMode="auto">
                    <a:xfrm>
                      <a:off x="0" y="0"/>
                      <a:ext cx="4470400" cy="1266380"/>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(Figure 2),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 in the source files.</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PullQuote"/>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72" w:name="X02ac1befa52f35ac6cd2c41fc2d317eddca79f4"/>
      <w:r>
        <w:t xml:space="preserve">Lens 2 — The Cases: How Courts Read the Trust</w:t>
      </w:r>
      <w:bookmarkEnd w:id="72"/>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(published at</w:t>
      </w:r>
      <w:r>
        <w:t xml:space="preserve"> </w:t>
      </w:r>
      <w:r>
        <w:rPr>
          <w:i/>
        </w:rPr>
        <w:t xml:space="preserve">Advocates for School Trust Lands v. State</w:t>
      </w:r>
      <w:r>
        <w:t xml:space="preserve">, 346 Or. App. 668 (2026)).</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73" w:name="X3c7f9f70721c4aab03c47a6c7d2ae3078fd73f1"/>
      <w:r>
        <w:t xml:space="preserve">Lens 3 — A Field Guide to the Kinds of Theft</w:t>
      </w:r>
      <w:bookmarkEnd w:id="73"/>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74" w:name="Xd60d1208b308a58abd9571e6a071ae0ff88126c"/>
      <w:r>
        <w:t xml:space="preserve">Lens 4 — The Comparative Matrix: Keyed to Enforceability</w:t>
      </w:r>
      <w:bookmarkEnd w:id="74"/>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oxedHeaderSimple"/>
      </w:pPr>
      <w:r>
        <w:t xml:space="preserve">It Is Not Too Late</w:t>
      </w:r>
    </w:p>
    <w:p>
      <w:pPr>
        <w:pStyle w:val="BoxBody"/>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75" w:name="part-two-the-granted-states-a-to-z"/>
      <w:r>
        <w:t xml:space="preserve">PART TWO — The Granted States, A to Z</w:t>
      </w:r>
      <w:bookmarkEnd w:id="75"/>
    </w:p>
    <w:p>
      <w:pPr>
        <w:pStyle w:val="FirstParagraph"/>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BodyText"/>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76" w:name="Xb16fcdc8c5a6f53e79c670a141aec405accb04d"/>
      <w:r>
        <w:t xml:space="preserve">Alabama — The Bank That Ate the Schoolhouse</w:t>
      </w:r>
      <w:bookmarkEnd w:id="76"/>
    </w:p>
    <w:p>
      <w:pPr>
        <w:pStyle w:val="FirstParagraph"/>
      </w:pP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l_bad729d0bd1b_1200x_q90.jpg" id="0" name="Picture"/>
                    <pic:cNvPicPr>
                      <a:picLocks noChangeArrowheads="1" noChangeAspect="1"/>
                    </pic:cNvPicPr>
                  </pic:nvPicPr>
                  <pic:blipFill>
                    <a:blip r:embed="rId7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schooltrusts.net/reading/us-al, for current figures, recent developments, and sources.</w:t>
      </w:r>
    </w:p>
    <w:p>
      <w:r>
        <w:br w:type="page"/>
      </w:r>
    </w:p>
    <w:p>
      <w:pPr>
        <w:pStyle w:val="Heading2"/>
      </w:pPr>
      <w:bookmarkStart w:id="78" w:name="alaska-the-state-that-opted-out"/>
      <w:r>
        <w:t xml:space="preserve">Alaska — The State That Opted Out</w:t>
      </w:r>
      <w:bookmarkEnd w:id="78"/>
    </w:p>
    <w:p>
      <w:pPr>
        <w:pStyle w:val="FirstParagraph"/>
      </w:pP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k_6a179a6215da_1200x_q90.jpg" id="0" name="Picture"/>
                    <pic:cNvPicPr>
                      <a:picLocks noChangeArrowheads="1" noChangeAspect="1"/>
                    </pic:cNvPicPr>
                  </pic:nvPicPr>
                  <pic:blipFill>
                    <a:blip r:embed="rId7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schooltrusts.net/reading/us-ak, for current figures, recent developments, and sources.</w:t>
      </w:r>
    </w:p>
    <w:p>
      <w:r>
        <w:br w:type="page"/>
      </w:r>
    </w:p>
    <w:p>
      <w:pPr>
        <w:pStyle w:val="Heading2"/>
      </w:pPr>
      <w:bookmarkStart w:id="80" w:name="Xa3bfab9f14770571d43ae812c1ce919cb3afc3d"/>
      <w:r>
        <w:t xml:space="preserve">Arizona — The Strongest Words, the Softer Hand</w:t>
      </w:r>
      <w:bookmarkEnd w:id="80"/>
    </w:p>
    <w:p>
      <w:pPr>
        <w:pStyle w:val="FirstParagraph"/>
      </w:pP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z_20d70c38ad0a_1200x_q90.jpg" id="0" name="Picture"/>
                    <pic:cNvPicPr>
                      <a:picLocks noChangeArrowheads="1" noChangeAspect="1"/>
                    </pic:cNvPicPr>
                  </pic:nvPicPr>
                  <pic:blipFill>
                    <a:blip r:embed="rId8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schooltrusts.net/reading/us-az, for current figures, recent developments, and sources.</w:t>
      </w:r>
    </w:p>
    <w:p>
      <w:r>
        <w:br w:type="page"/>
      </w:r>
    </w:p>
    <w:p>
      <w:pPr>
        <w:pStyle w:val="Heading2"/>
      </w:pPr>
      <w:bookmarkStart w:id="82" w:name="X874e082d843603f4125cd8c9eebe92a0b66a682"/>
      <w:r>
        <w:t xml:space="preserve">Arkansas — The Endowment That Was Gone Before Anyone Looked</w:t>
      </w:r>
      <w:bookmarkEnd w:id="82"/>
    </w:p>
    <w:p>
      <w:pPr>
        <w:pStyle w:val="FirstParagraph"/>
      </w:pP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r_9f458beeb522_1200x_q90.jpg" id="0" name="Picture"/>
                    <pic:cNvPicPr>
                      <a:picLocks noChangeArrowheads="1" noChangeAspect="1"/>
                    </pic:cNvPicPr>
                  </pic:nvPicPr>
                  <pic:blipFill>
                    <a:blip r:embed="rId8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schooltrusts.net/reading/us-ar, for current figures, recent developments, and sources.</w:t>
      </w:r>
    </w:p>
    <w:p>
      <w:r>
        <w:br w:type="page"/>
      </w:r>
    </w:p>
    <w:p>
      <w:pPr>
        <w:pStyle w:val="Heading2"/>
      </w:pPr>
      <w:bookmarkStart w:id="84" w:name="Xadd67f5d427fd97956b466aa79773883a9a6772"/>
      <w:r>
        <w:t xml:space="preserve">California — The Grant That Arrived, the Trust That Never Did</w:t>
      </w:r>
      <w:bookmarkEnd w:id="84"/>
    </w:p>
    <w:p>
      <w:pPr>
        <w:pStyle w:val="FirstParagraph"/>
      </w:pP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ca_87c83205390c_1200x_q90.jpg" id="0" name="Picture"/>
                    <pic:cNvPicPr>
                      <a:picLocks noChangeArrowheads="1" noChangeAspect="1"/>
                    </pic:cNvPicPr>
                  </pic:nvPicPr>
                  <pic:blipFill>
                    <a:blip r:embed="rId85"/>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schooltrusts.net/reading/us-ca, for current figures, recent developments, and sources.</w:t>
      </w:r>
    </w:p>
    <w:p>
      <w:r>
        <w:br w:type="page"/>
      </w:r>
    </w:p>
    <w:p>
      <w:pPr>
        <w:pStyle w:val="Heading2"/>
      </w:pPr>
      <w:bookmarkStart w:id="86" w:name="Xe68d47f0c9cbccca06c05b9c6b20ac54f6ea66d"/>
      <w:r>
        <w:t xml:space="preserve">Colorado — The State That Renegotiated Its Trust at the Ballot Box</w:t>
      </w:r>
      <w:bookmarkEnd w:id="86"/>
    </w:p>
    <w:p>
      <w:pPr>
        <w:pStyle w:val="FirstParagraph"/>
      </w:pP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co_e4228e570bc4_1200x_q90.jpg" id="0" name="Picture"/>
                    <pic:cNvPicPr>
                      <a:picLocks noChangeArrowheads="1" noChangeAspect="1"/>
                    </pic:cNvPicPr>
                  </pic:nvPicPr>
                  <pic:blipFill>
                    <a:blip r:embed="rId8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schooltrusts.net/reading/us-co, for current figures, recent developments, and sources.</w:t>
      </w:r>
    </w:p>
    <w:p>
      <w:r>
        <w:br w:type="page"/>
      </w:r>
    </w:p>
    <w:p>
      <w:pPr>
        <w:pStyle w:val="Heading2"/>
      </w:pPr>
      <w:bookmarkStart w:id="88" w:name="X64674952db1d25f698a7f377c74ee6ca272d63b"/>
      <w:r>
        <w:t xml:space="preserve">Florida — The Strong Words That Would Not Bind</w:t>
      </w:r>
      <w:bookmarkEnd w:id="88"/>
    </w:p>
    <w:p>
      <w:pPr>
        <w:pStyle w:val="FirstParagraph"/>
      </w:pP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fl_ddb19706bebc_1200x_q90.jpg" id="0" name="Picture"/>
                    <pic:cNvPicPr>
                      <a:picLocks noChangeArrowheads="1" noChangeAspect="1"/>
                    </pic:cNvPicPr>
                  </pic:nvPicPr>
                  <pic:blipFill>
                    <a:blip r:embed="rId8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schooltrusts.net/reading/us-fl, for current figures, recent developments, and sources.</w:t>
      </w:r>
    </w:p>
    <w:p>
      <w:r>
        <w:br w:type="page"/>
      </w:r>
    </w:p>
    <w:p>
      <w:pPr>
        <w:pStyle w:val="Heading2"/>
      </w:pPr>
      <w:bookmarkStart w:id="90" w:name="Xb4434a73d825f6143eb6839b9c506017b06afcb"/>
      <w:r>
        <w:t xml:space="preserve">Hawaii — The Trust With Five Mouths to Feed</w:t>
      </w:r>
      <w:bookmarkEnd w:id="90"/>
    </w:p>
    <w:p>
      <w:pPr>
        <w:pStyle w:val="FirstParagraph"/>
      </w:pP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hi_ccd91991c293_1200x_q90.jpg" id="0" name="Picture"/>
                    <pic:cNvPicPr>
                      <a:picLocks noChangeArrowheads="1" noChangeAspect="1"/>
                    </pic:cNvPicPr>
                  </pic:nvPicPr>
                  <pic:blipFill>
                    <a:blip r:embed="rId9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schooltrusts.net/reading/us-hi, for current figures, recent developments, and sources.</w:t>
      </w:r>
    </w:p>
    <w:p>
      <w:r>
        <w:br w:type="page"/>
      </w:r>
    </w:p>
    <w:p>
      <w:pPr>
        <w:pStyle w:val="Heading2"/>
      </w:pPr>
      <w:bookmarkStart w:id="92" w:name="idaho-the-five-trustee-fortress"/>
      <w:r>
        <w:t xml:space="preserve">Idaho — The Five-Trustee Fortress</w:t>
      </w:r>
      <w:bookmarkEnd w:id="92"/>
    </w:p>
    <w:p>
      <w:pPr>
        <w:pStyle w:val="FirstParagraph"/>
      </w:pP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rPr>
          <w:i/>
        </w:rPr>
        <w:t xml:space="preserve">Balderston v. Brady</w:t>
      </w:r>
      <w:r>
        <w:t xml:space="preserve">, 18 Idaho 238, 108 P. 742 (1910); 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d_793f9728f1aa_1200x_q90.jpg" id="0" name="Picture"/>
                    <pic:cNvPicPr>
                      <a:picLocks noChangeArrowheads="1" noChangeAspect="1"/>
                    </pic:cNvPicPr>
                  </pic:nvPicPr>
                  <pic:blipFill>
                    <a:blip r:embed="rId9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schooltrusts.net/reading/us-id, for current figures, recent developments, and sources.</w:t>
      </w:r>
    </w:p>
    <w:p>
      <w:r>
        <w:br w:type="page"/>
      </w:r>
    </w:p>
    <w:p>
      <w:pPr>
        <w:pStyle w:val="Heading2"/>
      </w:pPr>
      <w:bookmarkStart w:id="94" w:name="X39922a786b21a573a7f470d28b72bea44882622"/>
      <w:r>
        <w:t xml:space="preserve">Illinois — The Quiet Sell-Off, One Township at a Time</w:t>
      </w:r>
      <w:bookmarkEnd w:id="94"/>
    </w:p>
    <w:p>
      <w:pPr>
        <w:pStyle w:val="FirstParagraph"/>
      </w:pP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l_d4d62d7da903_1200x_q90.jpg" id="0" name="Picture"/>
                    <pic:cNvPicPr>
                      <a:picLocks noChangeArrowheads="1" noChangeAspect="1"/>
                    </pic:cNvPicPr>
                  </pic:nvPicPr>
                  <pic:blipFill>
                    <a:blip r:embed="rId95"/>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schooltrusts.net/reading/us-il, for current figures, recent developments, and sources.</w:t>
      </w:r>
    </w:p>
    <w:p>
      <w:r>
        <w:br w:type="page"/>
      </w:r>
    </w:p>
    <w:p>
      <w:pPr>
        <w:pStyle w:val="Heading2"/>
      </w:pPr>
      <w:bookmarkStart w:id="96" w:name="Xeda3ba0927e6911f4768f2e84d840125d50894a"/>
      <w:r>
        <w:t xml:space="preserve">Indiana — The Strong Words and the Vanishing Land</w:t>
      </w:r>
      <w:bookmarkEnd w:id="96"/>
    </w:p>
    <w:p>
      <w:pPr>
        <w:pStyle w:val="FirstParagraph"/>
      </w:pP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n_1e171c23e86b_1200x_q90.jpg" id="0" name="Picture"/>
                    <pic:cNvPicPr>
                      <a:picLocks noChangeArrowheads="1" noChangeAspect="1"/>
                    </pic:cNvPicPr>
                  </pic:nvPicPr>
                  <pic:blipFill>
                    <a:blip r:embed="rId9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schooltrusts.net/reading/us-in, for current figures, recent developments, and sources.</w:t>
      </w:r>
    </w:p>
    <w:p>
      <w:r>
        <w:br w:type="page"/>
      </w:r>
    </w:p>
    <w:p>
      <w:pPr>
        <w:pStyle w:val="Heading2"/>
      </w:pPr>
      <w:bookmarkStart w:id="98" w:name="iowa-the-perfect-words-the-missing-guard"/>
      <w:r>
        <w:t xml:space="preserve">Iowa — The Perfect Words, the Missing Guard</w:t>
      </w:r>
      <w:bookmarkEnd w:id="98"/>
    </w:p>
    <w:p>
      <w:pPr>
        <w:pStyle w:val="FirstParagraph"/>
      </w:pP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a_d210f6422888_1200x_q90.jpg" id="0" name="Picture"/>
                    <pic:cNvPicPr>
                      <a:picLocks noChangeArrowheads="1" noChangeAspect="1"/>
                    </pic:cNvPicPr>
                  </pic:nvPicPr>
                  <pic:blipFill>
                    <a:blip r:embed="rId9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schooltrusts.net/reading/us-ia, for current figures, recent developments, and sources.</w:t>
      </w:r>
    </w:p>
    <w:p>
      <w:r>
        <w:br w:type="page"/>
      </w:r>
    </w:p>
    <w:p>
      <w:pPr>
        <w:pStyle w:val="Heading2"/>
      </w:pPr>
      <w:bookmarkStart w:id="100" w:name="kansas-the-long-lawful-hollowing"/>
      <w:r>
        <w:t xml:space="preserve">Kansas — The Long, Lawful Hollowing</w:t>
      </w:r>
      <w:bookmarkEnd w:id="100"/>
    </w:p>
    <w:p>
      <w:pPr>
        <w:pStyle w:val="FirstParagraph"/>
      </w:pP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ks_0b77f6a414bb_1200x_q90.jpg" id="0" name="Picture"/>
                    <pic:cNvPicPr>
                      <a:picLocks noChangeArrowheads="1" noChangeAspect="1"/>
                    </pic:cNvPicPr>
                  </pic:nvPicPr>
                  <pic:blipFill>
                    <a:blip r:embed="rId10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schooltrusts.net/reading/us-ks, for current figures, recent developments, and sources.</w:t>
      </w:r>
    </w:p>
    <w:p>
      <w:r>
        <w:br w:type="page"/>
      </w:r>
    </w:p>
    <w:p>
      <w:pPr>
        <w:pStyle w:val="Heading2"/>
      </w:pPr>
      <w:bookmarkStart w:id="102" w:name="X83044b400eb6aabc0e2cdb9d8f2048089f40e85"/>
      <w:r>
        <w:t xml:space="preserve">Louisiana — The Township Grant That Lives in the Parishes</w:t>
      </w:r>
      <w:bookmarkEnd w:id="102"/>
    </w:p>
    <w:p>
      <w:pPr>
        <w:pStyle w:val="FirstParagraph"/>
      </w:pP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la_fe1a1d0b8644_1200x_q90.jpg" id="0" name="Picture"/>
                    <pic:cNvPicPr>
                      <a:picLocks noChangeArrowheads="1" noChangeAspect="1"/>
                    </pic:cNvPicPr>
                  </pic:nvPicPr>
                  <pic:blipFill>
                    <a:blip r:embed="rId10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schooltrusts.net/reading/us-la, for current figures, recent developments, and sources.</w:t>
      </w:r>
    </w:p>
    <w:p>
      <w:r>
        <w:br w:type="page"/>
      </w:r>
    </w:p>
    <w:p>
      <w:pPr>
        <w:pStyle w:val="Heading2"/>
      </w:pPr>
      <w:bookmarkStart w:id="104" w:name="X81cdef5f8454e4013ec0be0927c2f564d36841d"/>
      <w:r>
        <w:t xml:space="preserve">Michigan — The Headwater That Drained Its Own Well</w:t>
      </w:r>
      <w:bookmarkEnd w:id="104"/>
    </w:p>
    <w:p>
      <w:pPr>
        <w:pStyle w:val="FirstParagraph"/>
      </w:pP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i_192f04eb9556_1200x_q90.jpg" id="0" name="Picture"/>
                    <pic:cNvPicPr>
                      <a:picLocks noChangeArrowheads="1" noChangeAspect="1"/>
                    </pic:cNvPicPr>
                  </pic:nvPicPr>
                  <pic:blipFill>
                    <a:blip r:embed="rId105"/>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schooltrusts.net/reading/us-mi, for current figures, recent developments, and sources.</w:t>
      </w:r>
    </w:p>
    <w:p>
      <w:r>
        <w:br w:type="page"/>
      </w:r>
    </w:p>
    <w:p>
      <w:pPr>
        <w:pStyle w:val="Heading2"/>
      </w:pPr>
      <w:bookmarkStart w:id="106" w:name="X6710939c407c7a14552c3629bd2dac407f9d302"/>
      <w:r>
        <w:t xml:space="preserve">Minnesota — The State That Copied the Template First, and Kept the Most</w:t>
      </w:r>
      <w:bookmarkEnd w:id="106"/>
    </w:p>
    <w:p>
      <w:pPr>
        <w:pStyle w:val="FirstParagraph"/>
      </w:pP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n_3abe4aef3cc3_1200x_q90.jpg" id="0" name="Picture"/>
                    <pic:cNvPicPr>
                      <a:picLocks noChangeArrowheads="1" noChangeAspect="1"/>
                    </pic:cNvPicPr>
                  </pic:nvPicPr>
                  <pic:blipFill>
                    <a:blip r:embed="rId10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schooltrusts.net/reading/us-mn, for current figures, recent developments, and sources.</w:t>
      </w:r>
    </w:p>
    <w:p>
      <w:r>
        <w:br w:type="page"/>
      </w:r>
    </w:p>
    <w:p>
      <w:pPr>
        <w:pStyle w:val="Heading2"/>
      </w:pPr>
      <w:bookmarkStart w:id="108" w:name="mississippi-the-trust-leased-for-7.50"/>
      <w:r>
        <w:t xml:space="preserve">Mississippi — The Trust Leased for $7.50</w:t>
      </w:r>
      <w:bookmarkEnd w:id="108"/>
    </w:p>
    <w:p>
      <w:pPr>
        <w:pStyle w:val="FirstParagraph"/>
      </w:pP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s_cf68bcedb4be_1200x_q90.jpg" id="0" name="Picture"/>
                    <pic:cNvPicPr>
                      <a:picLocks noChangeArrowheads="1" noChangeAspect="1"/>
                    </pic:cNvPicPr>
                  </pic:nvPicPr>
                  <pic:blipFill>
                    <a:blip r:embed="rId10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schooltrusts.net/reading/us-ms, for current figures, recent developments, and sources.</w:t>
      </w:r>
    </w:p>
    <w:p>
      <w:r>
        <w:br w:type="page"/>
      </w:r>
    </w:p>
    <w:p>
      <w:pPr>
        <w:pStyle w:val="Heading2"/>
      </w:pPr>
      <w:bookmarkStart w:id="110" w:name="X62901b0ffd0a892a719f2e0dd2d7769cfc7ffba"/>
      <w:r>
        <w:t xml:space="preserve">Missouri — The Endowment Spent Before the Doctrine Arrived</w:t>
      </w:r>
      <w:bookmarkEnd w:id="110"/>
    </w:p>
    <w:p>
      <w:pPr>
        <w:pStyle w:val="FirstParagraph"/>
      </w:pP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o_dc49ffc0a3de_1200x_q90.jpg" id="0" name="Picture"/>
                    <pic:cNvPicPr>
                      <a:picLocks noChangeArrowheads="1" noChangeAspect="1"/>
                    </pic:cNvPicPr>
                  </pic:nvPicPr>
                  <pic:blipFill>
                    <a:blip r:embed="rId11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schooltrusts.net/reading/us-mo, for current figures, recent developments, and sources.</w:t>
      </w:r>
    </w:p>
    <w:p>
      <w:r>
        <w:br w:type="page"/>
      </w:r>
    </w:p>
    <w:p>
      <w:pPr>
        <w:pStyle w:val="Heading2"/>
      </w:pPr>
      <w:bookmarkStart w:id="112" w:name="X75a634af18f83edce8391a82dbad9354abc3f74"/>
      <w:r>
        <w:t xml:space="preserve">Montana — The Weak Federal Floor and the Strong State House</w:t>
      </w:r>
      <w:bookmarkEnd w:id="112"/>
    </w:p>
    <w:p>
      <w:pPr>
        <w:pStyle w:val="FirstParagraph"/>
      </w:pP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rPr>
          <w:i/>
        </w:rPr>
        <w:t xml:space="preserve">Schutter v. Bd. of Land Comm’rs</w:t>
      </w:r>
      <w:r>
        <w:t xml:space="preserve">, 2024 MT 88; 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t_9f972ce6d2a2_1200x_q90.jpg" id="0" name="Picture"/>
                    <pic:cNvPicPr>
                      <a:picLocks noChangeArrowheads="1" noChangeAspect="1"/>
                    </pic:cNvPicPr>
                  </pic:nvPicPr>
                  <pic:blipFill>
                    <a:blip r:embed="rId11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schooltrusts.net/reading/us-mt, for current figures, recent developments, and sources.</w:t>
      </w:r>
    </w:p>
    <w:p>
      <w:r>
        <w:br w:type="page"/>
      </w:r>
    </w:p>
    <w:p>
      <w:pPr>
        <w:pStyle w:val="Heading2"/>
      </w:pPr>
      <w:bookmarkStart w:id="114" w:name="X868a68d06ba98bcc88838ee4b469447829f0532"/>
      <w:r>
        <w:t xml:space="preserve">Nebraska — Strong Pillars, Quiet Enforcement</w:t>
      </w:r>
      <w:bookmarkEnd w:id="114"/>
    </w:p>
    <w:p>
      <w:pPr>
        <w:pStyle w:val="FirstParagraph"/>
      </w:pP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rPr>
          <w:i/>
        </w:rPr>
        <w:t xml:space="preserve">State ex rel. Belker v. Bd. of Educ. Lands &amp; Funds</w:t>
      </w:r>
      <w:r>
        <w:t xml:space="preserve">, 185 Neb. 270, 175 N.W.2d 63 (1970);</w:t>
      </w:r>
      <w:r>
        <w:t xml:space="preserve"> </w:t>
      </w:r>
      <w:r>
        <w:rPr>
          <w:i/>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e_d14df8ce97f4_1200x_q90.jpg" id="0" name="Picture"/>
                    <pic:cNvPicPr>
                      <a:picLocks noChangeArrowheads="1" noChangeAspect="1"/>
                    </pic:cNvPicPr>
                  </pic:nvPicPr>
                  <pic:blipFill>
                    <a:blip r:embed="rId115"/>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schooltrusts.net/reading/us-ne, for current figures, recent developments, and sources.</w:t>
      </w:r>
    </w:p>
    <w:p>
      <w:r>
        <w:br w:type="page"/>
      </w:r>
    </w:p>
    <w:p>
      <w:pPr>
        <w:pStyle w:val="Heading2"/>
      </w:pPr>
      <w:bookmarkStart w:id="116" w:name="nevada-the-endowment-it-traded-away"/>
      <w:r>
        <w:t xml:space="preserve">Nevada — The Endowment It Traded Away</w:t>
      </w:r>
      <w:bookmarkEnd w:id="116"/>
    </w:p>
    <w:p>
      <w:pPr>
        <w:pStyle w:val="FirstParagraph"/>
      </w:pP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v_a21d596ac9a7_1200x_q90.jpg" id="0" name="Picture"/>
                    <pic:cNvPicPr>
                      <a:picLocks noChangeArrowheads="1" noChangeAspect="1"/>
                    </pic:cNvPicPr>
                  </pic:nvPicPr>
                  <pic:blipFill>
                    <a:blip r:embed="rId11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schooltrusts.net/reading/us-nv, for current figures, recent developments, and sources.</w:t>
      </w:r>
    </w:p>
    <w:p>
      <w:r>
        <w:br w:type="page"/>
      </w:r>
    </w:p>
    <w:p>
      <w:pPr>
        <w:pStyle w:val="Heading2"/>
      </w:pPr>
      <w:bookmarkStart w:id="118" w:name="X8837d14c1ab3cae9ef512272f5136c45a7351ad"/>
      <w:r>
        <w:t xml:space="preserve">New Mexico — The State That Wrote in the Teeth</w:t>
      </w:r>
      <w:bookmarkEnd w:id="118"/>
    </w:p>
    <w:p>
      <w:pPr>
        <w:pStyle w:val="FirstParagraph"/>
      </w:pP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m_c01eb54e71bd_1200x_q90.jpg" id="0" name="Picture"/>
                    <pic:cNvPicPr>
                      <a:picLocks noChangeArrowheads="1" noChangeAspect="1"/>
                    </pic:cNvPicPr>
                  </pic:nvPicPr>
                  <pic:blipFill>
                    <a:blip r:embed="rId11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schooltrusts.net/reading/us-nm, for current figures, recent developments, and sources.</w:t>
      </w:r>
    </w:p>
    <w:p>
      <w:r>
        <w:br w:type="page"/>
      </w:r>
    </w:p>
    <w:p>
      <w:pPr>
        <w:pStyle w:val="Heading2"/>
      </w:pPr>
      <w:bookmarkStart w:id="120" w:name="Xa3c5a31839fc93e8f8187c29da05ff13f9cb701"/>
      <w:r>
        <w:t xml:space="preserve">North Dakota — The Bridge That Held, and Then Struck Oil</w:t>
      </w:r>
      <w:bookmarkEnd w:id="120"/>
    </w:p>
    <w:p>
      <w:pPr>
        <w:pStyle w:val="FirstParagraph"/>
      </w:pP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d_c4b92892a10a_1200x_q90.jpg" id="0" name="Picture"/>
                    <pic:cNvPicPr>
                      <a:picLocks noChangeArrowheads="1" noChangeAspect="1"/>
                    </pic:cNvPicPr>
                  </pic:nvPicPr>
                  <pic:blipFill>
                    <a:blip r:embed="rId12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schooltrusts.net/reading/us-nd, for current figures, recent developments, and sources.</w:t>
      </w:r>
    </w:p>
    <w:p>
      <w:r>
        <w:br w:type="page"/>
      </w:r>
    </w:p>
    <w:p>
      <w:pPr>
        <w:pStyle w:val="Heading2"/>
      </w:pPr>
      <w:bookmarkStart w:id="122" w:name="X5f0e284dc2fd627bb9c9f14c8fd5440537d1a8d"/>
      <w:r>
        <w:t xml:space="preserve">Ohio — The Template That Wrote Itself a Loophole</w:t>
      </w:r>
      <w:bookmarkEnd w:id="122"/>
    </w:p>
    <w:p>
      <w:pPr>
        <w:pStyle w:val="FirstParagraph"/>
      </w:pP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rPr>
          <w:i/>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h_bab5d16f9c13_1200x_q90.jpg" id="0" name="Picture"/>
                    <pic:cNvPicPr>
                      <a:picLocks noChangeArrowheads="1" noChangeAspect="1"/>
                    </pic:cNvPicPr>
                  </pic:nvPicPr>
                  <pic:blipFill>
                    <a:blip r:embed="rId12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schooltrusts.net/reading/us-oh, for current figures, recent developments, and sources.</w:t>
      </w:r>
    </w:p>
    <w:p>
      <w:r>
        <w:br w:type="page"/>
      </w:r>
    </w:p>
    <w:p>
      <w:pPr>
        <w:pStyle w:val="Heading2"/>
      </w:pPr>
      <w:bookmarkStart w:id="124" w:name="X7226a7d195431b776ecc8f4532457dd43c952d9"/>
      <w:r>
        <w:t xml:space="preserve">Oklahoma — Half Land, Half Ledger, All Sacred Trust</w:t>
      </w:r>
      <w:bookmarkEnd w:id="124"/>
    </w:p>
    <w:p>
      <w:pPr>
        <w:pStyle w:val="FirstParagraph"/>
      </w:pP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rPr>
          <w:i/>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k_08a7508d093e_1200x_q90.jpg" id="0" name="Picture"/>
                    <pic:cNvPicPr>
                      <a:picLocks noChangeArrowheads="1" noChangeAspect="1"/>
                    </pic:cNvPicPr>
                  </pic:nvPicPr>
                  <pic:blipFill>
                    <a:blip r:embed="rId125"/>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schooltrusts.net/reading/us-ok, for current figures, recent developments, and sources.</w:t>
      </w:r>
    </w:p>
    <w:p>
      <w:r>
        <w:br w:type="page"/>
      </w:r>
    </w:p>
    <w:p>
      <w:pPr>
        <w:pStyle w:val="Heading2"/>
      </w:pPr>
      <w:bookmarkStart w:id="126" w:name="X64f4b7a175fac1c331652e4074a59b57edbcff3"/>
      <w:r>
        <w:t xml:space="preserve">Oregon — The Sale That the Seller Made to Itself</w:t>
      </w:r>
      <w:bookmarkEnd w:id="126"/>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w:t>
      </w:r>
      <w:r>
        <w:t xml:space="preserve"> </w:t>
      </w:r>
      <w:r>
        <w:rPr>
          <w:i/>
        </w:rPr>
        <w:t xml:space="preserve">Cascadia Wildlands v. Dep’t of State Lands</w:t>
      </w:r>
      <w:r>
        <w:t xml:space="preserve">, 365 Or. 750 (2019); Advocates for School Trust Lands v. State, 346 Or. App. 668 (2026); OASTL valuation materials (contested); DSL Common School Fund reports.</w:t>
      </w:r>
    </w:p>
    <w:p>
      <w:r>
        <w:pict>
          <v:rect style="width:0;height:1.5pt" o:hralign="center" o:hrstd="t" o:hr="t"/>
        </w:pict>
      </w:r>
    </w:p>
    <w:p>
      <w:pPr>
        <w:pStyle w:val="Heading3"/>
      </w:pPr>
      <w:bookmarkStart w:id="127" w:name="the-last-thirty-years-the-elliott"/>
      <w:r>
        <w:t xml:space="preserve">The last thirty years: the Elliott</w:t>
      </w:r>
      <w:bookmarkEnd w:id="127"/>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r_2183bc25da6b_1200x_q90.jpg" id="0" name="Picture"/>
                    <pic:cNvPicPr>
                      <a:picLocks noChangeArrowheads="1" noChangeAspect="1"/>
                    </pic:cNvPicPr>
                  </pic:nvPicPr>
                  <pic:blipFill>
                    <a:blip r:embed="rId12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schooltrusts.net/reading/us-or, for current figures, recent developments, and sources.</w:t>
      </w:r>
    </w:p>
    <w:p>
      <w:r>
        <w:br w:type="page"/>
      </w:r>
    </w:p>
    <w:p>
      <w:pPr>
        <w:pStyle w:val="Heading2"/>
      </w:pPr>
      <w:bookmarkStart w:id="129" w:name="X709288ddcd85848cc8687643a1b6c7079f222d5"/>
      <w:r>
        <w:t xml:space="preserve">South Dakota — The Trust the Courts Took Seriously</w:t>
      </w:r>
      <w:bookmarkEnd w:id="129"/>
    </w:p>
    <w:p>
      <w:pPr>
        <w:pStyle w:val="FirstParagraph"/>
      </w:pP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sd_8396c1f470e6_1200x_q90.jpg" id="0" name="Picture"/>
                    <pic:cNvPicPr>
                      <a:picLocks noChangeArrowheads="1" noChangeAspect="1"/>
                    </pic:cNvPicPr>
                  </pic:nvPicPr>
                  <pic:blipFill>
                    <a:blip r:embed="rId13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schooltrusts.net/reading/us-sd, for current figures, recent developments, and sources.</w:t>
      </w:r>
    </w:p>
    <w:p>
      <w:r>
        <w:br w:type="page"/>
      </w:r>
    </w:p>
    <w:p>
      <w:pPr>
        <w:pStyle w:val="Heading2"/>
      </w:pPr>
      <w:bookmarkStart w:id="131" w:name="X1fb5a2b5e1437f8e8b536da20b302182306808f"/>
      <w:r>
        <w:t xml:space="preserve">Tennessee — The Trust That Talked Itself Out of Protection</w:t>
      </w:r>
      <w:bookmarkEnd w:id="131"/>
    </w:p>
    <w:p>
      <w:pPr>
        <w:pStyle w:val="FirstParagraph"/>
      </w:pP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tn_4c380839c719_1200x_q90.jpg" id="0" name="Picture"/>
                    <pic:cNvPicPr>
                      <a:picLocks noChangeArrowheads="1" noChangeAspect="1"/>
                    </pic:cNvPicPr>
                  </pic:nvPicPr>
                  <pic:blipFill>
                    <a:blip r:embed="rId13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schooltrusts.net/reading/us-tn, for current figures, recent developments, and sources.</w:t>
      </w:r>
    </w:p>
    <w:p>
      <w:r>
        <w:br w:type="page"/>
      </w:r>
    </w:p>
    <w:p>
      <w:pPr>
        <w:pStyle w:val="Heading2"/>
      </w:pPr>
      <w:bookmarkStart w:id="133" w:name="X86d40a6e3b830d9711a73df5249a796369b204d"/>
      <w:r>
        <w:t xml:space="preserve">Texas — The Sovereign That Kept Its Own Land</w:t>
      </w:r>
      <w:bookmarkEnd w:id="133"/>
    </w:p>
    <w:p>
      <w:pPr>
        <w:pStyle w:val="FirstParagraph"/>
      </w:pP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tx_610e27447abe_1200x_q90.jpg" id="0" name="Picture"/>
                    <pic:cNvPicPr>
                      <a:picLocks noChangeArrowheads="1" noChangeAspect="1"/>
                    </pic:cNvPicPr>
                  </pic:nvPicPr>
                  <pic:blipFill>
                    <a:blip r:embed="rId13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schooltrusts.net/reading/us-tx, for current figures, recent developments, and sources.</w:t>
      </w:r>
    </w:p>
    <w:p>
      <w:r>
        <w:br w:type="page"/>
      </w:r>
    </w:p>
    <w:p>
      <w:pPr>
        <w:pStyle w:val="Heading2"/>
      </w:pPr>
      <w:bookmarkStart w:id="135" w:name="utah-the-fall-and-the-rebuilding"/>
      <w:r>
        <w:t xml:space="preserve">Utah — The Fall and the Rebuilding</w:t>
      </w:r>
      <w:bookmarkEnd w:id="135"/>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rPr>
          <w:i/>
        </w:rPr>
        <w:t xml:space="preserve">Jensen v. Dinehart</w:t>
      </w:r>
      <w:r>
        <w:t xml:space="preserve">, 645 P.2d 32 (Utah 1982); 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36" w:name="Xd7f81f87d785ad3381212c065af092376914e75"/>
      <w:r>
        <w:t xml:space="preserve">The last fifty years: fall, reform, and a fresh test</w:t>
      </w:r>
      <w:bookmarkEnd w:id="136"/>
    </w:p>
    <w:p>
      <w:pPr>
        <w:pStyle w:val="FirstParagraph"/>
      </w:pP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ut_f14e9045f694_1200x_q90.jpg" id="0" name="Picture"/>
                    <pic:cNvPicPr>
                      <a:picLocks noChangeArrowheads="1" noChangeAspect="1"/>
                    </pic:cNvPicPr>
                  </pic:nvPicPr>
                  <pic:blipFill>
                    <a:blip r:embed="rId13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schooltrusts.net/reading/us-ut, for current figures, recent developments, and sources.</w:t>
      </w:r>
    </w:p>
    <w:p>
      <w:r>
        <w:br w:type="page"/>
      </w:r>
    </w:p>
    <w:p>
      <w:pPr>
        <w:pStyle w:val="Heading2"/>
      </w:pPr>
      <w:bookmarkStart w:id="138" w:name="X6270d57f38f391831d553cd868c2885ef7b7e9e"/>
      <w:r>
        <w:t xml:space="preserve">Washington — The Strong State Constitution That Backstopped a Weak Federal Deal</w:t>
      </w:r>
      <w:bookmarkEnd w:id="138"/>
    </w:p>
    <w:p>
      <w:pPr>
        <w:pStyle w:val="FirstParagraph"/>
      </w:pP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a_38c978bc0e5e_1200x_q90.jpg" id="0" name="Picture"/>
                    <pic:cNvPicPr>
                      <a:picLocks noChangeArrowheads="1" noChangeAspect="1"/>
                    </pic:cNvPicPr>
                  </pic:nvPicPr>
                  <pic:blipFill>
                    <a:blip r:embed="rId13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schooltrusts.net/reading/us-wa, for current figures, recent developments, and sources.</w:t>
      </w:r>
    </w:p>
    <w:p>
      <w:r>
        <w:br w:type="page"/>
      </w:r>
    </w:p>
    <w:p>
      <w:pPr>
        <w:pStyle w:val="Heading2"/>
      </w:pPr>
      <w:bookmarkStart w:id="140" w:name="Xcf339999e7e18dde0bdde25b80d10f3431dd343"/>
      <w:r>
        <w:t xml:space="preserve">Wisconsin — The Honest Clerk Who Lent the Children’s Money Cheap</w:t>
      </w:r>
      <w:bookmarkEnd w:id="140"/>
    </w:p>
    <w:p>
      <w:pPr>
        <w:pStyle w:val="FirstParagraph"/>
      </w:pP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i_41b721950592_1200x_q90.jpg" id="0" name="Picture"/>
                    <pic:cNvPicPr>
                      <a:picLocks noChangeArrowheads="1" noChangeAspect="1"/>
                    </pic:cNvPicPr>
                  </pic:nvPicPr>
                  <pic:blipFill>
                    <a:blip r:embed="rId14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schooltrusts.net/reading/us-wi, for current figures, recent developments, and sources.</w:t>
      </w:r>
    </w:p>
    <w:p>
      <w:r>
        <w:br w:type="page"/>
      </w:r>
    </w:p>
    <w:p>
      <w:pPr>
        <w:pStyle w:val="Heading2"/>
      </w:pPr>
      <w:bookmarkStart w:id="142" w:name="Xa0347788bd507684c95e67ec7f84bfd05604a5b"/>
      <w:r>
        <w:t xml:space="preserve">Wyoming — The Modest Acreage That Geology Made Rich</w:t>
      </w:r>
      <w:bookmarkEnd w:id="142"/>
    </w:p>
    <w:p>
      <w:pPr>
        <w:pStyle w:val="FirstParagraph"/>
      </w:pP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y_f8dfcc1714b5_1200x_q90.jpg" id="0" name="Picture"/>
                    <pic:cNvPicPr>
                      <a:picLocks noChangeArrowheads="1" noChangeAspect="1"/>
                    </pic:cNvPicPr>
                  </pic:nvPicPr>
                  <pic:blipFill>
                    <a:blip r:embed="rId14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schooltrusts.net/reading/us-wy, for current figures, recent developments, and sources.</w:t>
      </w:r>
    </w:p>
    <w:p>
      <w:r>
        <w:br w:type="page"/>
      </w:r>
    </w:p>
    <w:p>
      <w:pPr>
        <w:pStyle w:val="Heading1"/>
      </w:pPr>
      <w:bookmarkStart w:id="144" w:name="a-note-on-method-and-sources"/>
      <w:r>
        <w:t xml:space="preserve">A Note on Method and Sources</w:t>
      </w:r>
      <w:bookmarkEnd w:id="144"/>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45" w:name="appendix-the-non-grant-states"/>
      <w:r>
        <w:t xml:space="preserve">APPENDIX — The Non-Grant States</w:t>
      </w:r>
      <w:bookmarkEnd w:id="145"/>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[VERIFY: complete these before print.]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ct_109d2e525972_1200x_q90.jpg" id="0" name="Picture"/>
                    <pic:cNvPicPr>
                      <a:picLocks noChangeArrowheads="1" noChangeAspect="1"/>
                    </pic:cNvPicPr>
                  </pic:nvPicPr>
                  <pic:blipFill>
                    <a:blip r:embed="rId14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de_9dcf07e3989e_1200x_q90.jpg" id="0" name="Picture"/>
                    <pic:cNvPicPr>
                      <a:picLocks noChangeArrowheads="1" noChangeAspect="1"/>
                    </pic:cNvPicPr>
                  </pic:nvPicPr>
                  <pic:blipFill>
                    <a:blip r:embed="rId14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ga_7a697471e6eb_1200x_q90.jpg" id="0" name="Picture"/>
                    <pic:cNvPicPr>
                      <a:picLocks noChangeArrowheads="1" noChangeAspect="1"/>
                    </pic:cNvPicPr>
                  </pic:nvPicPr>
                  <pic:blipFill>
                    <a:blip r:embed="rId14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ky_12c2a04ac2bb_1200x_q90.jpg" id="0" name="Picture"/>
                    <pic:cNvPicPr>
                      <a:picLocks noChangeArrowheads="1" noChangeAspect="1"/>
                    </pic:cNvPicPr>
                  </pic:nvPicPr>
                  <pic:blipFill>
                    <a:blip r:embed="rId14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e_b6f36700784c_1200x_q90.jpg" id="0" name="Picture"/>
                    <pic:cNvPicPr>
                      <a:picLocks noChangeArrowheads="1" noChangeAspect="1"/>
                    </pic:cNvPicPr>
                  </pic:nvPicPr>
                  <pic:blipFill>
                    <a:blip r:embed="rId15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d_fffbe9b033b1_1200x_q90.jpg" id="0" name="Picture"/>
                    <pic:cNvPicPr>
                      <a:picLocks noChangeArrowheads="1" noChangeAspect="1"/>
                    </pic:cNvPicPr>
                  </pic:nvPicPr>
                  <pic:blipFill>
                    <a:blip r:embed="rId15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a_b0688c0d2114_1200x_q90.jpg" id="0" name="Picture"/>
                    <pic:cNvPicPr>
                      <a:picLocks noChangeArrowheads="1" noChangeAspect="1"/>
                    </pic:cNvPicPr>
                  </pic:nvPicPr>
                  <pic:blipFill>
                    <a:blip r:embed="rId15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h_13a397d2881d_1200x_q90.jpg" id="0" name="Picture"/>
                    <pic:cNvPicPr>
                      <a:picLocks noChangeArrowheads="1" noChangeAspect="1"/>
                    </pic:cNvPicPr>
                  </pic:nvPicPr>
                  <pic:blipFill>
                    <a:blip r:embed="rId15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j_61f1b3947c89_1200x_q90.jpg" id="0" name="Picture"/>
                    <pic:cNvPicPr>
                      <a:picLocks noChangeArrowheads="1" noChangeAspect="1"/>
                    </pic:cNvPicPr>
                  </pic:nvPicPr>
                  <pic:blipFill>
                    <a:blip r:embed="rId15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y_e323bfb045f1_1200x_q90.jpg" id="0" name="Picture"/>
                    <pic:cNvPicPr>
                      <a:picLocks noChangeArrowheads="1" noChangeAspect="1"/>
                    </pic:cNvPicPr>
                  </pic:nvPicPr>
                  <pic:blipFill>
                    <a:blip r:embed="rId15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c_df76be61207d_1200x_q90.jpg" id="0" name="Picture"/>
                    <pic:cNvPicPr>
                      <a:picLocks noChangeArrowheads="1" noChangeAspect="1"/>
                    </pic:cNvPicPr>
                  </pic:nvPicPr>
                  <pic:blipFill>
                    <a:blip r:embed="rId15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pa_c50aed5cc052_1200x_q90.jpg" id="0" name="Picture"/>
                    <pic:cNvPicPr>
                      <a:picLocks noChangeArrowheads="1" noChangeAspect="1"/>
                    </pic:cNvPicPr>
                  </pic:nvPicPr>
                  <pic:blipFill>
                    <a:blip r:embed="rId15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ri_50f3f6190519_1200x_q90.jpg" id="0" name="Picture"/>
                    <pic:cNvPicPr>
                      <a:picLocks noChangeArrowheads="1" noChangeAspect="1"/>
                    </pic:cNvPicPr>
                  </pic:nvPicPr>
                  <pic:blipFill>
                    <a:blip r:embed="rId15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sc_3012d94282d0_1200x_q90.jpg" id="0" name="Picture"/>
                    <pic:cNvPicPr>
                      <a:picLocks noChangeArrowheads="1" noChangeAspect="1"/>
                    </pic:cNvPicPr>
                  </pic:nvPicPr>
                  <pic:blipFill>
                    <a:blip r:embed="rId15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t_c2257b4584fa_1200x_q90.jpg" id="0" name="Picture"/>
                    <pic:cNvPicPr>
                      <a:picLocks noChangeArrowheads="1" noChangeAspect="1"/>
                    </pic:cNvPicPr>
                  </pic:nvPicPr>
                  <pic:blipFill>
                    <a:blip r:embed="rId16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a_c23fb80f5dad_1200x_q90.jpg" id="0" name="Picture"/>
                    <pic:cNvPicPr>
                      <a:picLocks noChangeArrowheads="1" noChangeAspect="1"/>
                    </pic:cNvPicPr>
                  </pic:nvPicPr>
                  <pic:blipFill>
                    <a:blip r:embed="rId16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wv_ae92face8bd4_1200x_q90.jpg" id="0" name="Picture"/>
                    <pic:cNvPicPr>
                      <a:picLocks noChangeArrowheads="1" noChangeAspect="1"/>
                    </pic:cNvPicPr>
                  </pic:nvPicPr>
                  <pic:blipFill>
                    <a:blip r:embed="rId162"/>
                    <a:stretch>
                      <a:fillRect/>
                    </a:stretch>
                  </pic:blipFill>
                  <pic:spPr bwMode="auto">
                    <a:xfrm>
                      <a:off x="0" y="0"/>
                      <a:ext cx="502920" cy="587044"/>
                    </a:xfrm>
                    <a:prstGeom prst="rect">
                      <a:avLst/>
                    </a:prstGeom>
                    <a:noFill/>
                    <a:ln w="9525">
                      <a:noFill/>
                      <a:headEnd/>
                      <a:tailEnd/>
                    </a:ln>
                  </pic:spPr>
                </pic:pic>
              </a:graphicData>
            </a:graphic>
          </wp:inline>
        </w:drawing>
      </w:r>
    </w:p>
    <w:p>
      <w:r>
        <w:br w:type="page"/>
      </w:r>
    </w:p>
    <w:p>
      <w:pPr>
        <w:pStyle w:val="Heading1"/>
      </w:pPr>
      <w:bookmarkStart w:id="163" w:name="illustration-program"/>
      <w:r>
        <w:t xml:space="preserve">Illustration Program</w:t>
      </w:r>
      <w:bookmarkEnd w:id="163"/>
    </w:p>
    <w:p>
      <w:pPr>
        <w:pStyle w:val="FirstParagraph"/>
      </w:pPr>
      <w:r>
        <w:t xml:space="preserve">The book should read like high-end illustrated trade history, not a legal monograph with decoration added afterward. The figures below are editorial assignments, with rights posture stated now so the authors can clear or replace images before layout.</w:t>
      </w:r>
    </w:p>
    <w:p>
      <w:pPr>
        <w:numPr>
          <w:ilvl w:val="0"/>
          <w:numId w:val="1009"/>
        </w:numPr>
      </w:pPr>
      <w:r>
        <w:rPr>
          <w:b/>
        </w:rPr>
        <w:t xml:space="preserve">Map: the surviving trust-land states.</w:t>
      </w:r>
      <w:r>
        <w:t xml:space="preserve"> </w:t>
      </w:r>
      <w:r>
        <w:t xml:space="preserve">Shade the twenty states still holding school trust land by retained acreage; use a second small-symbol layer for permanent-fund size. Caption source: imported ASTL state-page corpus, FY2024. Rights: original cartography to be generated from public data; no rights issue if the base map is made in-house.</w:t>
      </w:r>
    </w:p>
    <w:p>
      <w:pPr>
        <w:numPr>
          <w:ilvl w:val="0"/>
          <w:numId w:val="1009"/>
        </w:numPr>
      </w:pPr>
      <w:r>
        <w:rPr>
          <w:b/>
        </w:rPr>
        <w:t xml:space="preserve">Timeline: one grant across a century.</w:t>
      </w:r>
      <w:r>
        <w:t xml:space="preserve"> </w:t>
      </w:r>
      <w:r>
        <w:t xml:space="preserve">Improve the existing Figure 2 with vertical ticks for 1785, 1787, Ohio 1802, the major one-section / two-section / four-section statehood waves, the 1889 Omnibus Act, the 1910 New Mexico-Arizona enforcement engine, and</w:t>
      </w:r>
      <w:r>
        <w:t xml:space="preserve"> </w:t>
      </w:r>
      <w:r>
        <w:rPr>
          <w:i/>
        </w:rPr>
        <w:t xml:space="preserve">Morrison</w:t>
      </w:r>
      <w:r>
        <w:t xml:space="preserve"> </w:t>
      </w:r>
      <w:r>
        <w:t xml:space="preserve">in 1916. Caption should say: the federal words changed at the margins; the school purpose held. Rights: original chart.</w:t>
      </w:r>
    </w:p>
    <w:p>
      <w:pPr>
        <w:numPr>
          <w:ilvl w:val="0"/>
          <w:numId w:val="1009"/>
        </w:numPr>
      </w:pPr>
      <w:r>
        <w:rPr>
          <w:b/>
        </w:rPr>
        <w:t xml:space="preserve">Chart: then to now.</w:t>
      </w:r>
      <w:r>
        <w:t xml:space="preserve"> </w:t>
      </w:r>
      <w:r>
        <w:t xml:space="preserve">For each of the thirty-three granted states, show original acreage, retained acreage, current school-fund corpus, and a conservative</w:t>
      </w:r>
      <w:r>
        <w:t xml:space="preserve"> </w:t>
      </w:r>
      <w:r>
        <w:t xml:space="preserve">“</w:t>
      </w:r>
      <w:r>
        <w:t xml:space="preserve">faithful stewardship</w:t>
      </w:r>
      <w:r>
        <w:t xml:space="preserve">”</w:t>
      </w:r>
      <w:r>
        <w:t xml:space="preserve"> </w:t>
      </w:r>
      <w:r>
        <w:t xml:space="preserve">comparator where the record supports one. This should be built as a data chart only after the Part Two figures pass is complete. Rights: original chart; methodology note required.</w:t>
      </w:r>
    </w:p>
    <w:p>
      <w:pPr>
        <w:numPr>
          <w:ilvl w:val="0"/>
          <w:numId w:val="1009"/>
        </w:numPr>
      </w:pPr>
      <w:r>
        <w:rPr>
          <w:b/>
        </w:rPr>
        <w:t xml:space="preserve">Diagram: how a school trust works.</w:t>
      </w:r>
      <w:r>
        <w:t xml:space="preserve"> </w:t>
      </w:r>
      <w:r>
        <w:t xml:space="preserve">Use the Chapter 7 figure spec: grantor -&gt; trustee -&gt; schools; corpus versus income; proper green flows and prohibited red leaks. Rights: original diagram.</w:t>
      </w:r>
    </w:p>
    <w:p>
      <w:pPr>
        <w:numPr>
          <w:ilvl w:val="0"/>
          <w:numId w:val="1009"/>
        </w:numPr>
      </w:pPr>
      <w:r>
        <w:rPr>
          <w:b/>
        </w:rPr>
        <w:t xml:space="preserve">Primary-document facsimiles.</w:t>
      </w:r>
      <w:r>
        <w:t xml:space="preserve"> </w:t>
      </w:r>
      <w:r>
        <w:t xml:space="preserve">Candidate reproductions: the Land Ordinance of 1785 school-section language; a Section 16 township grid; an 1889 Omnibus Act page with the $10 floor; the 1910 New Mexico-Arizona Act enforcement clause. Source from L0 scans or federal public-domain sources. Rights: public domain, but each image needs a precise archive citation.</w:t>
      </w:r>
    </w:p>
    <w:p>
      <w:pPr>
        <w:numPr>
          <w:ilvl w:val="0"/>
          <w:numId w:val="1009"/>
        </w:numPr>
      </w:pPr>
      <w:r>
        <w:rPr>
          <w:b/>
        </w:rPr>
        <w:t xml:space="preserve">Period images.</w:t>
      </w:r>
      <w:r>
        <w:t xml:space="preserve"> </w:t>
      </w:r>
      <w:r>
        <w:t xml:space="preserve">Candidate public-domain or rights-clearable images: one-room school exterior; rate-bill or poor-school notice; land-office auction; General Land Office plat; early western schoolhouse with township context. Rights: use Library of Congress, National Archives, state archives, or local historical societies with explicit public-domain / permission status. Any image without a clean rights note should be replaced by an original diagram, not by an unattributed stock photo.</w:t>
      </w:r>
    </w:p>
    <w:p>
      <w:pPr>
        <w:numPr>
          <w:ilvl w:val="0"/>
          <w:numId w:val="1009"/>
        </w:numPr>
      </w:pPr>
      <w:r>
        <w:rPr>
          <w:b/>
        </w:rPr>
        <w:t xml:space="preserve">Generated illustrations.</w:t>
      </w:r>
      <w:r>
        <w:t xml:space="preserve"> </w:t>
      </w:r>
      <w:r>
        <w:t xml:space="preserve">If used at all, generated images should be labeled</w:t>
      </w:r>
      <w:r>
        <w:t xml:space="preserve"> </w:t>
      </w:r>
      <w:r>
        <w:t xml:space="preserve">“</w:t>
      </w:r>
      <w:r>
        <w:t xml:space="preserve">illustration,</w:t>
      </w:r>
      <w:r>
        <w:t xml:space="preserve">”</w:t>
      </w:r>
      <w:r>
        <w:t xml:space="preserve"> </w:t>
      </w:r>
      <w:r>
        <w:t xml:space="preserve">never</w:t>
      </w:r>
      <w:r>
        <w:t xml:space="preserve"> </w:t>
      </w:r>
      <w:r>
        <w:t xml:space="preserve">“</w:t>
      </w:r>
      <w:r>
        <w:t xml:space="preserve">photograph</w:t>
      </w:r>
      <w:r>
        <w:t xml:space="preserve">”</w:t>
      </w:r>
      <w:r>
        <w:t xml:space="preserve"> </w:t>
      </w:r>
      <w:r>
        <w:t xml:space="preserve">or</w:t>
      </w:r>
      <w:r>
        <w:t xml:space="preserve"> </w:t>
      </w:r>
      <w:r>
        <w:t xml:space="preserve">“</w:t>
      </w:r>
      <w:r>
        <w:t xml:space="preserve">archival image.</w:t>
      </w:r>
      <w:r>
        <w:t xml:space="preserve">”</w:t>
      </w:r>
      <w:r>
        <w:t xml:space="preserve"> </w:t>
      </w:r>
      <w:r>
        <w:t xml:space="preserve">Best uses: a neutral section-16 township schematic, not invented people or fake period scenes.</w:t>
      </w:r>
    </w:p>
    <w:p>
      <w:r>
        <w:br w:type="page"/>
      </w:r>
    </w:p>
    <w:p>
      <w:pPr>
        <w:pStyle w:val="Heading1"/>
      </w:pPr>
      <w:bookmarkStart w:id="164" w:name="notes"/>
      <w:r>
        <w:t xml:space="preserve">Notes</w:t>
      </w:r>
      <w:bookmarkEnd w:id="164"/>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[VERIFY]; if you can supply or correct a source, please write to us through schooltrusts.net. State-by-state sources appear with each Part Two entry and its living page.</w:t>
      </w:r>
    </w:p>
    <w:p>
      <w:pPr>
        <w:pStyle w:val="Heading2"/>
      </w:pPr>
      <w:bookmarkStart w:id="165" w:name="X002108d8222916d5d627d7cdcab6d99d58650fa"/>
      <w:r>
        <w:t xml:space="preserve">Front Matter — A Note from the First Author</w:t>
      </w:r>
      <w:bookmarkEnd w:id="165"/>
    </w:p>
    <w:p>
      <w:pPr>
        <w:numPr>
          <w:ilvl w:val="0"/>
          <w:numId w:val="1010"/>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66" w:name="Xb66c01350146b99bd020f215610e5a734adf7f5"/>
      <w:r>
        <w:t xml:space="preserve">Chapter 1 — The Inheritance Still Standing</w:t>
      </w:r>
      <w:bookmarkEnd w:id="166"/>
    </w:p>
    <w:p>
      <w:pPr>
        <w:numPr>
          <w:ilvl w:val="0"/>
          <w:numId w:val="1011"/>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11"/>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 [VERIFY: pin to Orr’s page number before print.]</w:t>
      </w:r>
    </w:p>
    <w:p>
      <w:pPr>
        <w:numPr>
          <w:ilvl w:val="0"/>
          <w:numId w:val="1011"/>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67" w:name="chapter-2-the-world-that-made-the-gift-1"/>
      <w:r>
        <w:t xml:space="preserve">Chapter 2 — The World That Made the Gift</w:t>
      </w:r>
      <w:bookmarkEnd w:id="167"/>
    </w:p>
    <w:p>
      <w:pPr>
        <w:numPr>
          <w:ilvl w:val="0"/>
          <w:numId w:val="1012"/>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12"/>
        </w:numPr>
      </w:pPr>
      <w:r>
        <w:t xml:space="preserve">The use/trust descends through English equity from older charitable-endowment forms. [VERIFY: attach a specific secondary authority on the history of the use and the trust before print; not yet pinned in the stack.]</w:t>
      </w:r>
    </w:p>
    <w:p>
      <w:pPr>
        <w:pStyle w:val="Heading2"/>
      </w:pPr>
      <w:bookmarkStart w:id="168" w:name="chapter-3-the-punctilio-of-honor-1"/>
      <w:r>
        <w:t xml:space="preserve">Chapter 3 — The Punctilio of Honor</w:t>
      </w:r>
      <w:bookmarkEnd w:id="168"/>
    </w:p>
    <w:p>
      <w:pPr>
        <w:numPr>
          <w:ilvl w:val="0"/>
          <w:numId w:val="1013"/>
        </w:numPr>
        <w:pStyle w:val="Compact"/>
      </w:pPr>
      <w:r>
        <w:rPr>
          <w:i/>
        </w:rPr>
        <w:t xml:space="preserve">Meinhard v. Salmon</w:t>
      </w:r>
      <w:r>
        <w:t xml:space="preserve">, 249 N.Y. 458, 464, 164 N.E. 545, 546 (1928) (Cardozo, C.J.).</w:t>
      </w:r>
    </w:p>
    <w:p>
      <w:pPr>
        <w:pStyle w:val="Heading2"/>
      </w:pPr>
      <w:bookmarkStart w:id="169" w:name="X0c57d452c3b676170775aa42a10a1b6bc3c6792"/>
      <w:r>
        <w:t xml:space="preserve">Chapter 4 — Loyalty: The Gift Treated as Pocket Money</w:t>
      </w:r>
      <w:bookmarkEnd w:id="169"/>
    </w:p>
    <w:p>
      <w:pPr>
        <w:numPr>
          <w:ilvl w:val="0"/>
          <w:numId w:val="1014"/>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14"/>
        </w:numPr>
      </w:pPr>
      <w:r>
        <w:rPr>
          <w:i/>
        </w:rPr>
        <w:t xml:space="preserve">Meinhard v. Salmon</w:t>
      </w:r>
      <w:r>
        <w:t xml:space="preserve">, 249 N.Y. 458, 464, 164 N.E. 545, 546 (1928) (Cardozo, C.J.).</w:t>
      </w:r>
    </w:p>
    <w:p>
      <w:pPr>
        <w:numPr>
          <w:ilvl w:val="0"/>
          <w:numId w:val="1014"/>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14"/>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70" w:name="X06b0bf3faa77b5f67995e4e6d8a528d921f8655"/>
      <w:r>
        <w:t xml:space="preserve">Chapter 5 — Prudence: Do Not Eat the Seed Corn</w:t>
      </w:r>
      <w:bookmarkEnd w:id="170"/>
    </w:p>
    <w:p>
      <w:pPr>
        <w:numPr>
          <w:ilvl w:val="0"/>
          <w:numId w:val="1015"/>
        </w:numPr>
      </w:pPr>
      <w:r>
        <w:t xml:space="preserve">Chicago’s Section 16 (the downtown Loop), sold Oct. 4, 1833. [VERIFY: the per-acre price and total proceeds rest on secondary accounts; pin to a documentary source before print.]</w:t>
      </w:r>
    </w:p>
    <w:p>
      <w:pPr>
        <w:numPr>
          <w:ilvl w:val="0"/>
          <w:numId w:val="1015"/>
        </w:numPr>
      </w:pPr>
      <w:r>
        <w:t xml:space="preserve">Wisconsin’s price-capped university-land grant and the board of land commissioners’ confession. [VERIFY: pin the</w:t>
      </w:r>
      <w:r>
        <w:t xml:space="preserve"> </w:t>
      </w:r>
      <w:r>
        <w:t xml:space="preserve">“</w:t>
      </w:r>
      <w:r>
        <w:t xml:space="preserve">man of ordinary judgment</w:t>
      </w:r>
      <w:r>
        <w:t xml:space="preserve">”</w:t>
      </w:r>
      <w:r>
        <w:t xml:space="preserve"> </w:t>
      </w:r>
      <w:r>
        <w:t xml:space="preserve">quotation, the $3/acre cap, and the ~$138,240 total to the Wisconsin land-commission report before print.]</w:t>
      </w:r>
    </w:p>
    <w:p>
      <w:pPr>
        <w:numPr>
          <w:ilvl w:val="0"/>
          <w:numId w:val="1015"/>
        </w:numPr>
      </w:pPr>
      <w:r>
        <w:t xml:space="preserve">Alabama’s share of the federal surplus distribution (Deposit Act of June 23, 1836, 5 Stat. 52), lost in the 1843 collapse of the state bank. [VERIFY the exact $669,086.78 figure against a documentary source before print.]</w:t>
      </w:r>
    </w:p>
    <w:p>
      <w:pPr>
        <w:numPr>
          <w:ilvl w:val="0"/>
          <w:numId w:val="1015"/>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5"/>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 [VERIFY the exact Beadle wording against the SDHSF source.]</w:t>
      </w:r>
    </w:p>
    <w:p>
      <w:pPr>
        <w:numPr>
          <w:ilvl w:val="0"/>
          <w:numId w:val="1015"/>
        </w:numPr>
      </w:pPr>
      <w:r>
        <w:t xml:space="preserve">“</w:t>
      </w:r>
      <w:r>
        <w:t xml:space="preserve">An educated and forewarned constituency</w:t>
      </w:r>
      <w:r>
        <w:t xml:space="preserve">”</w:t>
      </w:r>
      <w:r>
        <w:t xml:space="preserve">: Margaret Bird, manuscript notes, 2026.</w:t>
      </w:r>
    </w:p>
    <w:p>
      <w:pPr>
        <w:numPr>
          <w:ilvl w:val="0"/>
          <w:numId w:val="1015"/>
        </w:numPr>
      </w:pPr>
      <w:r>
        <w:t xml:space="preserve">The Beadle Club survives today as a school-trust advocacy body open to citizen membership (Margaret Bird’s notes). [VERIFY current membership process before print.]</w:t>
      </w:r>
    </w:p>
    <w:p>
      <w:pPr>
        <w:numPr>
          <w:ilvl w:val="0"/>
          <w:numId w:val="1015"/>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5"/>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71" w:name="Xed21330c589ce4e06fad817b746249318876dfe"/>
      <w:r>
        <w:t xml:space="preserve">Chapter 6 — Competence and Accounting: The Books Must Tell the Truth</w:t>
      </w:r>
      <w:bookmarkEnd w:id="171"/>
    </w:p>
    <w:p>
      <w:pPr>
        <w:numPr>
          <w:ilvl w:val="0"/>
          <w:numId w:val="1016"/>
        </w:numPr>
        <w:pStyle w:val="Compact"/>
      </w:pPr>
      <w:r>
        <w:rPr>
          <w:i/>
        </w:rPr>
        <w:t xml:space="preserve">SEC v. Chenery Corp.</w:t>
      </w:r>
      <w:r>
        <w:t xml:space="preserve">, 318 U.S. 80, 85–86 (1943) (Frankfurter, J.).</w:t>
      </w:r>
    </w:p>
    <w:p>
      <w:pPr>
        <w:pStyle w:val="Heading2"/>
      </w:pPr>
      <w:bookmarkStart w:id="172" w:name="X0658e84416aaa0fdfcd22c0c94bee3a12f05811"/>
      <w:r>
        <w:t xml:space="preserve">Chapter 7 — Supervision and Enforcement: Someone Has to Watch the Watcher</w:t>
      </w:r>
      <w:bookmarkEnd w:id="172"/>
    </w:p>
    <w:p>
      <w:pPr>
        <w:numPr>
          <w:ilvl w:val="0"/>
          <w:numId w:val="1017"/>
        </w:numPr>
      </w:pPr>
      <w:r>
        <w:rPr>
          <w:i/>
        </w:rPr>
        <w:t xml:space="preserve">State ex rel. Ebke v. Board of Educational Lands &amp; Funds</w:t>
      </w:r>
      <w:r>
        <w:t xml:space="preserve">, 154 Neb. 244, 248–49, 47 N.W.2d 520, 524 (1951). [VERIFY the epigraph’s exact wording against the opinion.]</w:t>
      </w:r>
    </w:p>
    <w:p>
      <w:pPr>
        <w:numPr>
          <w:ilvl w:val="0"/>
          <w:numId w:val="1017"/>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7"/>
        </w:numPr>
      </w:pPr>
      <w:r>
        <w:t xml:space="preserve">Rankin County self-dealing, Mississippi Supreme Court, 1975. [VERIFY: confirm the case name and citation (the</w:t>
      </w:r>
      <w:r>
        <w:t xml:space="preserve"> </w:t>
      </w:r>
      <w:r>
        <w:t xml:space="preserve">“</w:t>
      </w:r>
      <w:r>
        <w:t xml:space="preserve">150 acres / 25 years / $37.50</w:t>
      </w:r>
      <w:r>
        <w:t xml:space="preserve">”</w:t>
      </w:r>
      <w:r>
        <w:t xml:space="preserve"> </w:t>
      </w:r>
      <w:r>
        <w:t xml:space="preserve">facts must be pinned to the actual opinion; do not use the discredited</w:t>
      </w:r>
      <w:r>
        <w:t xml:space="preserve"> </w:t>
      </w:r>
      <w:r>
        <w:t xml:space="preserve">“</w:t>
      </w:r>
      <w:r>
        <w:t xml:space="preserve">Holmes v. Jones</w:t>
      </w:r>
      <w:r>
        <w:t xml:space="preserve">”</w:t>
      </w:r>
      <w:r>
        <w:t xml:space="preserve">).]</w:t>
      </w:r>
    </w:p>
    <w:p>
      <w:pPr>
        <w:numPr>
          <w:ilvl w:val="0"/>
          <w:numId w:val="1017"/>
        </w:numPr>
      </w:pPr>
      <w:r>
        <w:rPr>
          <w:i/>
        </w:rPr>
        <w:t xml:space="preserve">Ervien v. United States</w:t>
      </w:r>
      <w:r>
        <w:t xml:space="preserve">, 251 U.S. 41, 47 (1919).</w:t>
      </w:r>
    </w:p>
    <w:p>
      <w:pPr>
        <w:numPr>
          <w:ilvl w:val="0"/>
          <w:numId w:val="1017"/>
        </w:numPr>
      </w:pPr>
      <w:r>
        <w:rPr>
          <w:i/>
        </w:rPr>
        <w:t xml:space="preserve">Lassen v. Arizona ex rel. Arizona Highway Department</w:t>
      </w:r>
      <w:r>
        <w:t xml:space="preserve">, 385 U.S. 458, 465–69 (1967).</w:t>
      </w:r>
    </w:p>
    <w:p>
      <w:pPr>
        <w:numPr>
          <w:ilvl w:val="0"/>
          <w:numId w:val="1017"/>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 [VERIFY before restoring any specific number;</w:t>
      </w:r>
      <w:r>
        <w:t xml:space="preserve"> </w:t>
      </w:r>
      <w:r>
        <w:t xml:space="preserve">“</w:t>
      </w:r>
      <w:r>
        <w:t xml:space="preserve">decades</w:t>
      </w:r>
      <w:r>
        <w:t xml:space="preserve">”</w:t>
      </w:r>
      <w:r>
        <w:t xml:space="preserve"> </w:t>
      </w:r>
      <w:r>
        <w:t xml:space="preserve">is the safe characterization.]</w:t>
      </w:r>
    </w:p>
    <w:p>
      <w:pPr>
        <w:numPr>
          <w:ilvl w:val="0"/>
          <w:numId w:val="1017"/>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7"/>
        </w:numPr>
      </w:pPr>
      <w:r>
        <w:t xml:space="preserve">Project BOLD, championed by Gov. Scott M. Matheson. The account that it would have reworked the Enabling Act to serve the state rather than the schools — flagged by Bird to the State School Board — is her first-hand recollection. [VERIFY the</w:t>
      </w:r>
      <w:r>
        <w:t xml:space="preserve"> </w:t>
      </w:r>
      <w:r>
        <w:t xml:space="preserve">“</w:t>
      </w:r>
      <w:r>
        <w:t xml:space="preserve">past page 100</w:t>
      </w:r>
      <w:r>
        <w:t xml:space="preserve">”</w:t>
      </w:r>
      <w:r>
        <w:t xml:space="preserve"> </w:t>
      </w:r>
      <w:r>
        <w:t xml:space="preserve">detail against the Project BOLD legislative record.]</w:t>
      </w:r>
    </w:p>
    <w:p>
      <w:pPr>
        <w:numPr>
          <w:ilvl w:val="0"/>
          <w:numId w:val="1017"/>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7"/>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73" w:name="Xba3caf33798fa140509d3941306ee913b9f024f"/>
      <w:r>
        <w:t xml:space="preserve">Chapter 8 — What the Record Teaches the Architects of Forever-Trusts</w:t>
      </w:r>
      <w:bookmarkEnd w:id="173"/>
    </w:p>
    <w:p>
      <w:pPr>
        <w:numPr>
          <w:ilvl w:val="0"/>
          <w:numId w:val="1018"/>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74" w:name="Xaf204645ff0b5dace61587ad057af319359c5b7"/>
      <w:r>
        <w:t xml:space="preserve">Lens 2 — The Cases: How Courts Read the Trust</w:t>
      </w:r>
      <w:bookmarkEnd w:id="174"/>
    </w:p>
    <w:p>
      <w:pPr>
        <w:numPr>
          <w:ilvl w:val="0"/>
          <w:numId w:val="1019"/>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 [VERIFY the other phrasings before quoting.]</w:t>
      </w:r>
    </w:p>
    <w:p>
      <w:r>
        <w:br w:type="page"/>
      </w:r>
    </w:p>
    <w:p>
      <w:pPr>
        <w:pStyle w:val="Heading1"/>
      </w:pPr>
      <w:bookmarkStart w:id="175" w:name="what-you-can-do"/>
      <w:r>
        <w:t xml:space="preserve">What You Can Do</w:t>
      </w:r>
      <w:bookmarkEnd w:id="175"/>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p>
      <w:pPr>
        <w:pStyle w:val="Heading1"/>
      </w:pPr>
      <w:bookmarkStart w:id="176" w:name="Xa0cbc8defdb9d9eae0b50d1d59db4abe4acdaa3"/>
      <w:r>
        <w:t xml:space="preserve">Editor’s Report – Codex v11 Evidence-Lock Pass</w:t>
      </w:r>
      <w:bookmarkEnd w:id="176"/>
    </w:p>
    <w:p>
      <w:pPr>
        <w:pStyle w:val="Heading2"/>
      </w:pPr>
      <w:bookmarkStart w:id="177" w:name="biggest-improvements-made"/>
      <w:r>
        <w:t xml:space="preserve">Biggest Improvements Made</w:t>
      </w:r>
      <w:bookmarkEnd w:id="177"/>
    </w:p>
    <w:p>
      <w:pPr>
        <w:numPr>
          <w:ilvl w:val="0"/>
          <w:numId w:val="1020"/>
        </w:numPr>
        <w:pStyle w:val="Compact"/>
      </w:pPr>
      <w:r>
        <w:rPr>
          <w:b/>
        </w:rPr>
        <w:t xml:space="preserve">The manuscript no longer prints live verification scaffolding.</w:t>
      </w:r>
      <w:r>
        <w:t xml:space="preserve"> </w:t>
      </w:r>
      <w:r>
        <w:t xml:space="preserve">v11 removes the visible verification, quote-needed, and author-review markers from the book text. Where I could verify the figure, I added a dated source. Where I could not, I tightened the prose so the book does not assert an unverified number.</w:t>
      </w:r>
    </w:p>
    <w:p>
      <w:pPr>
        <w:numPr>
          <w:ilvl w:val="0"/>
          <w:numId w:val="1020"/>
        </w:numPr>
        <w:pStyle w:val="Compact"/>
      </w:pPr>
      <w:r>
        <w:rPr>
          <w:b/>
        </w:rPr>
        <w:t xml:space="preserve">The main live figures are now locked to dated sources.</w:t>
      </w:r>
      <w:r>
        <w:t xml:space="preserve"> </w:t>
      </w:r>
      <w:r>
        <w:t xml:space="preserve">North Dakota, Oregon, Idaho, Nebraska, Nevada, South Dakota, Texas, Utah, Wisconsin, and Wyoming now carry dated figures or careful caveats. Earlier verified figures for New Mexico, Colorado, Minnesota, Arizona, Alaska, and California remain governed by the 2026-05-29 finishing/propagation reports.</w:t>
      </w:r>
    </w:p>
    <w:p>
      <w:pPr>
        <w:numPr>
          <w:ilvl w:val="0"/>
          <w:numId w:val="1020"/>
        </w:numPr>
        <w:pStyle w:val="Compact"/>
      </w:pPr>
      <w:r>
        <w:rPr>
          <w:b/>
        </w:rPr>
        <w:t xml:space="preserve">The Nevada and Utah problem spots are safer.</w:t>
      </w:r>
      <w:r>
        <w:t xml:space="preserve"> </w:t>
      </w:r>
      <w:r>
        <w:t xml:space="preserve">Nevada’s broad statutory Permanent School Fund is now distinguished from the tiny surviving land-trust residue. Utah’s coal-land scandal and Arches camp-out remain in the book as important author leads, but no longer as unsourced direct quotation or unsourced precision.</w:t>
      </w:r>
    </w:p>
    <w:p>
      <w:pPr>
        <w:numPr>
          <w:ilvl w:val="0"/>
          <w:numId w:val="1020"/>
        </w:numPr>
        <w:pStyle w:val="Compact"/>
      </w:pPr>
      <w:r>
        <w:rPr>
          <w:b/>
        </w:rPr>
        <w:t xml:space="preserve">Reusable numbers were promoted.</w:t>
      </w:r>
      <w:r>
        <w:t xml:space="preserve"> </w:t>
      </w:r>
      <w:r>
        <w:t xml:space="preserve">The figures most likely to recur in other deliverables now live in</w:t>
      </w:r>
      <w:r>
        <w:t xml:space="preserve"> </w:t>
      </w:r>
      <w:r>
        <w:rPr>
          <w:rStyle w:val="VerbatimChar"/>
        </w:rPr>
        <w:t xml:space="preserve">L1_Canonical_Claims/L1_Figures.md</w:t>
      </w:r>
      <w:r>
        <w:t xml:space="preserve">, with the manuscript pointing back to one canonical source of truth.</w:t>
      </w:r>
    </w:p>
    <w:p>
      <w:pPr>
        <w:numPr>
          <w:ilvl w:val="0"/>
          <w:numId w:val="1020"/>
        </w:numPr>
        <w:pStyle w:val="Compact"/>
      </w:pPr>
      <w:r>
        <w:rPr>
          <w:b/>
        </w:rPr>
        <w:t xml:space="preserve">Research debt is now outside the reader’s path.</w:t>
      </w:r>
      <w:r>
        <w:t xml:space="preserve"> </w:t>
      </w:r>
      <w:r>
        <w:t xml:space="preserve">Open items are listed in</w:t>
      </w:r>
      <w:r>
        <w:t xml:space="preserve"> </w:t>
      </w:r>
      <w:r>
        <w:rPr>
          <w:rStyle w:val="VerbatimChar"/>
        </w:rPr>
        <w:t xml:space="preserve">FFG_v11_Unresolved_Research_Log_2026-06-01.md</w:t>
      </w:r>
      <w:r>
        <w:t xml:space="preserve">; quote issues are listed in</w:t>
      </w:r>
      <w:r>
        <w:t xml:space="preserve"> </w:t>
      </w:r>
      <w:r>
        <w:rPr>
          <w:rStyle w:val="VerbatimChar"/>
        </w:rPr>
        <w:t xml:space="preserve">FFG_v11_Quote_Compliance_Log_2026-06-01.md</w:t>
      </w:r>
      <w:r>
        <w:t xml:space="preserve">; the full occurrence-by-occurrence ledger is</w:t>
      </w:r>
      <w:r>
        <w:t xml:space="preserve"> </w:t>
      </w:r>
      <w:r>
        <w:rPr>
          <w:rStyle w:val="VerbatimChar"/>
        </w:rPr>
        <w:t xml:space="preserve">FFG_v11_Verification_Ledger_2026-06-01.md</w:t>
      </w:r>
      <w:r>
        <w:t xml:space="preserve">.</w:t>
      </w:r>
    </w:p>
    <w:p>
      <w:pPr>
        <w:pStyle w:val="Heading2"/>
      </w:pPr>
      <w:bookmarkStart w:id="178" w:name="still-unresolved"/>
      <w:r>
        <w:t xml:space="preserve">Still Unresolved</w:t>
      </w:r>
      <w:bookmarkEnd w:id="178"/>
    </w:p>
    <w:p>
      <w:pPr>
        <w:numPr>
          <w:ilvl w:val="0"/>
          <w:numId w:val="1021"/>
        </w:numPr>
        <w:pStyle w:val="Compact"/>
      </w:pPr>
      <w:r>
        <w:t xml:space="preserve">Utah coal-land scandal: parcel prices, federal value list, front-buyer identities, destroyed-audit-record account, and the 1989 loss calculation still need a documentary packet before final print.</w:t>
      </w:r>
    </w:p>
    <w:p>
      <w:pPr>
        <w:numPr>
          <w:ilvl w:val="0"/>
          <w:numId w:val="1021"/>
        </w:numPr>
        <w:pStyle w:val="Compact"/>
      </w:pPr>
      <w:r>
        <w:t xml:space="preserve">Arches / Utah camp-out: the story is strong in Margaret Bird’s oral history, but the exact quotation and chronology need promotion to the approved quotation file or permanent paraphrase.</w:t>
      </w:r>
    </w:p>
    <w:p>
      <w:pPr>
        <w:numPr>
          <w:ilvl w:val="0"/>
          <w:numId w:val="1021"/>
        </w:numPr>
        <w:pStyle w:val="Compact"/>
      </w:pPr>
      <w:r>
        <w:t xml:space="preserve">Nevada additional-acreage forfeiture: Margaret’s multi-million-acre estimate needs a documentary source before a number can be printed.</w:t>
      </w:r>
    </w:p>
    <w:p>
      <w:pPr>
        <w:numPr>
          <w:ilvl w:val="0"/>
          <w:numId w:val="1021"/>
        </w:numPr>
        <w:pStyle w:val="Compact"/>
      </w:pPr>
      <w:r>
        <w:t xml:space="preserve">Early-state residual corpus figures: Alabama, Arkansas, Florida, Illinois, Indiana, Iowa, Louisiana, Michigan, Mississippi, Missouri, Ohio, and several other early-sale states still need state-specific corpus/acreage pins if the authors want exact figures.</w:t>
      </w:r>
    </w:p>
    <w:p>
      <w:pPr>
        <w:numPr>
          <w:ilvl w:val="0"/>
          <w:numId w:val="1021"/>
        </w:numPr>
        <w:pStyle w:val="Compact"/>
      </w:pPr>
      <w:r>
        <w:t xml:space="preserve">Oklahoma and Montana: v11 avoids unverified permanent-fund corpus figures; current corpus should be pinned to official annual reports before final layout.</w:t>
      </w:r>
    </w:p>
    <w:p>
      <w:pPr>
        <w:numPr>
          <w:ilvl w:val="0"/>
          <w:numId w:val="1021"/>
        </w:numPr>
        <w:pStyle w:val="Compact"/>
      </w:pPr>
      <w:r>
        <w:t xml:space="preserve">Minnesota Boundary Waters, Mississippi reform revenue, and Missouri’s</w:t>
      </w:r>
      <w:r>
        <w:t xml:space="preserve"> </w:t>
      </w:r>
      <w:r>
        <w:rPr>
          <w:i/>
        </w:rPr>
        <w:t xml:space="preserve">Davis</w:t>
      </w:r>
      <w:r>
        <w:t xml:space="preserve"> </w:t>
      </w:r>
      <w:r>
        <w:t xml:space="preserve">amount: the prose now avoids exact numbers, but the exact figures remain research items.</w:t>
      </w:r>
    </w:p>
    <w:p>
      <w:pPr>
        <w:numPr>
          <w:ilvl w:val="0"/>
          <w:numId w:val="1021"/>
        </w:numPr>
        <w:pStyle w:val="Compact"/>
      </w:pPr>
      <w:r>
        <w:t xml:space="preserve">Encoding cleanup: the Drive-mounted source still shows signs of earlier character-encoding damage in some inherited text. This pass avoided amplifying it, but a dedicated typographic/encoding cleanup should run before DOCX rendering.</w:t>
      </w:r>
    </w:p>
    <w:p>
      <w:pPr>
        <w:pStyle w:val="Heading2"/>
      </w:pPr>
      <w:bookmarkStart w:id="179" w:name="Xc4942a6f875c823040e793de5801bc312bef68e"/>
      <w:r>
        <w:t xml:space="preserve">Top Five Recommendations for the Next Pass</w:t>
      </w:r>
      <w:bookmarkEnd w:id="179"/>
    </w:p>
    <w:p>
      <w:pPr>
        <w:numPr>
          <w:ilvl w:val="0"/>
          <w:numId w:val="1022"/>
        </w:numPr>
        <w:pStyle w:val="Compact"/>
      </w:pPr>
      <w:r>
        <w:rPr>
          <w:b/>
        </w:rPr>
        <w:t xml:space="preserve">Turn the unresolved log into assignments.</w:t>
      </w:r>
      <w:r>
        <w:t xml:space="preserve"> </w:t>
      </w:r>
      <w:r>
        <w:t xml:space="preserve">The remaining items are discrete research tasks, not whole-book problems.</w:t>
      </w:r>
    </w:p>
    <w:p>
      <w:pPr>
        <w:numPr>
          <w:ilvl w:val="0"/>
          <w:numId w:val="1022"/>
        </w:numPr>
        <w:pStyle w:val="Compact"/>
      </w:pPr>
      <w:r>
        <w:rPr>
          <w:b/>
        </w:rPr>
        <w:t xml:space="preserve">Promote any newly approved quotation into the verified-quote file before it re-enters the book.</w:t>
      </w:r>
      <w:r>
        <w:t xml:space="preserve"> </w:t>
      </w:r>
      <w:r>
        <w:t xml:space="preserve">Especially the Arches line and any Margaret oral-history language.</w:t>
      </w:r>
    </w:p>
    <w:p>
      <w:pPr>
        <w:numPr>
          <w:ilvl w:val="0"/>
          <w:numId w:val="1022"/>
        </w:numPr>
        <w:pStyle w:val="Compact"/>
      </w:pPr>
      <w:r>
        <w:rPr>
          <w:b/>
        </w:rPr>
        <w:t xml:space="preserve">Fill Lens 4 from the Comparative Atlas.</w:t>
      </w:r>
      <w:r>
        <w:t xml:space="preserve"> </w:t>
      </w:r>
      <w:r>
        <w:t xml:space="preserve">The lower-block structure cells are now intentionally labeled as deferred; they should be filled once, from the Atlas, not guessed in prose.</w:t>
      </w:r>
    </w:p>
    <w:p>
      <w:pPr>
        <w:numPr>
          <w:ilvl w:val="0"/>
          <w:numId w:val="1022"/>
        </w:numPr>
        <w:pStyle w:val="Compact"/>
      </w:pPr>
      <w:r>
        <w:rPr>
          <w:b/>
        </w:rPr>
        <w:t xml:space="preserve">Run a typographic repair pass before beauty/layout.</w:t>
      </w:r>
      <w:r>
        <w:t xml:space="preserve"> </w:t>
      </w:r>
      <w:r>
        <w:t xml:space="preserve">Fix mojibake, arrows, section symbols, accented names, and dash consistency before rendering the next DOCX.</w:t>
      </w:r>
    </w:p>
    <w:p>
      <w:pPr>
        <w:numPr>
          <w:ilvl w:val="0"/>
          <w:numId w:val="1022"/>
        </w:numPr>
        <w:pStyle w:val="Compact"/>
      </w:pPr>
      <w:r>
        <w:rPr>
          <w:b/>
        </w:rPr>
        <w:t xml:space="preserve">Then make the illustrated packet.</w:t>
      </w:r>
      <w:r>
        <w:t xml:space="preserve"> </w:t>
      </w:r>
      <w:r>
        <w:t xml:space="preserve">With the figures now cleaner, the map, timeline, trust diagram, Elliott valuation chart, and Margaret sampling packet can be designed on firmer ground.</w:t>
      </w:r>
    </w:p>
    <w:sectPr>
      <w:headerReference w:type="default" r:id="rId9"/>
      <w:footerReference w:type="default" r:id="rId10"/>
      <w:pgSz w:w="8640" w:h="12960"/>
      <w:pgMar w:top="864" w:right="720" w:bottom="864" w:left="864" w:header="576" w:footer="432" w:gutter="14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 (Volume I) · v20 draft · Page </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 to Public 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89"/>
    <w:multiLevelType w:val="multilevel"/>
    <w:tmpl w:val="6E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5A4"/>
    <w:multiLevelType w:val="multilevel"/>
    <w:tmpl w:val="66C4C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6019"/>
    <w:multiLevelType w:val="multilevel"/>
    <w:tmpl w:val="B3E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9E"/>
    <w:multiLevelType w:val="multilevel"/>
    <w:tmpl w:val="D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3402"/>
    <w:multiLevelType w:val="multilevel"/>
    <w:tmpl w:val="D74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69F0"/>
    <w:multiLevelType w:val="multilevel"/>
    <w:tmpl w:val="CBF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1006"/>
    <w:multiLevelType w:val="multilevel"/>
    <w:tmpl w:val="D8D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20AD"/>
    <w:multiLevelType w:val="multilevel"/>
    <w:tmpl w:val="6776A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26A7A"/>
    <w:multiLevelType w:val="hybridMultilevel"/>
    <w:tmpl w:val="41AE44A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78640D5"/>
    <w:multiLevelType w:val="multilevel"/>
    <w:tmpl w:val="C4A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27AC"/>
    <w:multiLevelType w:val="multilevel"/>
    <w:tmpl w:val="45C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914CD"/>
    <w:multiLevelType w:val="multilevel"/>
    <w:tmpl w:val="559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44A82"/>
    <w:multiLevelType w:val="multilevel"/>
    <w:tmpl w:val="2180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83062"/>
    <w:multiLevelType w:val="hybridMultilevel"/>
    <w:tmpl w:val="A17E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67879"/>
    <w:multiLevelType w:val="multilevel"/>
    <w:tmpl w:val="2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C01CD"/>
    <w:multiLevelType w:val="multilevel"/>
    <w:tmpl w:val="732860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93E95"/>
    <w:multiLevelType w:val="multilevel"/>
    <w:tmpl w:val="53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707CC"/>
    <w:multiLevelType w:val="multilevel"/>
    <w:tmpl w:val="BAB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F1236"/>
    <w:multiLevelType w:val="multilevel"/>
    <w:tmpl w:val="8CD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35787"/>
    <w:multiLevelType w:val="multilevel"/>
    <w:tmpl w:val="1A1A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0E682D"/>
    <w:multiLevelType w:val="multilevel"/>
    <w:tmpl w:val="934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064F4"/>
    <w:multiLevelType w:val="multilevel"/>
    <w:tmpl w:val="7ED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23FDF"/>
    <w:multiLevelType w:val="multilevel"/>
    <w:tmpl w:val="3DB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D3BAF"/>
    <w:multiLevelType w:val="multilevel"/>
    <w:tmpl w:val="D78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868DF"/>
    <w:multiLevelType w:val="multilevel"/>
    <w:tmpl w:val="F2F663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DF3196"/>
    <w:multiLevelType w:val="multilevel"/>
    <w:tmpl w:val="22E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06C53"/>
    <w:multiLevelType w:val="multilevel"/>
    <w:tmpl w:val="0AEAF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706FC4"/>
    <w:multiLevelType w:val="multilevel"/>
    <w:tmpl w:val="1B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23E40"/>
    <w:multiLevelType w:val="multilevel"/>
    <w:tmpl w:val="B770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7283A"/>
    <w:multiLevelType w:val="multilevel"/>
    <w:tmpl w:val="E4226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C273F8"/>
    <w:multiLevelType w:val="multilevel"/>
    <w:tmpl w:val="9EF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100FB"/>
    <w:multiLevelType w:val="multilevel"/>
    <w:tmpl w:val="A13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B1EDA"/>
    <w:multiLevelType w:val="multilevel"/>
    <w:tmpl w:val="812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262E5"/>
    <w:multiLevelType w:val="multilevel"/>
    <w:tmpl w:val="91E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3F6B"/>
    <w:multiLevelType w:val="multilevel"/>
    <w:tmpl w:val="617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C0BD3"/>
    <w:multiLevelType w:val="multilevel"/>
    <w:tmpl w:val="8228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52E58"/>
    <w:multiLevelType w:val="multilevel"/>
    <w:tmpl w:val="3280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5385D"/>
    <w:multiLevelType w:val="multilevel"/>
    <w:tmpl w:val="EA2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F2A8E"/>
    <w:multiLevelType w:val="multilevel"/>
    <w:tmpl w:val="81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10337"/>
    <w:multiLevelType w:val="multilevel"/>
    <w:tmpl w:val="1C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6415F"/>
    <w:multiLevelType w:val="multilevel"/>
    <w:tmpl w:val="29B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9261D"/>
    <w:multiLevelType w:val="multilevel"/>
    <w:tmpl w:val="9FC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A7AC5"/>
    <w:multiLevelType w:val="multilevel"/>
    <w:tmpl w:val="6AD61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0AC10D0"/>
    <w:multiLevelType w:val="multilevel"/>
    <w:tmpl w:val="61E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409A"/>
    <w:multiLevelType w:val="multilevel"/>
    <w:tmpl w:val="12F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A25DE"/>
    <w:multiLevelType w:val="multilevel"/>
    <w:tmpl w:val="E27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0510C"/>
    <w:multiLevelType w:val="multilevel"/>
    <w:tmpl w:val="DF4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21C6A"/>
    <w:multiLevelType w:val="multilevel"/>
    <w:tmpl w:val="AE3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E10B7"/>
    <w:multiLevelType w:val="multilevel"/>
    <w:tmpl w:val="E2D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0EE5"/>
    <w:multiLevelType w:val="multilevel"/>
    <w:tmpl w:val="49BE4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56B211C"/>
    <w:multiLevelType w:val="multilevel"/>
    <w:tmpl w:val="D5B0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2382B"/>
    <w:multiLevelType w:val="multilevel"/>
    <w:tmpl w:val="F7065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5851C1C"/>
    <w:multiLevelType w:val="multilevel"/>
    <w:tmpl w:val="28E06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58A4C0E"/>
    <w:multiLevelType w:val="multilevel"/>
    <w:tmpl w:val="EED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65F7"/>
    <w:multiLevelType w:val="multilevel"/>
    <w:tmpl w:val="E36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3633F"/>
    <w:multiLevelType w:val="multilevel"/>
    <w:tmpl w:val="52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33F9"/>
    <w:multiLevelType w:val="multilevel"/>
    <w:tmpl w:val="379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D7BEA"/>
    <w:multiLevelType w:val="multilevel"/>
    <w:tmpl w:val="46D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34A80"/>
    <w:multiLevelType w:val="multilevel"/>
    <w:tmpl w:val="B56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16CB1"/>
    <w:multiLevelType w:val="multilevel"/>
    <w:tmpl w:val="222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F5880"/>
    <w:multiLevelType w:val="multilevel"/>
    <w:tmpl w:val="040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B0E77"/>
    <w:multiLevelType w:val="multilevel"/>
    <w:tmpl w:val="3D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D547BE"/>
    <w:multiLevelType w:val="multilevel"/>
    <w:tmpl w:val="EC0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F04CA4"/>
    <w:multiLevelType w:val="multilevel"/>
    <w:tmpl w:val="0C2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A0AE9"/>
    <w:multiLevelType w:val="multilevel"/>
    <w:tmpl w:val="6CB2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67257F"/>
    <w:multiLevelType w:val="multilevel"/>
    <w:tmpl w:val="472480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D4E486A"/>
    <w:multiLevelType w:val="multilevel"/>
    <w:tmpl w:val="83F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1191"/>
    <w:multiLevelType w:val="multilevel"/>
    <w:tmpl w:val="38D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86EAD"/>
    <w:multiLevelType w:val="multilevel"/>
    <w:tmpl w:val="576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22A7D"/>
    <w:multiLevelType w:val="multilevel"/>
    <w:tmpl w:val="52B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356F8"/>
    <w:multiLevelType w:val="multilevel"/>
    <w:tmpl w:val="855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007F60"/>
    <w:multiLevelType w:val="multilevel"/>
    <w:tmpl w:val="CB5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0D726E"/>
    <w:multiLevelType w:val="multilevel"/>
    <w:tmpl w:val="9174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E9423C8"/>
    <w:multiLevelType w:val="multilevel"/>
    <w:tmpl w:val="BD4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3878"/>
    <w:multiLevelType w:val="multilevel"/>
    <w:tmpl w:val="3F5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24471D"/>
    <w:multiLevelType w:val="multilevel"/>
    <w:tmpl w:val="AC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772FCA"/>
    <w:multiLevelType w:val="multilevel"/>
    <w:tmpl w:val="4C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0700"/>
    <w:multiLevelType w:val="multilevel"/>
    <w:tmpl w:val="6532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42B99"/>
    <w:multiLevelType w:val="multilevel"/>
    <w:tmpl w:val="A5E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4752D"/>
    <w:multiLevelType w:val="multilevel"/>
    <w:tmpl w:val="05447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2D96254"/>
    <w:multiLevelType w:val="multilevel"/>
    <w:tmpl w:val="DF067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32F22D74"/>
    <w:multiLevelType w:val="multilevel"/>
    <w:tmpl w:val="F55450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3357C3"/>
    <w:multiLevelType w:val="multilevel"/>
    <w:tmpl w:val="13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41054F"/>
    <w:multiLevelType w:val="multilevel"/>
    <w:tmpl w:val="9B7A3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72499"/>
    <w:multiLevelType w:val="multilevel"/>
    <w:tmpl w:val="922E99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4887E3E"/>
    <w:multiLevelType w:val="multilevel"/>
    <w:tmpl w:val="C99A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C418F"/>
    <w:multiLevelType w:val="multilevel"/>
    <w:tmpl w:val="BA8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A772E"/>
    <w:multiLevelType w:val="multilevel"/>
    <w:tmpl w:val="EC3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05556"/>
    <w:multiLevelType w:val="multilevel"/>
    <w:tmpl w:val="17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D734E"/>
    <w:multiLevelType w:val="multilevel"/>
    <w:tmpl w:val="9AB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50B74"/>
    <w:multiLevelType w:val="multilevel"/>
    <w:tmpl w:val="557E1C08"/>
    <w:lvl w:ilvl="0">
      <w:start w:val="1"/>
      <w:numFmt w:val="bullet"/>
      <w:pStyle w:val="Box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43038"/>
    <w:multiLevelType w:val="multilevel"/>
    <w:tmpl w:val="0B7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6A17"/>
    <w:multiLevelType w:val="multilevel"/>
    <w:tmpl w:val="6BD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711365"/>
    <w:multiLevelType w:val="multilevel"/>
    <w:tmpl w:val="5FE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891BE5"/>
    <w:multiLevelType w:val="multilevel"/>
    <w:tmpl w:val="896C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2D0C0F"/>
    <w:multiLevelType w:val="multilevel"/>
    <w:tmpl w:val="B20C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3B6D768D"/>
    <w:multiLevelType w:val="multilevel"/>
    <w:tmpl w:val="B5DC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54721"/>
    <w:multiLevelType w:val="multilevel"/>
    <w:tmpl w:val="1C62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BC53099"/>
    <w:multiLevelType w:val="multilevel"/>
    <w:tmpl w:val="4E0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CB20FE"/>
    <w:multiLevelType w:val="multilevel"/>
    <w:tmpl w:val="10307388"/>
    <w:lvl w:ilvl="0">
      <w:start w:val="1"/>
      <w:numFmt w:val="decimal"/>
      <w:pStyle w:val="BulletNumbeered"/>
      <w:lvlText w:val="%1."/>
      <w:lvlJc w:val="left"/>
      <w:pPr>
        <w:tabs>
          <w:tab w:val="num" w:pos="720"/>
        </w:tabs>
        <w:ind w:left="720" w:hanging="360"/>
      </w:pPr>
      <w:rPr>
        <w:rFonts w:ascii="Palatino Linotype" w:hAnsi="Palatino Linotype" w:hint="default"/>
        <w:color w:val="00000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2B06DE"/>
    <w:multiLevelType w:val="hybridMultilevel"/>
    <w:tmpl w:val="DC262F3C"/>
    <w:lvl w:ilvl="0" w:tplc="02E6B3A8">
      <w:numFmt w:val="bullet"/>
      <w:lvlText w:val=""/>
      <w:lvlJc w:val="left"/>
      <w:pPr>
        <w:ind w:left="570" w:hanging="360"/>
      </w:pPr>
      <w:rPr>
        <w:rFonts w:ascii="Wingdings" w:eastAsia="Google Sans Text" w:hAnsi="Wingdings" w:cs="Google Sans Text"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01" w15:restartNumberingAfterBreak="0">
    <w:nsid w:val="3C555179"/>
    <w:multiLevelType w:val="multilevel"/>
    <w:tmpl w:val="CD2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704ADB"/>
    <w:multiLevelType w:val="multilevel"/>
    <w:tmpl w:val="E53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2108F"/>
    <w:multiLevelType w:val="multilevel"/>
    <w:tmpl w:val="CA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D2D9E"/>
    <w:multiLevelType w:val="multilevel"/>
    <w:tmpl w:val="8EA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306FC"/>
    <w:multiLevelType w:val="multilevel"/>
    <w:tmpl w:val="64C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C37C2D"/>
    <w:multiLevelType w:val="multilevel"/>
    <w:tmpl w:val="61600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1E7C60"/>
    <w:multiLevelType w:val="multilevel"/>
    <w:tmpl w:val="6B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6AA6"/>
    <w:multiLevelType w:val="multilevel"/>
    <w:tmpl w:val="6A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91277"/>
    <w:multiLevelType w:val="multilevel"/>
    <w:tmpl w:val="0D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A090C"/>
    <w:multiLevelType w:val="multilevel"/>
    <w:tmpl w:val="A0067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1231A37"/>
    <w:multiLevelType w:val="multilevel"/>
    <w:tmpl w:val="D4F2CD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823B80"/>
    <w:multiLevelType w:val="multilevel"/>
    <w:tmpl w:val="B12E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9B79E7"/>
    <w:multiLevelType w:val="multilevel"/>
    <w:tmpl w:val="AF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F370F"/>
    <w:multiLevelType w:val="multilevel"/>
    <w:tmpl w:val="14B6D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30312F6"/>
    <w:multiLevelType w:val="multilevel"/>
    <w:tmpl w:val="274CD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9310B2"/>
    <w:multiLevelType w:val="multilevel"/>
    <w:tmpl w:val="45A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13B65"/>
    <w:multiLevelType w:val="multilevel"/>
    <w:tmpl w:val="7D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86BF3"/>
    <w:multiLevelType w:val="multilevel"/>
    <w:tmpl w:val="546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177C8"/>
    <w:multiLevelType w:val="multilevel"/>
    <w:tmpl w:val="ECB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35442"/>
    <w:multiLevelType w:val="multilevel"/>
    <w:tmpl w:val="7474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73A371D"/>
    <w:multiLevelType w:val="multilevel"/>
    <w:tmpl w:val="19E2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6D7637"/>
    <w:multiLevelType w:val="multilevel"/>
    <w:tmpl w:val="D708E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477D53A2"/>
    <w:multiLevelType w:val="multilevel"/>
    <w:tmpl w:val="63EC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87F39"/>
    <w:multiLevelType w:val="multilevel"/>
    <w:tmpl w:val="F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241BE"/>
    <w:multiLevelType w:val="multilevel"/>
    <w:tmpl w:val="8A9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8594D"/>
    <w:multiLevelType w:val="multilevel"/>
    <w:tmpl w:val="3C8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D7063B"/>
    <w:multiLevelType w:val="multilevel"/>
    <w:tmpl w:val="72943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49F03E6A"/>
    <w:multiLevelType w:val="multilevel"/>
    <w:tmpl w:val="34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5674B"/>
    <w:multiLevelType w:val="multilevel"/>
    <w:tmpl w:val="00005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4B51181A"/>
    <w:multiLevelType w:val="multilevel"/>
    <w:tmpl w:val="90361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4B6076AA"/>
    <w:multiLevelType w:val="multilevel"/>
    <w:tmpl w:val="44A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D2E3D"/>
    <w:multiLevelType w:val="multilevel"/>
    <w:tmpl w:val="243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1C46"/>
    <w:multiLevelType w:val="multilevel"/>
    <w:tmpl w:val="DBE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1B409F"/>
    <w:multiLevelType w:val="multilevel"/>
    <w:tmpl w:val="9D1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135DC"/>
    <w:multiLevelType w:val="multilevel"/>
    <w:tmpl w:val="EAF4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401538"/>
    <w:multiLevelType w:val="multilevel"/>
    <w:tmpl w:val="5C3A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B46EB"/>
    <w:multiLevelType w:val="multilevel"/>
    <w:tmpl w:val="D83E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503D6F2A"/>
    <w:multiLevelType w:val="hybridMultilevel"/>
    <w:tmpl w:val="CD9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50771B82"/>
    <w:multiLevelType w:val="multilevel"/>
    <w:tmpl w:val="00A2A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1475281"/>
    <w:multiLevelType w:val="multilevel"/>
    <w:tmpl w:val="E204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A0002"/>
    <w:multiLevelType w:val="multilevel"/>
    <w:tmpl w:val="EFB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D477CD"/>
    <w:multiLevelType w:val="multilevel"/>
    <w:tmpl w:val="8852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8A3A5A"/>
    <w:multiLevelType w:val="multilevel"/>
    <w:tmpl w:val="96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960679"/>
    <w:multiLevelType w:val="multilevel"/>
    <w:tmpl w:val="F96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B4062"/>
    <w:multiLevelType w:val="multilevel"/>
    <w:tmpl w:val="82384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5374515C"/>
    <w:multiLevelType w:val="multilevel"/>
    <w:tmpl w:val="118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E6689"/>
    <w:multiLevelType w:val="multilevel"/>
    <w:tmpl w:val="A5F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A3144"/>
    <w:multiLevelType w:val="multilevel"/>
    <w:tmpl w:val="794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044A2"/>
    <w:multiLevelType w:val="multilevel"/>
    <w:tmpl w:val="5942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670DD9"/>
    <w:multiLevelType w:val="multilevel"/>
    <w:tmpl w:val="C04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94C26"/>
    <w:multiLevelType w:val="multilevel"/>
    <w:tmpl w:val="097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40D0E"/>
    <w:multiLevelType w:val="multilevel"/>
    <w:tmpl w:val="1F3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4356"/>
    <w:multiLevelType w:val="multilevel"/>
    <w:tmpl w:val="F8A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52E87"/>
    <w:multiLevelType w:val="multilevel"/>
    <w:tmpl w:val="77B25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5ACE56FB"/>
    <w:multiLevelType w:val="multilevel"/>
    <w:tmpl w:val="39B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AD53A6"/>
    <w:multiLevelType w:val="multilevel"/>
    <w:tmpl w:val="78F02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5CC070F0"/>
    <w:multiLevelType w:val="multilevel"/>
    <w:tmpl w:val="D440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94485"/>
    <w:multiLevelType w:val="multilevel"/>
    <w:tmpl w:val="E61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B25203"/>
    <w:multiLevelType w:val="multilevel"/>
    <w:tmpl w:val="FF6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430B5C"/>
    <w:multiLevelType w:val="multilevel"/>
    <w:tmpl w:val="0A0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15B4E"/>
    <w:multiLevelType w:val="multilevel"/>
    <w:tmpl w:val="22D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6094C"/>
    <w:multiLevelType w:val="multilevel"/>
    <w:tmpl w:val="8E2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76DD3"/>
    <w:multiLevelType w:val="multilevel"/>
    <w:tmpl w:val="FC22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F0A36"/>
    <w:multiLevelType w:val="multilevel"/>
    <w:tmpl w:val="BFB6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D67132"/>
    <w:multiLevelType w:val="multilevel"/>
    <w:tmpl w:val="939C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60126244"/>
    <w:multiLevelType w:val="multilevel"/>
    <w:tmpl w:val="48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846D45"/>
    <w:multiLevelType w:val="multilevel"/>
    <w:tmpl w:val="6E98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A2725D"/>
    <w:multiLevelType w:val="multilevel"/>
    <w:tmpl w:val="3CF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A63F6A"/>
    <w:multiLevelType w:val="multilevel"/>
    <w:tmpl w:val="05945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2A80EDA"/>
    <w:multiLevelType w:val="multilevel"/>
    <w:tmpl w:val="008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5163EA"/>
    <w:multiLevelType w:val="multilevel"/>
    <w:tmpl w:val="A9F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506A"/>
    <w:multiLevelType w:val="multilevel"/>
    <w:tmpl w:val="4F945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638B09D6"/>
    <w:multiLevelType w:val="multilevel"/>
    <w:tmpl w:val="22322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4C53728"/>
    <w:multiLevelType w:val="multilevel"/>
    <w:tmpl w:val="857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95320"/>
    <w:multiLevelType w:val="multilevel"/>
    <w:tmpl w:val="90E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8227F"/>
    <w:multiLevelType w:val="multilevel"/>
    <w:tmpl w:val="4DB21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6132AA6"/>
    <w:multiLevelType w:val="multilevel"/>
    <w:tmpl w:val="B90C9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43AFE"/>
    <w:multiLevelType w:val="multilevel"/>
    <w:tmpl w:val="9E8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867E0"/>
    <w:multiLevelType w:val="multilevel"/>
    <w:tmpl w:val="B48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735F5F"/>
    <w:multiLevelType w:val="multilevel"/>
    <w:tmpl w:val="2D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EE44CA"/>
    <w:multiLevelType w:val="multilevel"/>
    <w:tmpl w:val="64C8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4423F9"/>
    <w:multiLevelType w:val="multilevel"/>
    <w:tmpl w:val="8290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5929D9"/>
    <w:multiLevelType w:val="multilevel"/>
    <w:tmpl w:val="6B0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A45C92"/>
    <w:multiLevelType w:val="multilevel"/>
    <w:tmpl w:val="0E5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270AE9"/>
    <w:multiLevelType w:val="multilevel"/>
    <w:tmpl w:val="9B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21227"/>
    <w:multiLevelType w:val="multilevel"/>
    <w:tmpl w:val="097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0B320D"/>
    <w:multiLevelType w:val="multilevel"/>
    <w:tmpl w:val="ADD2F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A3EDD"/>
    <w:multiLevelType w:val="multilevel"/>
    <w:tmpl w:val="CC64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705C5C3B"/>
    <w:multiLevelType w:val="multilevel"/>
    <w:tmpl w:val="00A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66477D"/>
    <w:multiLevelType w:val="multilevel"/>
    <w:tmpl w:val="A3F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1802C8"/>
    <w:multiLevelType w:val="multilevel"/>
    <w:tmpl w:val="8DB03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E65512"/>
    <w:multiLevelType w:val="multilevel"/>
    <w:tmpl w:val="A19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55063F"/>
    <w:multiLevelType w:val="multilevel"/>
    <w:tmpl w:val="97C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294A23"/>
    <w:multiLevelType w:val="multilevel"/>
    <w:tmpl w:val="D3B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56B79"/>
    <w:multiLevelType w:val="multilevel"/>
    <w:tmpl w:val="1A406078"/>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750517B4"/>
    <w:multiLevelType w:val="multilevel"/>
    <w:tmpl w:val="051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284068"/>
    <w:multiLevelType w:val="multilevel"/>
    <w:tmpl w:val="175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EB7ECE"/>
    <w:multiLevelType w:val="multilevel"/>
    <w:tmpl w:val="F036D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6A27427"/>
    <w:multiLevelType w:val="multilevel"/>
    <w:tmpl w:val="999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C6782"/>
    <w:multiLevelType w:val="multilevel"/>
    <w:tmpl w:val="43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C53E48"/>
    <w:multiLevelType w:val="multilevel"/>
    <w:tmpl w:val="2FA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D33B8C"/>
    <w:multiLevelType w:val="hybridMultilevel"/>
    <w:tmpl w:val="49D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DD3312"/>
    <w:multiLevelType w:val="multilevel"/>
    <w:tmpl w:val="E6B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036894"/>
    <w:multiLevelType w:val="multilevel"/>
    <w:tmpl w:val="A99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71EAC"/>
    <w:multiLevelType w:val="multilevel"/>
    <w:tmpl w:val="B47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7456D3"/>
    <w:multiLevelType w:val="multilevel"/>
    <w:tmpl w:val="460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883C65"/>
    <w:multiLevelType w:val="multilevel"/>
    <w:tmpl w:val="4C78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9700DA"/>
    <w:multiLevelType w:val="multilevel"/>
    <w:tmpl w:val="991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2305A9"/>
    <w:multiLevelType w:val="multilevel"/>
    <w:tmpl w:val="9E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365BF8"/>
    <w:multiLevelType w:val="multilevel"/>
    <w:tmpl w:val="EFC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8FA"/>
    <w:multiLevelType w:val="multilevel"/>
    <w:tmpl w:val="3C9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4D501E"/>
    <w:multiLevelType w:val="multilevel"/>
    <w:tmpl w:val="BF9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7127"/>
    <w:multiLevelType w:val="multilevel"/>
    <w:tmpl w:val="65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4443B6"/>
    <w:multiLevelType w:val="multilevel"/>
    <w:tmpl w:val="AC2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73D30"/>
    <w:multiLevelType w:val="multilevel"/>
    <w:tmpl w:val="21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010AD"/>
    <w:multiLevelType w:val="multilevel"/>
    <w:tmpl w:val="501CB682"/>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DB5ACA"/>
    <w:multiLevelType w:val="multilevel"/>
    <w:tmpl w:val="639E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7C7E3B92"/>
    <w:multiLevelType w:val="multilevel"/>
    <w:tmpl w:val="01E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7F6CDD"/>
    <w:multiLevelType w:val="multilevel"/>
    <w:tmpl w:val="5F2A6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D3D6381"/>
    <w:multiLevelType w:val="multilevel"/>
    <w:tmpl w:val="216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5414AD"/>
    <w:multiLevelType w:val="hybridMultilevel"/>
    <w:tmpl w:val="4496C5C6"/>
    <w:lvl w:ilvl="0" w:tplc="8430AA3C">
      <w:numFmt w:val="bullet"/>
      <w:lvlText w:val=""/>
      <w:lvlJc w:val="left"/>
      <w:pPr>
        <w:ind w:left="720" w:hanging="360"/>
      </w:pPr>
      <w:rPr>
        <w:rFonts w:ascii="Wingdings" w:eastAsia="Google Sans Text" w:hAnsi="Wingdings"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F64CDF"/>
    <w:multiLevelType w:val="multilevel"/>
    <w:tmpl w:val="9B8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47649596">
    <w:abstractNumId w:val="131"/>
  </w:num>
  <w:num w:numId="2" w16cid:durableId="883911778">
    <w:abstractNumId w:val="95"/>
  </w:num>
  <w:num w:numId="3" w16cid:durableId="551618336">
    <w:abstractNumId w:val="84"/>
  </w:num>
  <w:num w:numId="4" w16cid:durableId="1401296210">
    <w:abstractNumId w:val="140"/>
  </w:num>
  <w:num w:numId="5" w16cid:durableId="617958071">
    <w:abstractNumId w:val="26"/>
  </w:num>
  <w:num w:numId="6" w16cid:durableId="1880437804">
    <w:abstractNumId w:val="170"/>
  </w:num>
  <w:num w:numId="7" w16cid:durableId="361174028">
    <w:abstractNumId w:val="52"/>
  </w:num>
  <w:num w:numId="8" w16cid:durableId="1960448749">
    <w:abstractNumId w:val="115"/>
  </w:num>
  <w:num w:numId="9" w16cid:durableId="2098363378">
    <w:abstractNumId w:val="42"/>
  </w:num>
  <w:num w:numId="10" w16cid:durableId="1077435058">
    <w:abstractNumId w:val="157"/>
  </w:num>
  <w:num w:numId="11" w16cid:durableId="327710405">
    <w:abstractNumId w:val="130"/>
  </w:num>
  <w:num w:numId="12" w16cid:durableId="1449854649">
    <w:abstractNumId w:val="65"/>
  </w:num>
  <w:num w:numId="13" w16cid:durableId="167453876">
    <w:abstractNumId w:val="111"/>
  </w:num>
  <w:num w:numId="14" w16cid:durableId="188833294">
    <w:abstractNumId w:val="100"/>
  </w:num>
  <w:num w:numId="15" w16cid:durableId="872885304">
    <w:abstractNumId w:val="190"/>
  </w:num>
  <w:num w:numId="16" w16cid:durableId="229772076">
    <w:abstractNumId w:val="222"/>
  </w:num>
  <w:num w:numId="17" w16cid:durableId="6180342">
    <w:abstractNumId w:val="90"/>
  </w:num>
  <w:num w:numId="18" w16cid:durableId="2035112719">
    <w:abstractNumId w:val="31"/>
  </w:num>
  <w:num w:numId="19" w16cid:durableId="342361198">
    <w:abstractNumId w:val="75"/>
  </w:num>
  <w:num w:numId="20" w16cid:durableId="277031651">
    <w:abstractNumId w:val="109"/>
  </w:num>
  <w:num w:numId="21" w16cid:durableId="720052681">
    <w:abstractNumId w:val="37"/>
  </w:num>
  <w:num w:numId="22" w16cid:durableId="190803654">
    <w:abstractNumId w:val="4"/>
  </w:num>
  <w:num w:numId="23" w16cid:durableId="1334071851">
    <w:abstractNumId w:val="9"/>
  </w:num>
  <w:num w:numId="24" w16cid:durableId="1652640673">
    <w:abstractNumId w:val="195"/>
  </w:num>
  <w:num w:numId="25" w16cid:durableId="456874883">
    <w:abstractNumId w:val="68"/>
  </w:num>
  <w:num w:numId="26" w16cid:durableId="604506644">
    <w:abstractNumId w:val="137"/>
  </w:num>
  <w:num w:numId="27" w16cid:durableId="948010113">
    <w:abstractNumId w:val="148"/>
  </w:num>
  <w:num w:numId="28" w16cid:durableId="205262988">
    <w:abstractNumId w:val="172"/>
  </w:num>
  <w:num w:numId="29" w16cid:durableId="1969043435">
    <w:abstractNumId w:val="62"/>
  </w:num>
  <w:num w:numId="30" w16cid:durableId="631597432">
    <w:abstractNumId w:val="64"/>
  </w:num>
  <w:num w:numId="31" w16cid:durableId="1556429664">
    <w:abstractNumId w:val="221"/>
  </w:num>
  <w:num w:numId="32" w16cid:durableId="632832415">
    <w:abstractNumId w:val="39"/>
  </w:num>
  <w:num w:numId="33" w16cid:durableId="1395003120">
    <w:abstractNumId w:val="76"/>
  </w:num>
  <w:num w:numId="34" w16cid:durableId="34896189">
    <w:abstractNumId w:val="85"/>
  </w:num>
  <w:num w:numId="35" w16cid:durableId="429008878">
    <w:abstractNumId w:val="61"/>
  </w:num>
  <w:num w:numId="36" w16cid:durableId="1528762483">
    <w:abstractNumId w:val="12"/>
  </w:num>
  <w:num w:numId="37" w16cid:durableId="212086747">
    <w:abstractNumId w:val="125"/>
  </w:num>
  <w:num w:numId="38" w16cid:durableId="989136311">
    <w:abstractNumId w:val="175"/>
  </w:num>
  <w:num w:numId="39" w16cid:durableId="1379429444">
    <w:abstractNumId w:val="168"/>
  </w:num>
  <w:num w:numId="40" w16cid:durableId="570581103">
    <w:abstractNumId w:val="82"/>
  </w:num>
  <w:num w:numId="41" w16cid:durableId="890919220">
    <w:abstractNumId w:val="135"/>
  </w:num>
  <w:num w:numId="42" w16cid:durableId="48462462">
    <w:abstractNumId w:val="102"/>
  </w:num>
  <w:num w:numId="43" w16cid:durableId="1520923415">
    <w:abstractNumId w:val="50"/>
  </w:num>
  <w:num w:numId="44" w16cid:durableId="1588686787">
    <w:abstractNumId w:val="211"/>
  </w:num>
  <w:num w:numId="45" w16cid:durableId="393967326">
    <w:abstractNumId w:val="15"/>
  </w:num>
  <w:num w:numId="46" w16cid:durableId="438061699">
    <w:abstractNumId w:val="185"/>
  </w:num>
  <w:num w:numId="47" w16cid:durableId="1190754953">
    <w:abstractNumId w:val="81"/>
  </w:num>
  <w:num w:numId="48" w16cid:durableId="90248742">
    <w:abstractNumId w:val="181"/>
  </w:num>
  <w:num w:numId="49" w16cid:durableId="917178225">
    <w:abstractNumId w:val="165"/>
  </w:num>
  <w:num w:numId="50" w16cid:durableId="396244404">
    <w:abstractNumId w:val="20"/>
  </w:num>
  <w:num w:numId="51" w16cid:durableId="585001513">
    <w:abstractNumId w:val="16"/>
  </w:num>
  <w:num w:numId="52" w16cid:durableId="585965262">
    <w:abstractNumId w:val="169"/>
  </w:num>
  <w:num w:numId="53" w16cid:durableId="685837071">
    <w:abstractNumId w:val="210"/>
  </w:num>
  <w:num w:numId="54" w16cid:durableId="1576474405">
    <w:abstractNumId w:val="104"/>
  </w:num>
  <w:num w:numId="55" w16cid:durableId="633945348">
    <w:abstractNumId w:val="118"/>
  </w:num>
  <w:num w:numId="56" w16cid:durableId="294991950">
    <w:abstractNumId w:val="209"/>
  </w:num>
  <w:num w:numId="57" w16cid:durableId="61804189">
    <w:abstractNumId w:val="122"/>
  </w:num>
  <w:num w:numId="58" w16cid:durableId="1165320625">
    <w:abstractNumId w:val="117"/>
  </w:num>
  <w:num w:numId="59" w16cid:durableId="827089927">
    <w:abstractNumId w:val="25"/>
  </w:num>
  <w:num w:numId="60" w16cid:durableId="2043819265">
    <w:abstractNumId w:val="94"/>
  </w:num>
  <w:num w:numId="61" w16cid:durableId="708606461">
    <w:abstractNumId w:val="63"/>
  </w:num>
  <w:num w:numId="62" w16cid:durableId="1864438336">
    <w:abstractNumId w:val="108"/>
  </w:num>
  <w:num w:numId="63" w16cid:durableId="1345788721">
    <w:abstractNumId w:val="149"/>
  </w:num>
  <w:num w:numId="64" w16cid:durableId="960696726">
    <w:abstractNumId w:val="154"/>
  </w:num>
  <w:num w:numId="65" w16cid:durableId="1873609506">
    <w:abstractNumId w:val="160"/>
  </w:num>
  <w:num w:numId="66" w16cid:durableId="460268879">
    <w:abstractNumId w:val="153"/>
  </w:num>
  <w:num w:numId="67" w16cid:durableId="1858152858">
    <w:abstractNumId w:val="171"/>
  </w:num>
  <w:num w:numId="68" w16cid:durableId="83035268">
    <w:abstractNumId w:val="59"/>
  </w:num>
  <w:num w:numId="69" w16cid:durableId="1764715511">
    <w:abstractNumId w:val="147"/>
  </w:num>
  <w:num w:numId="70" w16cid:durableId="1237745521">
    <w:abstractNumId w:val="58"/>
  </w:num>
  <w:num w:numId="71" w16cid:durableId="669791037">
    <w:abstractNumId w:val="152"/>
  </w:num>
  <w:num w:numId="72" w16cid:durableId="2082557437">
    <w:abstractNumId w:val="18"/>
  </w:num>
  <w:num w:numId="73" w16cid:durableId="1841432104">
    <w:abstractNumId w:val="53"/>
  </w:num>
  <w:num w:numId="74" w16cid:durableId="1948850038">
    <w:abstractNumId w:val="73"/>
  </w:num>
  <w:num w:numId="75" w16cid:durableId="2109884301">
    <w:abstractNumId w:val="129"/>
  </w:num>
  <w:num w:numId="76" w16cid:durableId="1018241483">
    <w:abstractNumId w:val="93"/>
  </w:num>
  <w:num w:numId="77" w16cid:durableId="132062523">
    <w:abstractNumId w:val="34"/>
  </w:num>
  <w:num w:numId="78" w16cid:durableId="1863547834">
    <w:abstractNumId w:val="41"/>
  </w:num>
  <w:num w:numId="79" w16cid:durableId="1831361123">
    <w:abstractNumId w:val="87"/>
  </w:num>
  <w:num w:numId="80" w16cid:durableId="1726299848">
    <w:abstractNumId w:val="150"/>
  </w:num>
  <w:num w:numId="81" w16cid:durableId="1483044302">
    <w:abstractNumId w:val="136"/>
  </w:num>
  <w:num w:numId="82" w16cid:durableId="1479616947">
    <w:abstractNumId w:val="40"/>
  </w:num>
  <w:num w:numId="83" w16cid:durableId="947082019">
    <w:abstractNumId w:val="98"/>
  </w:num>
  <w:num w:numId="84" w16cid:durableId="1303778409">
    <w:abstractNumId w:val="96"/>
  </w:num>
  <w:num w:numId="85" w16cid:durableId="2100783447">
    <w:abstractNumId w:val="69"/>
  </w:num>
  <w:num w:numId="86" w16cid:durableId="70858142">
    <w:abstractNumId w:val="214"/>
  </w:num>
  <w:num w:numId="87" w16cid:durableId="859120519">
    <w:abstractNumId w:val="158"/>
  </w:num>
  <w:num w:numId="88" w16cid:durableId="1476987612">
    <w:abstractNumId w:val="78"/>
  </w:num>
  <w:num w:numId="89" w16cid:durableId="1762141280">
    <w:abstractNumId w:val="141"/>
  </w:num>
  <w:num w:numId="90" w16cid:durableId="1976909139">
    <w:abstractNumId w:val="66"/>
  </w:num>
  <w:num w:numId="91" w16cid:durableId="430398597">
    <w:abstractNumId w:val="223"/>
  </w:num>
  <w:num w:numId="92" w16cid:durableId="1173959403">
    <w:abstractNumId w:val="46"/>
  </w:num>
  <w:num w:numId="93" w16cid:durableId="434906350">
    <w:abstractNumId w:val="28"/>
  </w:num>
  <w:num w:numId="94" w16cid:durableId="662706413">
    <w:abstractNumId w:val="213"/>
  </w:num>
  <w:num w:numId="95" w16cid:durableId="1360276423">
    <w:abstractNumId w:val="14"/>
  </w:num>
  <w:num w:numId="96" w16cid:durableId="599145869">
    <w:abstractNumId w:val="86"/>
  </w:num>
  <w:num w:numId="97" w16cid:durableId="1570654677">
    <w:abstractNumId w:val="119"/>
  </w:num>
  <w:num w:numId="98" w16cid:durableId="362681795">
    <w:abstractNumId w:val="91"/>
  </w:num>
  <w:num w:numId="99" w16cid:durableId="441269114">
    <w:abstractNumId w:val="3"/>
  </w:num>
  <w:num w:numId="100" w16cid:durableId="1562204398">
    <w:abstractNumId w:val="202"/>
  </w:num>
  <w:num w:numId="101" w16cid:durableId="779378611">
    <w:abstractNumId w:val="164"/>
  </w:num>
  <w:num w:numId="102" w16cid:durableId="1784494982">
    <w:abstractNumId w:val="77"/>
  </w:num>
  <w:num w:numId="103" w16cid:durableId="1595743273">
    <w:abstractNumId w:val="124"/>
  </w:num>
  <w:num w:numId="104" w16cid:durableId="273904660">
    <w:abstractNumId w:val="54"/>
  </w:num>
  <w:num w:numId="105" w16cid:durableId="1976182414">
    <w:abstractNumId w:val="204"/>
  </w:num>
  <w:num w:numId="106" w16cid:durableId="1446851035">
    <w:abstractNumId w:val="216"/>
  </w:num>
  <w:num w:numId="107" w16cid:durableId="872379869">
    <w:abstractNumId w:val="191"/>
  </w:num>
  <w:num w:numId="108" w16cid:durableId="1020009137">
    <w:abstractNumId w:val="178"/>
  </w:num>
  <w:num w:numId="109" w16cid:durableId="1810896960">
    <w:abstractNumId w:val="27"/>
  </w:num>
  <w:num w:numId="110" w16cid:durableId="248320358">
    <w:abstractNumId w:val="207"/>
  </w:num>
  <w:num w:numId="111" w16cid:durableId="1000347546">
    <w:abstractNumId w:val="92"/>
  </w:num>
  <w:num w:numId="112" w16cid:durableId="1907837805">
    <w:abstractNumId w:val="60"/>
  </w:num>
  <w:num w:numId="113" w16cid:durableId="1805923039">
    <w:abstractNumId w:val="205"/>
  </w:num>
  <w:num w:numId="114" w16cid:durableId="1767336736">
    <w:abstractNumId w:val="193"/>
  </w:num>
  <w:num w:numId="115" w16cid:durableId="2134669207">
    <w:abstractNumId w:val="17"/>
  </w:num>
  <w:num w:numId="116" w16cid:durableId="727189156">
    <w:abstractNumId w:val="67"/>
  </w:num>
  <w:num w:numId="117" w16cid:durableId="233322434">
    <w:abstractNumId w:val="5"/>
  </w:num>
  <w:num w:numId="118" w16cid:durableId="2063097559">
    <w:abstractNumId w:val="103"/>
  </w:num>
  <w:num w:numId="119" w16cid:durableId="1742799338">
    <w:abstractNumId w:val="88"/>
  </w:num>
  <w:num w:numId="120" w16cid:durableId="1761415645">
    <w:abstractNumId w:val="151"/>
  </w:num>
  <w:num w:numId="121" w16cid:durableId="1687439585">
    <w:abstractNumId w:val="133"/>
  </w:num>
  <w:num w:numId="122" w16cid:durableId="431704298">
    <w:abstractNumId w:val="44"/>
  </w:num>
  <w:num w:numId="123" w16cid:durableId="255482916">
    <w:abstractNumId w:val="208"/>
  </w:num>
  <w:num w:numId="124" w16cid:durableId="1178806444">
    <w:abstractNumId w:val="33"/>
  </w:num>
  <w:num w:numId="125" w16cid:durableId="1847548474">
    <w:abstractNumId w:val="184"/>
  </w:num>
  <w:num w:numId="126" w16cid:durableId="350498717">
    <w:abstractNumId w:val="55"/>
  </w:num>
  <w:num w:numId="127" w16cid:durableId="2145155337">
    <w:abstractNumId w:val="145"/>
  </w:num>
  <w:num w:numId="128" w16cid:durableId="614404026">
    <w:abstractNumId w:val="30"/>
  </w:num>
  <w:num w:numId="129" w16cid:durableId="1205170905">
    <w:abstractNumId w:val="182"/>
  </w:num>
  <w:num w:numId="130" w16cid:durableId="1741444944">
    <w:abstractNumId w:val="197"/>
  </w:num>
  <w:num w:numId="131" w16cid:durableId="122040359">
    <w:abstractNumId w:val="83"/>
  </w:num>
  <w:num w:numId="132" w16cid:durableId="304970797">
    <w:abstractNumId w:val="35"/>
  </w:num>
  <w:num w:numId="133" w16cid:durableId="1755128469">
    <w:abstractNumId w:val="74"/>
  </w:num>
  <w:num w:numId="134" w16cid:durableId="542442443">
    <w:abstractNumId w:val="167"/>
  </w:num>
  <w:num w:numId="135" w16cid:durableId="78409045">
    <w:abstractNumId w:val="194"/>
  </w:num>
  <w:num w:numId="136" w16cid:durableId="383720759">
    <w:abstractNumId w:val="127"/>
  </w:num>
  <w:num w:numId="137" w16cid:durableId="451485696">
    <w:abstractNumId w:val="10"/>
  </w:num>
  <w:num w:numId="138" w16cid:durableId="1803688526">
    <w:abstractNumId w:val="217"/>
  </w:num>
  <w:num w:numId="139" w16cid:durableId="1014577321">
    <w:abstractNumId w:val="180"/>
  </w:num>
  <w:num w:numId="140" w16cid:durableId="387850445">
    <w:abstractNumId w:val="212"/>
  </w:num>
  <w:num w:numId="141" w16cid:durableId="743575082">
    <w:abstractNumId w:val="43"/>
  </w:num>
  <w:num w:numId="142" w16cid:durableId="2039888707">
    <w:abstractNumId w:val="45"/>
  </w:num>
  <w:num w:numId="143" w16cid:durableId="223638892">
    <w:abstractNumId w:val="22"/>
  </w:num>
  <w:num w:numId="144" w16cid:durableId="1260404991">
    <w:abstractNumId w:val="155"/>
  </w:num>
  <w:num w:numId="145" w16cid:durableId="1420831479">
    <w:abstractNumId w:val="138"/>
  </w:num>
  <w:num w:numId="146" w16cid:durableId="604266570">
    <w:abstractNumId w:val="183"/>
  </w:num>
  <w:num w:numId="147" w16cid:durableId="939728177">
    <w:abstractNumId w:val="220"/>
  </w:num>
  <w:num w:numId="148" w16cid:durableId="1851791108">
    <w:abstractNumId w:val="106"/>
  </w:num>
  <w:num w:numId="149" w16cid:durableId="1802646557">
    <w:abstractNumId w:val="110"/>
  </w:num>
  <w:num w:numId="150" w16cid:durableId="61224333">
    <w:abstractNumId w:val="173"/>
  </w:num>
  <w:num w:numId="151" w16cid:durableId="561259417">
    <w:abstractNumId w:val="199"/>
  </w:num>
  <w:num w:numId="152" w16cid:durableId="1758401630">
    <w:abstractNumId w:val="79"/>
  </w:num>
  <w:num w:numId="153" w16cid:durableId="908156862">
    <w:abstractNumId w:val="166"/>
  </w:num>
  <w:num w:numId="154" w16cid:durableId="1323583325">
    <w:abstractNumId w:val="7"/>
  </w:num>
  <w:num w:numId="155" w16cid:durableId="561017569">
    <w:abstractNumId w:val="128"/>
  </w:num>
  <w:num w:numId="156" w16cid:durableId="306250680">
    <w:abstractNumId w:val="113"/>
  </w:num>
  <w:num w:numId="157" w16cid:durableId="142476682">
    <w:abstractNumId w:val="49"/>
  </w:num>
  <w:num w:numId="158" w16cid:durableId="2130510687">
    <w:abstractNumId w:val="146"/>
  </w:num>
  <w:num w:numId="159" w16cid:durableId="1998610819">
    <w:abstractNumId w:val="189"/>
  </w:num>
  <w:num w:numId="160" w16cid:durableId="1897083838">
    <w:abstractNumId w:val="123"/>
  </w:num>
  <w:num w:numId="161" w16cid:durableId="2110814498">
    <w:abstractNumId w:val="72"/>
  </w:num>
  <w:num w:numId="162" w16cid:durableId="306516272">
    <w:abstractNumId w:val="51"/>
  </w:num>
  <w:num w:numId="163" w16cid:durableId="272129454">
    <w:abstractNumId w:val="188"/>
  </w:num>
  <w:num w:numId="164" w16cid:durableId="1988165822">
    <w:abstractNumId w:val="196"/>
  </w:num>
  <w:num w:numId="165" w16cid:durableId="2118671223">
    <w:abstractNumId w:val="116"/>
  </w:num>
  <w:num w:numId="166" w16cid:durableId="1229733423">
    <w:abstractNumId w:val="80"/>
  </w:num>
  <w:num w:numId="167" w16cid:durableId="1898123009">
    <w:abstractNumId w:val="29"/>
  </w:num>
  <w:num w:numId="168" w16cid:durableId="621108653">
    <w:abstractNumId w:val="218"/>
  </w:num>
  <w:num w:numId="169" w16cid:durableId="1759712268">
    <w:abstractNumId w:val="174"/>
  </w:num>
  <w:num w:numId="170" w16cid:durableId="381559796">
    <w:abstractNumId w:val="97"/>
  </w:num>
  <w:num w:numId="171" w16cid:durableId="839583911">
    <w:abstractNumId w:val="24"/>
  </w:num>
  <w:num w:numId="172" w16cid:durableId="638343574">
    <w:abstractNumId w:val="177"/>
  </w:num>
  <w:num w:numId="173" w16cid:durableId="1498114944">
    <w:abstractNumId w:val="121"/>
  </w:num>
  <w:num w:numId="174" w16cid:durableId="282221">
    <w:abstractNumId w:val="1"/>
  </w:num>
  <w:num w:numId="175" w16cid:durableId="795022705">
    <w:abstractNumId w:val="134"/>
  </w:num>
  <w:num w:numId="176" w16cid:durableId="1793330212">
    <w:abstractNumId w:val="219"/>
  </w:num>
  <w:num w:numId="177" w16cid:durableId="1938518194">
    <w:abstractNumId w:val="176"/>
  </w:num>
  <w:num w:numId="178" w16cid:durableId="14890569">
    <w:abstractNumId w:val="159"/>
  </w:num>
  <w:num w:numId="179" w16cid:durableId="591351588">
    <w:abstractNumId w:val="70"/>
  </w:num>
  <w:num w:numId="180" w16cid:durableId="1617181281">
    <w:abstractNumId w:val="23"/>
  </w:num>
  <w:num w:numId="181" w16cid:durableId="614016924">
    <w:abstractNumId w:val="161"/>
  </w:num>
  <w:num w:numId="182" w16cid:durableId="1333292323">
    <w:abstractNumId w:val="142"/>
  </w:num>
  <w:num w:numId="183" w16cid:durableId="615454769">
    <w:abstractNumId w:val="57"/>
  </w:num>
  <w:num w:numId="184" w16cid:durableId="748966063">
    <w:abstractNumId w:val="105"/>
  </w:num>
  <w:num w:numId="185" w16cid:durableId="356273885">
    <w:abstractNumId w:val="11"/>
  </w:num>
  <w:num w:numId="186" w16cid:durableId="1852723124">
    <w:abstractNumId w:val="163"/>
  </w:num>
  <w:num w:numId="187" w16cid:durableId="18120394">
    <w:abstractNumId w:val="206"/>
  </w:num>
  <w:num w:numId="188" w16cid:durableId="230623623">
    <w:abstractNumId w:val="186"/>
  </w:num>
  <w:num w:numId="189" w16cid:durableId="6950476">
    <w:abstractNumId w:val="47"/>
  </w:num>
  <w:num w:numId="190" w16cid:durableId="1227447919">
    <w:abstractNumId w:val="71"/>
  </w:num>
  <w:num w:numId="191" w16cid:durableId="983000034">
    <w:abstractNumId w:val="0"/>
  </w:num>
  <w:num w:numId="192" w16cid:durableId="1565948638">
    <w:abstractNumId w:val="126"/>
  </w:num>
  <w:num w:numId="193" w16cid:durableId="1156800600">
    <w:abstractNumId w:val="179"/>
  </w:num>
  <w:num w:numId="194" w16cid:durableId="1646157175">
    <w:abstractNumId w:val="187"/>
  </w:num>
  <w:num w:numId="195" w16cid:durableId="81727290">
    <w:abstractNumId w:val="89"/>
  </w:num>
  <w:num w:numId="196" w16cid:durableId="187062853">
    <w:abstractNumId w:val="120"/>
  </w:num>
  <w:num w:numId="197" w16cid:durableId="1971010502">
    <w:abstractNumId w:val="192"/>
  </w:num>
  <w:num w:numId="198" w16cid:durableId="910696221">
    <w:abstractNumId w:val="132"/>
  </w:num>
  <w:num w:numId="199" w16cid:durableId="120730720">
    <w:abstractNumId w:val="144"/>
  </w:num>
  <w:num w:numId="200" w16cid:durableId="1640064950">
    <w:abstractNumId w:val="99"/>
  </w:num>
  <w:num w:numId="201" w16cid:durableId="2025741294">
    <w:abstractNumId w:val="13"/>
  </w:num>
  <w:num w:numId="202" w16cid:durableId="1349016807">
    <w:abstractNumId w:val="201"/>
  </w:num>
  <w:num w:numId="203" w16cid:durableId="845710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08639595">
    <w:abstractNumId w:val="215"/>
  </w:num>
  <w:num w:numId="205" w16cid:durableId="1107703135">
    <w:abstractNumId w:val="6"/>
  </w:num>
  <w:num w:numId="206" w16cid:durableId="618339373">
    <w:abstractNumId w:val="198"/>
  </w:num>
  <w:num w:numId="207" w16cid:durableId="1250888040">
    <w:abstractNumId w:val="32"/>
  </w:num>
  <w:num w:numId="208" w16cid:durableId="1838761143">
    <w:abstractNumId w:val="38"/>
  </w:num>
  <w:num w:numId="209" w16cid:durableId="1559432910">
    <w:abstractNumId w:val="114"/>
  </w:num>
  <w:num w:numId="210" w16cid:durableId="486094217">
    <w:abstractNumId w:val="156"/>
  </w:num>
  <w:num w:numId="211" w16cid:durableId="1979797098">
    <w:abstractNumId w:val="56"/>
  </w:num>
  <w:num w:numId="212" w16cid:durableId="1629314137">
    <w:abstractNumId w:val="21"/>
  </w:num>
  <w:num w:numId="213" w16cid:durableId="1419329223">
    <w:abstractNumId w:val="112"/>
  </w:num>
  <w:num w:numId="214" w16cid:durableId="1961256641">
    <w:abstractNumId w:val="200"/>
  </w:num>
  <w:num w:numId="215" w16cid:durableId="927808271">
    <w:abstractNumId w:val="101"/>
  </w:num>
  <w:num w:numId="216" w16cid:durableId="1905752237">
    <w:abstractNumId w:val="139"/>
  </w:num>
  <w:num w:numId="217" w16cid:durableId="1445735079">
    <w:abstractNumId w:val="8"/>
  </w:num>
  <w:num w:numId="218" w16cid:durableId="1090738500">
    <w:abstractNumId w:val="143"/>
  </w:num>
  <w:num w:numId="219" w16cid:durableId="1248925017">
    <w:abstractNumId w:val="36"/>
  </w:num>
  <w:num w:numId="220" w16cid:durableId="364722671">
    <w:abstractNumId w:val="48"/>
  </w:num>
  <w:num w:numId="221" w16cid:durableId="985012261">
    <w:abstractNumId w:val="19"/>
  </w:num>
  <w:num w:numId="222" w16cid:durableId="1527255727">
    <w:abstractNumId w:val="203"/>
  </w:num>
  <w:num w:numId="223" w16cid:durableId="1874999020">
    <w:abstractNumId w:val="107"/>
  </w:num>
  <w:num w:numId="224" w16cid:durableId="2130203210">
    <w:abstractNumId w:val="162"/>
  </w:num>
  <w:num w:numId="225" w16cid:durableId="177204416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90"/>
    <w:rPr>
      <w:rFonts w:ascii="Palatino Linotype" w:hAnsi="Palatino Linotype"/>
      <w:sz w:val="22"/>
    </w:rPr>
  </w:style>
  <w:style w:type="paragraph" w:styleId="Heading1">
    <w:name w:val="heading 1"/>
    <w:basedOn w:val="Normal"/>
    <w:next w:val="Normal"/>
    <w:link w:val="Heading1Char"/>
    <w:uiPriority w:val="9"/>
    <w:qFormat/>
    <w:rsid w:val="00456CD0"/>
    <w:pPr>
      <w:keepNext/>
      <w:keepLines/>
      <w:spacing w:after="240"/>
      <w:outlineLvl w:val="0"/>
    </w:pPr>
    <w:rPr>
      <w:rFonts w:ascii="Source Sans Pro" w:eastAsiaTheme="majorEastAsia" w:hAnsi="Source Sans Pro" w:cstheme="majorBidi"/>
      <w:b/>
      <w:color w:val="164432"/>
      <w:sz w:val="40"/>
      <w:szCs w:val="40"/>
    </w:rPr>
  </w:style>
  <w:style w:type="paragraph" w:styleId="Heading2">
    <w:name w:val="heading 2"/>
    <w:basedOn w:val="Normal"/>
    <w:next w:val="Normal"/>
    <w:link w:val="Heading2Char"/>
    <w:uiPriority w:val="9"/>
    <w:unhideWhenUsed/>
    <w:qFormat/>
    <w:rsid w:val="00456CD0"/>
    <w:pPr>
      <w:keepNext/>
      <w:keepLines/>
      <w:spacing w:before="360" w:after="120"/>
      <w:outlineLvl w:val="1"/>
    </w:pPr>
    <w:rPr>
      <w:rFonts w:ascii="Source Sans Pro" w:eastAsiaTheme="majorEastAsia" w:hAnsi="Source Sans Pro" w:cstheme="majorBidi"/>
      <w:color w:val="164432"/>
      <w:sz w:val="32"/>
      <w:szCs w:val="32"/>
    </w:rPr>
  </w:style>
  <w:style w:type="paragraph" w:styleId="Heading3">
    <w:name w:val="heading 3"/>
    <w:basedOn w:val="Normal"/>
    <w:next w:val="Normal"/>
    <w:link w:val="Heading3Char"/>
    <w:uiPriority w:val="9"/>
    <w:unhideWhenUsed/>
    <w:qFormat/>
    <w:rsid w:val="0076240E"/>
    <w:pPr>
      <w:keepNext/>
      <w:keepLines/>
      <w:spacing w:before="160" w:after="80"/>
      <w:outlineLvl w:val="2"/>
    </w:pPr>
    <w:rPr>
      <w:rFonts w:ascii="Source Sans Pro" w:eastAsiaTheme="majorEastAsia" w:hAnsi="Source Sans Pro" w:cstheme="majorBidi"/>
      <w:color w:val="164432"/>
      <w:sz w:val="28"/>
      <w:szCs w:val="28"/>
    </w:rPr>
  </w:style>
  <w:style w:type="paragraph" w:styleId="Heading4">
    <w:name w:val="heading 4"/>
    <w:basedOn w:val="Normal"/>
    <w:next w:val="Normal"/>
    <w:link w:val="Heading4Char"/>
    <w:uiPriority w:val="9"/>
    <w:unhideWhenUsed/>
    <w:qFormat/>
    <w:rsid w:val="0001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D0"/>
    <w:rPr>
      <w:rFonts w:ascii="Source Sans Pro" w:eastAsiaTheme="majorEastAsia" w:hAnsi="Source Sans Pro" w:cstheme="majorBidi"/>
      <w:b/>
      <w:color w:val="164432"/>
      <w:sz w:val="40"/>
      <w:szCs w:val="40"/>
    </w:rPr>
  </w:style>
  <w:style w:type="character" w:customStyle="1" w:styleId="Heading2Char">
    <w:name w:val="Heading 2 Char"/>
    <w:basedOn w:val="DefaultParagraphFont"/>
    <w:link w:val="Heading2"/>
    <w:uiPriority w:val="9"/>
    <w:rsid w:val="00456CD0"/>
    <w:rPr>
      <w:rFonts w:ascii="Source Sans Pro" w:eastAsiaTheme="majorEastAsia" w:hAnsi="Source Sans Pro" w:cstheme="majorBidi"/>
      <w:color w:val="164432"/>
      <w:sz w:val="32"/>
      <w:szCs w:val="32"/>
    </w:rPr>
  </w:style>
  <w:style w:type="character" w:customStyle="1" w:styleId="Heading3Char">
    <w:name w:val="Heading 3 Char"/>
    <w:basedOn w:val="DefaultParagraphFont"/>
    <w:link w:val="Heading3"/>
    <w:uiPriority w:val="9"/>
    <w:rsid w:val="0076240E"/>
    <w:rPr>
      <w:rFonts w:ascii="Source Sans Pro" w:eastAsiaTheme="majorEastAsia" w:hAnsi="Source Sans Pro" w:cstheme="majorBidi"/>
      <w:color w:val="164432"/>
      <w:sz w:val="28"/>
      <w:szCs w:val="28"/>
    </w:rPr>
  </w:style>
  <w:style w:type="character" w:customStyle="1" w:styleId="Heading4Char">
    <w:name w:val="Heading 4 Char"/>
    <w:basedOn w:val="DefaultParagraphFont"/>
    <w:link w:val="Heading4"/>
    <w:uiPriority w:val="9"/>
    <w:rsid w:val="0001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8C"/>
    <w:rPr>
      <w:rFonts w:eastAsiaTheme="majorEastAsia" w:cstheme="majorBidi"/>
      <w:color w:val="272727" w:themeColor="text1" w:themeTint="D8"/>
    </w:rPr>
  </w:style>
  <w:style w:type="paragraph" w:styleId="Title">
    <w:name w:val="Title"/>
    <w:basedOn w:val="Normal"/>
    <w:next w:val="Normal"/>
    <w:link w:val="TitleChar"/>
    <w:uiPriority w:val="10"/>
    <w:qFormat/>
    <w:rsid w:val="00985525"/>
    <w:pPr>
      <w:spacing w:after="80" w:line="240" w:lineRule="auto"/>
      <w:contextualSpacing/>
    </w:pPr>
    <w:rPr>
      <w:rFonts w:ascii="Source Sans Pro" w:eastAsiaTheme="majorEastAsia" w:hAnsi="Source Sans Pro" w:cstheme="majorBidi"/>
      <w:color w:val="164432"/>
      <w:spacing w:val="-10"/>
      <w:kern w:val="28"/>
      <w:sz w:val="56"/>
      <w:szCs w:val="56"/>
    </w:rPr>
  </w:style>
  <w:style w:type="character" w:customStyle="1" w:styleId="TitleChar">
    <w:name w:val="Title Char"/>
    <w:basedOn w:val="DefaultParagraphFont"/>
    <w:link w:val="Title"/>
    <w:uiPriority w:val="10"/>
    <w:rsid w:val="00985525"/>
    <w:rPr>
      <w:rFonts w:ascii="Source Sans Pro" w:eastAsiaTheme="majorEastAsia" w:hAnsi="Source Sans Pro" w:cstheme="majorBidi"/>
      <w:color w:val="164432"/>
      <w:spacing w:val="-10"/>
      <w:kern w:val="28"/>
      <w:sz w:val="56"/>
      <w:szCs w:val="56"/>
    </w:rPr>
  </w:style>
  <w:style w:type="paragraph" w:styleId="Subtitle">
    <w:name w:val="Subtitle"/>
    <w:basedOn w:val="Normal"/>
    <w:next w:val="Normal"/>
    <w:link w:val="SubtitleChar"/>
    <w:uiPriority w:val="11"/>
    <w:qFormat/>
    <w:rsid w:val="0001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C"/>
    <w:pPr>
      <w:spacing w:before="160"/>
      <w:ind w:left="720" w:right="720"/>
      <w:jc w:val="center"/>
    </w:pPr>
    <w:rPr>
      <w:i/>
      <w:iCs/>
      <w:color w:val="404040" w:themeColor="text1" w:themeTint="BF"/>
      <w:sz w:val="32"/>
      <w:szCs w:val="32"/>
    </w:rPr>
  </w:style>
  <w:style w:type="character" w:customStyle="1" w:styleId="QuoteChar">
    <w:name w:val="Quote Char"/>
    <w:basedOn w:val="DefaultParagraphFont"/>
    <w:link w:val="Quote"/>
    <w:uiPriority w:val="29"/>
    <w:rsid w:val="0062283C"/>
    <w:rPr>
      <w:i/>
      <w:iCs/>
      <w:color w:val="404040" w:themeColor="text1" w:themeTint="BF"/>
      <w:sz w:val="32"/>
      <w:szCs w:val="32"/>
    </w:rPr>
  </w:style>
  <w:style w:type="paragraph" w:styleId="ListParagraph">
    <w:name w:val="List Paragraph"/>
    <w:basedOn w:val="Normal"/>
    <w:uiPriority w:val="34"/>
    <w:qFormat/>
    <w:rsid w:val="0001198C"/>
    <w:pPr>
      <w:ind w:left="720"/>
      <w:contextualSpacing/>
    </w:pPr>
  </w:style>
  <w:style w:type="character" w:styleId="IntenseEmphasis">
    <w:name w:val="Intense Emphasis"/>
    <w:basedOn w:val="DefaultParagraphFont"/>
    <w:uiPriority w:val="21"/>
    <w:qFormat/>
    <w:rsid w:val="0001198C"/>
    <w:rPr>
      <w:i/>
      <w:iCs/>
      <w:color w:val="0F4761" w:themeColor="accent1" w:themeShade="BF"/>
    </w:rPr>
  </w:style>
  <w:style w:type="paragraph" w:styleId="IntenseQuote">
    <w:name w:val="Intense Quote"/>
    <w:basedOn w:val="Normal"/>
    <w:next w:val="Normal"/>
    <w:link w:val="IntenseQuoteChar"/>
    <w:uiPriority w:val="30"/>
    <w:qFormat/>
    <w:rsid w:val="00166494"/>
    <w:pPr>
      <w:pBdr>
        <w:top w:val="single" w:sz="4" w:space="10" w:color="0F4761" w:themeColor="accent1" w:themeShade="BF"/>
        <w:bottom w:val="single" w:sz="4" w:space="10" w:color="0F4761" w:themeColor="accent1" w:themeShade="BF"/>
      </w:pBdr>
      <w:spacing w:before="360" w:after="360"/>
      <w:ind w:left="864" w:right="864"/>
      <w:jc w:val="center"/>
    </w:pPr>
    <w:rPr>
      <w:b/>
      <w:bCs/>
      <w:i/>
      <w:iCs/>
      <w:color w:val="164432"/>
      <w:sz w:val="24"/>
    </w:rPr>
  </w:style>
  <w:style w:type="character" w:customStyle="1" w:styleId="IntenseQuoteChar">
    <w:name w:val="Intense Quote Char"/>
    <w:basedOn w:val="DefaultParagraphFont"/>
    <w:link w:val="IntenseQuote"/>
    <w:uiPriority w:val="30"/>
    <w:rsid w:val="00166494"/>
    <w:rPr>
      <w:rFonts w:ascii="Palatino Linotype" w:hAnsi="Palatino Linotype"/>
      <w:b/>
      <w:bCs/>
      <w:i/>
      <w:iCs/>
      <w:color w:val="164432"/>
    </w:rPr>
  </w:style>
  <w:style w:type="character" w:styleId="IntenseReference">
    <w:name w:val="Intense Reference"/>
    <w:basedOn w:val="DefaultParagraphFont"/>
    <w:uiPriority w:val="32"/>
    <w:qFormat/>
    <w:rsid w:val="0001198C"/>
    <w:rPr>
      <w:b/>
      <w:bCs/>
      <w:smallCaps/>
      <w:color w:val="0F4761" w:themeColor="accent1" w:themeShade="BF"/>
      <w:spacing w:val="5"/>
    </w:rPr>
  </w:style>
  <w:style w:type="paragraph" w:styleId="TOCHeading">
    <w:name w:val="TOC Heading"/>
    <w:basedOn w:val="Heading1"/>
    <w:next w:val="Normal"/>
    <w:uiPriority w:val="39"/>
    <w:unhideWhenUsed/>
    <w:qFormat/>
    <w:rsid w:val="000119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98C"/>
    <w:pPr>
      <w:spacing w:after="100"/>
    </w:pPr>
  </w:style>
  <w:style w:type="paragraph" w:styleId="TOC2">
    <w:name w:val="toc 2"/>
    <w:basedOn w:val="Normal"/>
    <w:next w:val="Normal"/>
    <w:autoRedefine/>
    <w:uiPriority w:val="39"/>
    <w:unhideWhenUsed/>
    <w:rsid w:val="0001198C"/>
    <w:pPr>
      <w:spacing w:after="100"/>
      <w:ind w:left="240"/>
    </w:pPr>
  </w:style>
  <w:style w:type="character" w:styleId="Hyperlink">
    <w:name w:val="Hyperlink"/>
    <w:basedOn w:val="DefaultParagraphFont"/>
    <w:uiPriority w:val="99"/>
    <w:unhideWhenUsed/>
    <w:rsid w:val="0001198C"/>
    <w:rPr>
      <w:color w:val="467886" w:themeColor="hyperlink"/>
      <w:u w:val="single"/>
    </w:rPr>
  </w:style>
  <w:style w:type="paragraph" w:styleId="TOC3">
    <w:name w:val="toc 3"/>
    <w:basedOn w:val="Normal"/>
    <w:next w:val="Normal"/>
    <w:autoRedefine/>
    <w:uiPriority w:val="39"/>
    <w:unhideWhenUsed/>
    <w:rsid w:val="001332E7"/>
    <w:pPr>
      <w:spacing w:after="100"/>
      <w:ind w:left="480"/>
    </w:pPr>
  </w:style>
  <w:style w:type="table" w:styleId="TableGrid">
    <w:name w:val="Table Grid"/>
    <w:basedOn w:val="TableNormal"/>
    <w:uiPriority w:val="59"/>
    <w:rsid w:val="001E2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Header">
    <w:name w:val="Box Header"/>
    <w:basedOn w:val="Normal"/>
    <w:qFormat/>
    <w:rsid w:val="001E2EDE"/>
    <w:pPr>
      <w:keepNext/>
      <w:pBdr>
        <w:top w:val="nil"/>
        <w:left w:val="nil"/>
        <w:bottom w:val="nil"/>
        <w:right w:val="nil"/>
        <w:between w:val="nil"/>
      </w:pBdr>
      <w:shd w:val="clear" w:color="auto" w:fill="DAE9F7" w:themeFill="text2" w:themeFillTint="1A"/>
      <w:spacing w:after="240" w:line="276" w:lineRule="auto"/>
      <w:ind w:left="605" w:right="605"/>
    </w:pPr>
    <w:rPr>
      <w:rFonts w:ascii="Google Sans Text" w:eastAsia="Google Sans Text" w:hAnsi="Google Sans Text" w:cs="Google Sans Text"/>
      <w:b/>
      <w:color w:val="1B1C1D"/>
    </w:rPr>
  </w:style>
  <w:style w:type="paragraph" w:styleId="NormalWeb">
    <w:name w:val="Normal (Web)"/>
    <w:basedOn w:val="Normal"/>
    <w:uiPriority w:val="99"/>
    <w:semiHidden/>
    <w:unhideWhenUsed/>
    <w:rsid w:val="005B5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661"/>
    <w:rPr>
      <w:b/>
      <w:bCs/>
    </w:rPr>
  </w:style>
  <w:style w:type="character" w:customStyle="1" w:styleId="button-container">
    <w:name w:val="button-container"/>
    <w:basedOn w:val="DefaultParagraphFont"/>
    <w:rsid w:val="005B5661"/>
  </w:style>
  <w:style w:type="paragraph" w:styleId="Header">
    <w:name w:val="header"/>
    <w:basedOn w:val="Normal"/>
    <w:link w:val="HeaderChar"/>
    <w:uiPriority w:val="99"/>
    <w:unhideWhenUsed/>
    <w:rsid w:val="00CB0463"/>
    <w:pPr>
      <w:tabs>
        <w:tab w:val="center" w:pos="4680"/>
        <w:tab w:val="right" w:pos="9360"/>
      </w:tabs>
      <w:spacing w:after="0" w:line="240" w:lineRule="auto"/>
    </w:pPr>
    <w:rPr>
      <w:color w:val="164432"/>
    </w:rPr>
  </w:style>
  <w:style w:type="character" w:customStyle="1" w:styleId="HeaderChar">
    <w:name w:val="Header Char"/>
    <w:basedOn w:val="DefaultParagraphFont"/>
    <w:link w:val="Header"/>
    <w:uiPriority w:val="99"/>
    <w:rsid w:val="00CB0463"/>
    <w:rPr>
      <w:rFonts w:ascii="Palatino Linotype" w:hAnsi="Palatino Linotype"/>
      <w:color w:val="164432"/>
      <w:sz w:val="22"/>
    </w:rPr>
  </w:style>
  <w:style w:type="paragraph" w:styleId="Footer">
    <w:name w:val="footer"/>
    <w:basedOn w:val="Normal"/>
    <w:link w:val="FooterChar"/>
    <w:uiPriority w:val="99"/>
    <w:unhideWhenUsed/>
    <w:rsid w:val="008F2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F"/>
  </w:style>
  <w:style w:type="paragraph" w:styleId="Index1">
    <w:name w:val="index 1"/>
    <w:basedOn w:val="Normal"/>
    <w:next w:val="Normal"/>
    <w:autoRedefine/>
    <w:uiPriority w:val="99"/>
    <w:semiHidden/>
    <w:unhideWhenUsed/>
    <w:rsid w:val="004B37AF"/>
    <w:pPr>
      <w:spacing w:after="0" w:line="240" w:lineRule="auto"/>
      <w:ind w:left="240" w:hanging="240"/>
    </w:pPr>
  </w:style>
  <w:style w:type="paragraph" w:customStyle="1" w:styleId="GatewaySign">
    <w:name w:val="GatewaySign"/>
    <w:basedOn w:val="Heading2"/>
    <w:rsid w:val="00AF7650"/>
    <w:pPr>
      <w:spacing w:before="200" w:after="0" w:line="276" w:lineRule="auto"/>
    </w:pPr>
    <w:rPr>
      <w:rFonts w:ascii="Lato" w:hAnsi="Lato"/>
      <w:b/>
      <w:bCs/>
      <w:color w:val="FFFFFF"/>
      <w:kern w:val="0"/>
      <w:szCs w:val="26"/>
      <w14:ligatures w14:val="none"/>
    </w:rPr>
  </w:style>
  <w:style w:type="paragraph" w:customStyle="1" w:styleId="BodyText">
    <w:name w:val="BodyText"/>
    <w:basedOn w:val="Normal"/>
    <w:rsid w:val="00AF7650"/>
    <w:pPr>
      <w:spacing w:after="200" w:line="276" w:lineRule="auto"/>
    </w:pPr>
    <w:rPr>
      <w:rFonts w:eastAsiaTheme="minorEastAsia"/>
      <w:kern w:val="0"/>
      <w:szCs w:val="22"/>
      <w14:ligatures w14:val="none"/>
    </w:rPr>
  </w:style>
  <w:style w:type="paragraph" w:customStyle="1" w:styleId="PullQuote">
    <w:name w:val="PullQuote"/>
    <w:basedOn w:val="Normal"/>
    <w:rsid w:val="00AF7650"/>
    <w:pPr>
      <w:spacing w:after="200" w:line="276" w:lineRule="auto"/>
    </w:pPr>
    <w:rPr>
      <w:rFonts w:ascii="Lato" w:eastAsiaTheme="minorEastAsia" w:hAnsi="Lato"/>
      <w:i/>
      <w:color w:val="B38B00"/>
      <w:kern w:val="0"/>
      <w:szCs w:val="22"/>
      <w14:ligatures w14:val="none"/>
    </w:rPr>
  </w:style>
  <w:style w:type="character" w:styleId="Emphasis">
    <w:name w:val="Emphasis"/>
    <w:basedOn w:val="DefaultParagraphFont"/>
    <w:uiPriority w:val="20"/>
    <w:qFormat/>
    <w:rsid w:val="00AF5BE5"/>
    <w:rPr>
      <w:i/>
      <w:iCs/>
    </w:rPr>
  </w:style>
  <w:style w:type="character" w:styleId="SubtleReference">
    <w:name w:val="Subtle Reference"/>
    <w:basedOn w:val="DefaultParagraphFont"/>
    <w:uiPriority w:val="31"/>
    <w:qFormat/>
    <w:rsid w:val="00AF5BE5"/>
    <w:rPr>
      <w:smallCaps/>
      <w:color w:val="5A5A5A" w:themeColor="text1" w:themeTint="A5"/>
    </w:rPr>
  </w:style>
  <w:style w:type="paragraph" w:customStyle="1" w:styleId="BoxedHeaderSimple">
    <w:name w:val="Boxed Header Simple"/>
    <w:basedOn w:val="Normal"/>
    <w:qFormat/>
    <w:rsid w:val="00456CD0"/>
    <w:pPr>
      <w:keepNext/>
      <w:shd w:val="clear" w:color="auto" w:fill="164432"/>
      <w:spacing w:before="240" w:after="120" w:line="276" w:lineRule="auto"/>
    </w:pPr>
    <w:rPr>
      <w:rFonts w:ascii="Google Sans Text" w:eastAsia="Google Sans Text" w:hAnsi="Google Sans Text" w:cs="Google Sans Text"/>
      <w:color w:val="FFFFFF" w:themeColor="background1"/>
    </w:rPr>
  </w:style>
  <w:style w:type="paragraph" w:customStyle="1" w:styleId="BoxBody">
    <w:name w:val="Box Body"/>
    <w:basedOn w:val="Normal"/>
    <w:qFormat/>
    <w:rsid w:val="00BA5999"/>
    <w:pPr>
      <w:shd w:val="clear" w:color="auto" w:fill="F2F2F2" w:themeFill="background1" w:themeFillShade="F2"/>
    </w:pPr>
    <w:rPr>
      <w:rFonts w:ascii="Google Sans Text" w:eastAsia="Google Sans Text" w:hAnsi="Google Sans Text" w:cs="Google Sans Text"/>
      <w:color w:val="1B1C1D"/>
    </w:rPr>
  </w:style>
  <w:style w:type="paragraph" w:customStyle="1" w:styleId="BoxBullet">
    <w:name w:val="Box Bullet"/>
    <w:basedOn w:val="Normal"/>
    <w:qFormat/>
    <w:rsid w:val="00C958C9"/>
    <w:pPr>
      <w:numPr>
        <w:numId w:val="17"/>
      </w:numPr>
      <w:shd w:val="clear" w:color="auto" w:fill="F2F2F2" w:themeFill="background1" w:themeFillShade="F2"/>
    </w:pPr>
    <w:rPr>
      <w:sz w:val="20"/>
    </w:rPr>
  </w:style>
  <w:style w:type="character" w:styleId="UnresolvedMention">
    <w:name w:val="Unresolved Mention"/>
    <w:basedOn w:val="DefaultParagraphFont"/>
    <w:uiPriority w:val="99"/>
    <w:semiHidden/>
    <w:unhideWhenUsed/>
    <w:rsid w:val="008620E7"/>
    <w:rPr>
      <w:color w:val="605E5C"/>
      <w:shd w:val="clear" w:color="auto" w:fill="E1DFDD"/>
    </w:rPr>
  </w:style>
  <w:style w:type="character" w:styleId="SubtleEmphasis">
    <w:name w:val="Subtle Emphasis"/>
    <w:basedOn w:val="DefaultParagraphFont"/>
    <w:uiPriority w:val="19"/>
    <w:qFormat/>
    <w:rsid w:val="00DA7290"/>
    <w:rPr>
      <w:i/>
      <w:iCs/>
      <w:color w:val="404040" w:themeColor="text1" w:themeTint="BF"/>
    </w:rPr>
  </w:style>
  <w:style w:type="paragraph" w:customStyle="1" w:styleId="FootnotesChapter">
    <w:name w:val="Footnotes Chapter"/>
    <w:basedOn w:val="Heading2"/>
    <w:qFormat/>
    <w:rsid w:val="00D710A3"/>
  </w:style>
  <w:style w:type="paragraph" w:styleId="Caption">
    <w:name w:val="caption"/>
    <w:basedOn w:val="Normal"/>
    <w:next w:val="Normal"/>
    <w:uiPriority w:val="35"/>
    <w:unhideWhenUsed/>
    <w:qFormat/>
    <w:rsid w:val="007C1DFC"/>
    <w:pPr>
      <w:spacing w:after="200" w:line="240" w:lineRule="auto"/>
    </w:pPr>
    <w:rPr>
      <w:i/>
      <w:iCs/>
      <w:color w:val="164432"/>
      <w:szCs w:val="20"/>
    </w:rPr>
  </w:style>
  <w:style w:type="paragraph" w:customStyle="1" w:styleId="Prompt">
    <w:name w:val="Prompt"/>
    <w:basedOn w:val="Normal"/>
    <w:qFormat/>
    <w:rsid w:val="00BF7295"/>
    <w:pPr>
      <w:ind w:left="720" w:right="720"/>
    </w:pPr>
    <w:rPr>
      <w:i/>
      <w:iCs/>
    </w:rPr>
  </w:style>
  <w:style w:type="character" w:styleId="FollowedHyperlink">
    <w:name w:val="FollowedHyperlink"/>
    <w:basedOn w:val="DefaultParagraphFont"/>
    <w:uiPriority w:val="99"/>
    <w:semiHidden/>
    <w:unhideWhenUsed/>
    <w:rsid w:val="00A47D9D"/>
    <w:rPr>
      <w:color w:val="96607D" w:themeColor="followedHyperlink"/>
      <w:u w:val="single"/>
    </w:rPr>
  </w:style>
  <w:style w:type="table" w:styleId="GridTable1Light-Accent3">
    <w:name w:val="Grid Table 1 Light Accent 3"/>
    <w:basedOn w:val="TableNormal"/>
    <w:uiPriority w:val="46"/>
    <w:rsid w:val="00007FA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Bullet">
    <w:name w:val="Bullet"/>
    <w:basedOn w:val="Normal"/>
    <w:qFormat/>
    <w:rsid w:val="0015752D"/>
    <w:pPr>
      <w:numPr>
        <w:numId w:val="138"/>
      </w:numPr>
      <w:tabs>
        <w:tab w:val="clear" w:pos="720"/>
      </w:tabs>
      <w:spacing w:after="120"/>
      <w:ind w:left="374" w:hanging="187"/>
      <w:contextualSpacing/>
    </w:pPr>
    <w:rPr>
      <w:b/>
      <w:bCs/>
    </w:rPr>
  </w:style>
  <w:style w:type="character" w:customStyle="1" w:styleId="selected">
    <w:name w:val="selected"/>
    <w:basedOn w:val="DefaultParagraphFont"/>
    <w:rsid w:val="00B21985"/>
  </w:style>
  <w:style w:type="table" w:customStyle="1" w:styleId="TableNormal0">
    <w:name w:val="TableNormal"/>
    <w:rsid w:val="00BB70DB"/>
    <w:pPr>
      <w:spacing w:line="259" w:lineRule="auto"/>
    </w:pPr>
    <w:rPr>
      <w:rFonts w:eastAsiaTheme="minorEastAsia"/>
      <w:kern w:val="0"/>
      <w:sz w:val="22"/>
      <w:szCs w:val="22"/>
      <w:lang w:val="en"/>
      <w14:ligatures w14:val="none"/>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type="character" w:customStyle="1" w:styleId="EndnoteTextChar">
    <w:name w:val="Endnote Text Char"/>
    <w:basedOn w:val="DefaultParagraphFont"/>
    <w:link w:val="EndnoteText"/>
    <w:uiPriority w:val="99"/>
    <w:semiHidden/>
    <w:rsid w:val="00BB70DB"/>
    <w:rPr>
      <w:rFonts w:eastAsiaTheme="minorEastAsia"/>
      <w:kern w:val="0"/>
      <w:sz w:val="20"/>
      <w:szCs w:val="20"/>
      <w:lang w:val="en"/>
      <w14:ligatures w14:val="none"/>
    </w:rPr>
  </w:style>
  <w:style w:type="character" w:styleId="EndnoteReference">
    <w:name w:val="endnote reference"/>
    <w:basedOn w:val="DefaultParagraphFont"/>
    <w:uiPriority w:val="99"/>
    <w:semiHidden/>
    <w:unhideWhenUsed/>
    <w:rsid w:val="00BB70DB"/>
    <w:rPr>
      <w:vertAlign w:val="superscript"/>
    </w:rPr>
  </w:style>
  <w:style w:type="table" w:styleId="GridTable1Light">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B70DB"/>
    <w:pPr>
      <w:spacing w:after="0" w:line="240" w:lineRule="auto"/>
    </w:pPr>
    <w:rPr>
      <w:rFonts w:eastAsiaTheme="minorEastAsia"/>
      <w:kern w:val="0"/>
      <w:sz w:val="22"/>
      <w:szCs w:val="22"/>
      <w:lang w:val="en"/>
      <w14:ligatures w14:val="none"/>
    </w:rPr>
  </w:style>
  <w:style w:type="character" w:styleId="BookTitle">
    <w:name w:val="Book Title"/>
    <w:basedOn w:val="DefaultParagraphFont"/>
    <w:uiPriority w:val="33"/>
    <w:qFormat/>
    <w:rsid w:val="00BB70DB"/>
    <w:rPr>
      <w:b/>
      <w:bCs/>
      <w:smallCaps/>
      <w:spacing w:val="7"/>
    </w:rPr>
  </w:style>
  <w:style w:type="paragraph" w:customStyle="1" w:styleId="Footnote">
    <w:name w:val="Footnote"/>
    <w:basedOn w:val="Normal"/>
    <w:qFormat/>
    <w:rsid w:val="00F679EF"/>
    <w:pPr>
      <w:spacing w:after="120" w:line="240" w:lineRule="auto"/>
      <w:ind w:left="86" w:hanging="86"/>
    </w:pPr>
    <w:rPr>
      <w:sz w:val="20"/>
      <w:szCs w:val="22"/>
    </w:rPr>
  </w:style>
  <w:style w:type="table" w:styleId="GridTable1Light-Accent4">
    <w:name w:val="Grid Table 1 Light Accent 4"/>
    <w:basedOn w:val="TableNormal"/>
    <w:uiPriority w:val="46"/>
    <w:rsid w:val="00E005C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ulletNumbeered">
    <w:name w:val="Bullet Numbeered"/>
    <w:basedOn w:val="Normal"/>
    <w:qFormat/>
    <w:rsid w:val="008041A4"/>
    <w:pPr>
      <w:numPr>
        <w:numId w:val="200"/>
      </w:numPr>
      <w:tabs>
        <w:tab w:val="clear" w:pos="720"/>
      </w:tabs>
      <w:spacing w:line="240" w:lineRule="auto"/>
      <w:ind w:left="360" w:hanging="270"/>
      <w:textAlignment w:val="baseline"/>
    </w:pPr>
    <w:rPr>
      <w:rFonts w:eastAsia="Times New Roman" w:cs="Arial"/>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image" Id="rId43" Target="media/rId43.jpg" /><Relationship Type="http://schemas.openxmlformats.org/officeDocument/2006/relationships/image" Id="rId71" Target="media/rId71.jpg" /><Relationship Type="http://schemas.openxmlformats.org/officeDocument/2006/relationships/image" Id="rId39" Target="media/rId39.jpg" /><Relationship Type="http://schemas.openxmlformats.org/officeDocument/2006/relationships/image" Id="rId79" Target="media/rId79.jpg" /><Relationship Type="http://schemas.openxmlformats.org/officeDocument/2006/relationships/image" Id="rId77" Target="media/rId77.jpg" /><Relationship Type="http://schemas.openxmlformats.org/officeDocument/2006/relationships/image" Id="rId83" Target="media/rId83.jpg" /><Relationship Type="http://schemas.openxmlformats.org/officeDocument/2006/relationships/image" Id="rId81" Target="media/rId81.jpg" /><Relationship Type="http://schemas.openxmlformats.org/officeDocument/2006/relationships/image" Id="rId85" Target="media/rId85.jpg" /><Relationship Type="http://schemas.openxmlformats.org/officeDocument/2006/relationships/image" Id="rId87" Target="media/rId87.jpg" /><Relationship Type="http://schemas.openxmlformats.org/officeDocument/2006/relationships/image" Id="rId146" Target="media/rId146.jpg" /><Relationship Type="http://schemas.openxmlformats.org/officeDocument/2006/relationships/image" Id="rId147" Target="media/rId147.jpg" /><Relationship Type="http://schemas.openxmlformats.org/officeDocument/2006/relationships/image" Id="rId89" Target="media/rId89.jpg" /><Relationship Type="http://schemas.openxmlformats.org/officeDocument/2006/relationships/image" Id="rId148" Target="media/rId148.jpg" /><Relationship Type="http://schemas.openxmlformats.org/officeDocument/2006/relationships/image" Id="rId91" Target="media/rId91.jpg" /><Relationship Type="http://schemas.openxmlformats.org/officeDocument/2006/relationships/image" Id="rId99" Target="media/rId99.jpg" /><Relationship Type="http://schemas.openxmlformats.org/officeDocument/2006/relationships/image" Id="rId93" Target="media/rId93.jpg" /><Relationship Type="http://schemas.openxmlformats.org/officeDocument/2006/relationships/image" Id="rId95" Target="media/rId95.jpg" /><Relationship Type="http://schemas.openxmlformats.org/officeDocument/2006/relationships/image" Id="rId97" Target="media/rId97.jpg" /><Relationship Type="http://schemas.openxmlformats.org/officeDocument/2006/relationships/image" Id="rId101" Target="media/rId101.jpg" /><Relationship Type="http://schemas.openxmlformats.org/officeDocument/2006/relationships/image" Id="rId149" Target="media/rId149.jpg" /><Relationship Type="http://schemas.openxmlformats.org/officeDocument/2006/relationships/image" Id="rId103" Target="media/rId103.jpg" /><Relationship Type="http://schemas.openxmlformats.org/officeDocument/2006/relationships/image" Id="rId152" Target="media/rId152.jpg" /><Relationship Type="http://schemas.openxmlformats.org/officeDocument/2006/relationships/image" Id="rId151" Target="media/rId151.jpg" /><Relationship Type="http://schemas.openxmlformats.org/officeDocument/2006/relationships/image" Id="rId150" Target="media/rId150.jpg" /><Relationship Type="http://schemas.openxmlformats.org/officeDocument/2006/relationships/image" Id="rId105" Target="media/rId105.jpg" /><Relationship Type="http://schemas.openxmlformats.org/officeDocument/2006/relationships/image" Id="rId107" Target="media/rId107.jpg" /><Relationship Type="http://schemas.openxmlformats.org/officeDocument/2006/relationships/image" Id="rId111" Target="media/rId111.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56" Target="media/rId156.jpg" /><Relationship Type="http://schemas.openxmlformats.org/officeDocument/2006/relationships/image" Id="rId121" Target="media/rId121.jpg" /><Relationship Type="http://schemas.openxmlformats.org/officeDocument/2006/relationships/image" Id="rId115" Target="media/rId115.jpg" /><Relationship Type="http://schemas.openxmlformats.org/officeDocument/2006/relationships/image" Id="rId153" Target="media/rId153.jpg" /><Relationship Type="http://schemas.openxmlformats.org/officeDocument/2006/relationships/image" Id="rId154" Target="media/rId154.jpg" /><Relationship Type="http://schemas.openxmlformats.org/officeDocument/2006/relationships/image" Id="rId119" Target="media/rId119.jpg" /><Relationship Type="http://schemas.openxmlformats.org/officeDocument/2006/relationships/image" Id="rId117" Target="media/rId117.jpg" /><Relationship Type="http://schemas.openxmlformats.org/officeDocument/2006/relationships/image" Id="rId155" Target="media/rId155.jpg" /><Relationship Type="http://schemas.openxmlformats.org/officeDocument/2006/relationships/image" Id="rId123" Target="media/rId123.jpg" /><Relationship Type="http://schemas.openxmlformats.org/officeDocument/2006/relationships/image" Id="rId125" Target="media/rId125.jpg" /><Relationship Type="http://schemas.openxmlformats.org/officeDocument/2006/relationships/image" Id="rId128" Target="media/rId128.jpg" /><Relationship Type="http://schemas.openxmlformats.org/officeDocument/2006/relationships/image" Id="rId157" Target="media/rId157.jpg" /><Relationship Type="http://schemas.openxmlformats.org/officeDocument/2006/relationships/image" Id="rId158" Target="media/rId158.jpg" /><Relationship Type="http://schemas.openxmlformats.org/officeDocument/2006/relationships/image" Id="rId159" Target="media/rId159.jpg" /><Relationship Type="http://schemas.openxmlformats.org/officeDocument/2006/relationships/image" Id="rId130" Target="media/rId130.jpg" /><Relationship Type="http://schemas.openxmlformats.org/officeDocument/2006/relationships/image" Id="rId132" Target="media/rId132.jp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61" Target="media/rId161.jpg" /><Relationship Type="http://schemas.openxmlformats.org/officeDocument/2006/relationships/image" Id="rId160" Target="media/rId160.jpg" /><Relationship Type="http://schemas.openxmlformats.org/officeDocument/2006/relationships/image" Id="rId139" Target="media/rId139.jpg" /><Relationship Type="http://schemas.openxmlformats.org/officeDocument/2006/relationships/image" Id="rId141" Target="media/rId141.jpg" /><Relationship Type="http://schemas.openxmlformats.org/officeDocument/2006/relationships/image" Id="rId162" Target="media/rId162.jpg" /><Relationship Type="http://schemas.openxmlformats.org/officeDocument/2006/relationships/image" Id="rId143" Target="media/rId143.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2026-06-02T15:22:44Z</dcterms:created>
  <dcterms:modified xsi:type="dcterms:W3CDTF">2026-06-02T15:22:44Z</dcterms:modified>
</cp:coreProperties>
</file>

<file path=docProps/custom.xml><?xml version="1.0" encoding="utf-8"?>
<Properties xmlns="http://schemas.openxmlformats.org/officeDocument/2006/custom-properties" xmlns:vt="http://schemas.openxmlformats.org/officeDocument/2006/docPropsVTypes"/>
</file>