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X6279b45c721d72a96fe4e0e3f3bdd507b07992c"/>
      <w:r>
        <w:t xml:space="preserve">Prologue — A Note on How This Book Was Written</w:t>
      </w:r>
      <w:bookmarkEnd w:id="20"/>
    </w:p>
    <w:p>
      <w:pPr>
        <w:pStyle w:val="FirstParagraph"/>
      </w:pPr>
      <w:r>
        <w:t xml:space="preserve">[DRAFT v2.0 — AI first pass; awaiting Dave’s voice pass]</w:t>
      </w:r>
    </w:p>
    <w:p>
      <w:r>
        <w:pict>
          <v:rect style="width:0;height:1.5pt" o:hralign="center" o:hrstd="t" o:hr="t"/>
        </w:pict>
      </w:r>
    </w:p>
    <w:p>
      <w:pPr>
        <w:pStyle w:val="FirstParagraph"/>
      </w:pPr>
      <w:r>
        <w:t xml:space="preserve">There is a fact about this book the reader should know up front, because it bears on what the book claims and on what the book is for.</w:t>
      </w:r>
    </w:p>
    <w:p>
      <w:pPr>
        <w:pStyle w:val="BodyText"/>
      </w:pPr>
      <w:r>
        <w:t xml:space="preserve">The pages that follow place a 1785 surveying ordinance next to a 1907 governor’s message next to a 1928 New York fiduciary opinion next to a 1994 Utah statute next to a court filing from this past spring. They draw on law, history, public finance, forestry, and education policy — disciplines that do not normally talk to each other — across timescales longer than any scholar’s working life. Until a few years ago, no one person working alone could have held that much in mind at once. I know, because I tried.</w:t>
      </w:r>
    </w:p>
    <w:p>
      <w:pPr>
        <w:pStyle w:val="BodyText"/>
      </w:pPr>
      <w:r>
        <w:t xml:space="preserve">This book exists because biological intelligence and artificial intelligence have begun to work together in a way that holds thousands of pages in working memory at once and synthesizes across them.</w:t>
      </w:r>
    </w:p>
    <w:p>
      <w:pPr>
        <w:pStyle w:val="BodyText"/>
      </w:pPr>
      <w:r>
        <w:t xml:space="preserve">I want to be careful about how I describe that. The temptation, when one writes a book with an AI collaborator, is to oversell the partner —</w:t>
      </w:r>
      <w:r>
        <w:t xml:space="preserve"> </w:t>
      </w:r>
      <w:r>
        <w:rPr>
          <w:i/>
        </w:rPr>
        <w:t xml:space="preserve">the machine did it</w:t>
      </w:r>
      <w:r>
        <w:t xml:space="preserve"> </w:t>
      </w:r>
      <w:r>
        <w:t xml:space="preserve">— or to undersell it —</w:t>
      </w:r>
      <w:r>
        <w:t xml:space="preserve"> </w:t>
      </w:r>
      <w:r>
        <w:rPr>
          <w:i/>
        </w:rPr>
        <w:t xml:space="preserve">I did it, with some typing help</w:t>
      </w:r>
      <w:r>
        <w:t xml:space="preserve">. Neither is honest. I spent my career in information systems and my retirement on a tree farm, and the truest comparison I have found comes from the woods. The new tool is the chainsaw where there used to be a two-man crosscut saw. It lets the same forester work a different scale of woodlot. The forester’s judgment about what to do with the woodlot has not been replaced. The reach of the forester’s day has changed.</w:t>
      </w:r>
    </w:p>
    <w:p>
      <w:pPr>
        <w:pStyle w:val="BodyText"/>
      </w:pPr>
      <w:r>
        <w:t xml:space="preserve">So the division of labor in these pages is plain. The judgments are mine: what matters, what is fair, what is worth fighting for, and every place where the book says</w:t>
      </w:r>
      <w:r>
        <w:t xml:space="preserve"> </w:t>
      </w:r>
      <w:r>
        <w:t xml:space="preserve">“</w:t>
      </w:r>
      <w:r>
        <w:t xml:space="preserve">I.</w:t>
      </w:r>
      <w:r>
        <w:t xml:space="preserve">”</w:t>
      </w:r>
      <w:r>
        <w:t xml:space="preserve"> </w:t>
      </w:r>
      <w:r>
        <w:t xml:space="preserve">The reach is the partnership’s: the search across two hundred and forty years of records, the cross-checking of figures against sources, the discipline of keeping a long argument consistent with itself. Where the book asserts a fact, a human checked it against the primary record before it was allowed to stand. Where a fact could not be checked in time, it was cut.</w:t>
      </w:r>
    </w:p>
    <w:p>
      <w:pPr>
        <w:pStyle w:val="BodyText"/>
      </w:pPr>
      <w:r>
        <w:t xml:space="preserve">There is one more reason to tell you this, beyond honesty. This book argues that forever promises survive only when somebody keeps watch — and that keeping watch over a complex, long-lived institution used to cost more time and training than ordinary citizens could pay. That cost has now collapsed. A retired tree farmer with these tools can do in an afternoon what once took a state archivist a month. The way this book was made is a small, working preview of the watchfulness it argues for. The framers of the promise you are about to read could not build that watch. We can.</w:t>
      </w:r>
    </w:p>
    <w:p>
      <w:pPr>
        <w:pStyle w:val="BodyText"/>
      </w:pPr>
      <w:r>
        <w:t xml:space="preserve">The end of the work has not moved: the schoolchildren a single sentence was written for in 1785, and the people now drafting the forever promises of the next two centuries. The means changed. The purpose did not.</w:t>
      </w:r>
    </w:p>
    <w:p>
      <w:pPr>
        <w:pStyle w:val="BodyText"/>
      </w:pPr>
      <w:r>
        <w:t xml:space="preserve">— D.S.</w:t>
      </w:r>
    </w:p>
    <w:p>
      <w:r>
        <w:pict>
          <v:rect style="width:0;height:1.5pt" o:hralign="center" o:hrstd="t" o:hr="t"/>
        </w:pict>
      </w:r>
    </w:p>
    <w:p>
      <w:pPr>
        <w:pStyle w:val="FirstParagraph"/>
      </w:pPr>
      <w:r>
        <w:rPr>
          <w:i/>
        </w:rPr>
        <w:t xml:space="preserve">Sources for this prologue: the author’s working records of the book’s construction, 2024–2026. The fiduciary opinion referenced is Cardozo’s in</w:t>
      </w:r>
      <w:r>
        <w:t xml:space="preserve"> </w:t>
      </w:r>
      <w:r>
        <w:t xml:space="preserve">Meinhard v. Salmon</w:t>
      </w:r>
      <w:r>
        <w:t xml:space="preserve"> </w:t>
      </w:r>
      <w:r>
        <w:rPr>
          <w:i/>
        </w:rPr>
        <w:t xml:space="preserve">(1928), which returns in Chapter 4; the 1907 governor’s message and the 1994 Utah statute return in Chapters 1 and 3.</w:t>
      </w:r>
    </w:p>
    <w:p>
      <w:r>
        <w:br w:type="page"/>
      </w:r>
    </w:p>
    <w:p>
      <w:pPr>
        <w:pStyle w:val="Heading1"/>
      </w:pPr>
      <w:bookmarkStart w:id="21" w:name="chapter-1-the-forever-promise"/>
      <w:r>
        <w:t xml:space="preserve">Chapter 1 — The Forever Promise</w:t>
      </w:r>
      <w:bookmarkEnd w:id="21"/>
    </w:p>
    <w:p>
      <w:pPr>
        <w:pStyle w:val="FirstParagraph"/>
      </w:pPr>
      <w:r>
        <w:t xml:space="preserve">[DRAFT v2.0 — AI first pass; awaiting Dave’s voice pass]</w:t>
      </w:r>
    </w:p>
    <w:p>
      <w:r>
        <w:pict>
          <v:rect style="width:0;height:1.5pt" o:hralign="center" o:hrstd="t" o:hr="t"/>
        </w:pict>
      </w:r>
    </w:p>
    <w:p>
      <w:pPr>
        <w:pStyle w:val="FirstParagraph"/>
      </w:pPr>
      <w:r>
        <w:t xml:space="preserve">In 1785, a Congress that governed a country with no constitution, no president, and almost no money made a promise to children who would not be born for two hundred years.</w:t>
      </w:r>
    </w:p>
    <w:p>
      <w:pPr>
        <w:pStyle w:val="BodyText"/>
      </w:pPr>
      <w:r>
        <w:t xml:space="preserve">The promise was one sentence long. In every township of the new western lands — every square of the grid the surveyors were about to draw across the continent — one square mile would be reserved</w:t>
      </w:r>
      <w:r>
        <w:t xml:space="preserve"> </w:t>
      </w:r>
      <w:r>
        <w:t xml:space="preserve">“</w:t>
      </w:r>
      <w:r>
        <w:t xml:space="preserve">for the maintenance of public schools.</w:t>
      </w:r>
      <w:r>
        <w:t xml:space="preserve">”</w:t>
      </w:r>
      <w:r>
        <w:t xml:space="preserve"> </w:t>
      </w:r>
      <w:r>
        <w:t xml:space="preserve">Not for this year’s schools. For the schools, forever. As each new state entered the Union, it accepted that land, and the promise that came with it, as a condition of statehood. Hold this in trust, the bargain ran. It belongs to the schoolchildren — the ones alive now, and all the ones to come.</w:t>
      </w:r>
    </w:p>
    <w:p>
      <w:pPr>
        <w:pStyle w:val="BodyText"/>
      </w:pPr>
      <w:r>
        <w:t xml:space="preserve">Two hundred and forty years later, we know how that promise fared, because it became, without anyone intending it, the longest-running experiment in American history: fifty states, every kind of economy and politics a republic can produce, all administering the same forever promise. The experiment ran long enough to return results.</w:t>
      </w:r>
    </w:p>
    <w:p>
      <w:pPr>
        <w:pStyle w:val="BodyText"/>
      </w:pPr>
      <w:r>
        <w:t xml:space="preserve">Here is what it returned. The promise held in the places that did two things: wrote the trustee’s duties into law a court could enforce, and kept people watching. One state — Utah — did both, lost its way, and fought its way back; today every school there receives its share of the trust in plain view, and the people of Utah would notice within the year if anyone reached for it.</w:t>
      </w:r>
    </w:p>
    <w:p>
      <w:pPr>
        <w:pStyle w:val="BodyText"/>
      </w:pPr>
      <w:r>
        <w:t xml:space="preserve">Everywhere else, the promise failed in the same six ways, so reliably you can use the list as a checklist. The children could not sue, and no one could agree on who else might. The trustee’s duties, though real, were never written where a judge could read them. The state’s own lawyer defended the state against the children. No one ever sent the beneficiaries a statement. Courts that found wrongdoing discovered they had no power to order the money back. And the trustees themselves were never once taught that they were trustees.</w:t>
      </w:r>
    </w:p>
    <w:p>
      <w:pPr>
        <w:pStyle w:val="BodyText"/>
      </w:pPr>
      <w:r>
        <w:t xml:space="preserve">Notice what is not on that list: villains. The promise was not murdered. It was neglected to death, by ordinary people inside a structure that made neglect the path of least resistance.</w:t>
      </w:r>
    </w:p>
    <w:p>
      <w:pPr>
        <w:pStyle w:val="BodyText"/>
      </w:pPr>
      <w:r>
        <w:t xml:space="preserve">This book is about the repair — a law, drafted and ready, that says nothing new and changes everything, because it takes duties that have existed all along and finally makes them enforceable. And it is about why the repair cannot wait. Right now, in this decade, we are writing charters for a new generation of forever promises — funds and trusts meant to carry wealth, knowledge, and power across centuries. Their architects are designing in the dark. The lights, as it happens, have been on for two hundred and forty years.</w:t>
      </w:r>
    </w:p>
    <w:p>
      <w:pPr>
        <w:pStyle w:val="BodyText"/>
      </w:pPr>
      <w:r>
        <w:t xml:space="preserve">But first, the promise itself. You cannot understand how a thing breaks until you understand what was built.</w:t>
      </w:r>
    </w:p>
    <w:p>
      <w:pPr>
        <w:pStyle w:val="Heading2"/>
      </w:pPr>
      <w:bookmarkStart w:id="22" w:name="one-sentence-in-a-surveying-law"/>
      <w:r>
        <w:t xml:space="preserve">One sentence in a surveying law</w:t>
      </w:r>
      <w:bookmarkEnd w:id="22"/>
    </w:p>
    <w:p>
      <w:pPr>
        <w:pStyle w:val="FirstParagraph"/>
      </w:pPr>
      <w:r>
        <w:t xml:space="preserve">The Land Ordinance of May 1785 is mostly a technical document. It tells surveyors how to lay a grid over the continent: townships six miles square, each cut into thirty-six numbered sections of one square mile. Buried in the instructions is the sentence that matters. Section sixteen of every township — a parcel near the center of the grid — was</w:t>
      </w:r>
      <w:r>
        <w:t xml:space="preserve"> </w:t>
      </w:r>
      <w:r>
        <w:t xml:space="preserve">“</w:t>
      </w:r>
      <w:r>
        <w:t xml:space="preserve">reserved for the maintenance of public schools.</w:t>
      </w:r>
      <w:r>
        <w:t xml:space="preserve">”</w:t>
      </w:r>
    </w:p>
    <w:p>
      <w:pPr>
        <w:pStyle w:val="BodyText"/>
      </w:pPr>
      <w:r>
        <w:t xml:space="preserve">Why number sixteen? No floor speech survives to tell us. The likely answer is geography. In a six-by-six grid, lot sixteen sits roughly in the middle, so every settler, however far out, could claim the schoolhouse land was reachable. Whatever the reason, the choice tells you something about the men who made it. They were not endowing an idea. They were reserving a particular square mile of particular ground, in every township the country would ever survey, before most of those townships had a single cabin on them.</w:t>
      </w:r>
    </w:p>
    <w:p>
      <w:pPr>
        <w:pStyle w:val="BodyText"/>
      </w:pPr>
      <w:r>
        <w:t xml:space="preserve">That is an unusual way to build an endowment. Most endowments are funds — pools of money in somebody’s custody, governable from a single chair. This one was written into the land itself. As the surveyors finished each township, the school parcel was already on the map. The endowment grew automatically as the country grew. The map of the country was the map of the gift.</w:t>
      </w:r>
    </w:p>
    <w:p>
      <w:pPr>
        <w:pStyle w:val="BodyText"/>
      </w:pPr>
      <w:r>
        <w:t xml:space="preserve">It also meant the gift was visible. The sections were not numbers in a ledger; they were pieces of places, held for particular schools. People organize around things they can see. That fact will matter enormously, much later in this story.</w:t>
      </w:r>
    </w:p>
    <w:p>
      <w:pPr>
        <w:pStyle w:val="Heading2"/>
      </w:pPr>
      <w:bookmarkStart w:id="23" w:name="forever-encouraged"/>
      <w:r>
        <w:t xml:space="preserve">“</w:t>
      </w:r>
      <w:r>
        <w:t xml:space="preserve">Forever encouraged</w:t>
      </w:r>
      <w:r>
        <w:t xml:space="preserve">”</w:t>
      </w:r>
      <w:bookmarkEnd w:id="23"/>
    </w:p>
    <w:p>
      <w:pPr>
        <w:pStyle w:val="FirstParagraph"/>
      </w:pPr>
      <w:r>
        <w:t xml:space="preserve">The 1785 ordinance dedicated the asset. Two years later, Congress declared the principle. The Northwest Ordinance of July 1787 contained six</w:t>
      </w:r>
      <w:r>
        <w:t xml:space="preserve"> </w:t>
      </w:r>
      <w:r>
        <w:t xml:space="preserve">“</w:t>
      </w:r>
      <w:r>
        <w:t xml:space="preserve">articles of compact</w:t>
      </w:r>
      <w:r>
        <w:t xml:space="preserve">”</w:t>
      </w:r>
      <w:r>
        <w:t xml:space="preserve"> </w:t>
      </w:r>
      <w:r>
        <w:t xml:space="preserve">between the original states and the people of the new territory, declared to</w:t>
      </w:r>
      <w:r>
        <w:t xml:space="preserve"> </w:t>
      </w:r>
      <w:r>
        <w:t xml:space="preserve">“</w:t>
      </w:r>
      <w:r>
        <w:t xml:space="preserve">forever remain unalterable, unless by common consent.</w:t>
      </w:r>
      <w:r>
        <w:t xml:space="preserve">”</w:t>
      </w:r>
      <w:r>
        <w:t xml:space="preserve"> </w:t>
      </w:r>
      <w:r>
        <w:t xml:space="preserve">The third article reads:</w:t>
      </w:r>
      <w:r>
        <w:t xml:space="preserve"> </w:t>
      </w:r>
      <w:r>
        <w:t xml:space="preserve">“</w:t>
      </w:r>
      <w:r>
        <w:t xml:space="preserve">Religion, morality, and knowledge being necessary to good government and the happiness of mankind, schools and the means of education shall forever be encouraged.</w:t>
      </w:r>
      <w:r>
        <w:t xml:space="preserve">”</w:t>
      </w:r>
    </w:p>
    <w:p>
      <w:pPr>
        <w:pStyle w:val="BodyText"/>
      </w:pPr>
      <w:r>
        <w:t xml:space="preserve">Read that sentence the way a lawyer would. The other articles use hard verbs — no person</w:t>
      </w:r>
      <w:r>
        <w:t xml:space="preserve"> </w:t>
      </w:r>
      <w:r>
        <w:rPr>
          <w:i/>
        </w:rPr>
        <w:t xml:space="preserve">shall ever be molested</w:t>
      </w:r>
      <w:r>
        <w:t xml:space="preserve"> </w:t>
      </w:r>
      <w:r>
        <w:t xml:space="preserve">for worship; legislatures</w:t>
      </w:r>
      <w:r>
        <w:t xml:space="preserve"> </w:t>
      </w:r>
      <w:r>
        <w:rPr>
          <w:i/>
        </w:rPr>
        <w:t xml:space="preserve">shall never interfere</w:t>
      </w:r>
      <w:r>
        <w:t xml:space="preserve"> </w:t>
      </w:r>
      <w:r>
        <w:t xml:space="preserve">with federal land sales; there</w:t>
      </w:r>
      <w:r>
        <w:t xml:space="preserve"> </w:t>
      </w:r>
      <w:r>
        <w:rPr>
          <w:i/>
        </w:rPr>
        <w:t xml:space="preserve">shall be neither</w:t>
      </w:r>
      <w:r>
        <w:t xml:space="preserve"> </w:t>
      </w:r>
      <w:r>
        <w:t xml:space="preserve">slavery nor involuntary servitude. Article Three alone says</w:t>
      </w:r>
      <w:r>
        <w:t xml:space="preserve"> </w:t>
      </w:r>
      <w:r>
        <w:rPr>
          <w:i/>
        </w:rPr>
        <w:t xml:space="preserve">encouraged</w:t>
      </w:r>
      <w:r>
        <w:t xml:space="preserve">. It states a permanent national commitment and then hands the machinery of keeping it to someone else — to the land reservation of 1785, and to the bargains that would be struck with each new state at its admission.</w:t>
      </w:r>
    </w:p>
    <w:p>
      <w:pPr>
        <w:pStyle w:val="BodyText"/>
      </w:pPr>
      <w:r>
        <w:t xml:space="preserve">The bargain got its teeth in Ohio. When Congress offered the new state its school sections in 1802, the Ohio convention did not simply accept. It asked for stronger words: that the school lands be vested in the legislature</w:t>
      </w:r>
      <w:r>
        <w:t xml:space="preserve"> </w:t>
      </w:r>
      <w:r>
        <w:rPr>
          <w:i/>
        </w:rPr>
        <w:t xml:space="preserve">in trust</w:t>
      </w:r>
      <w:r>
        <w:t xml:space="preserve">. Congress agreed, and in the implementing act of 1803 added a phrase of its own — the lands were granted in trust for the use of schools</w:t>
      </w:r>
      <w:r>
        <w:t xml:space="preserve"> </w:t>
      </w:r>
      <w:r>
        <w:t xml:space="preserve">“</w:t>
      </w:r>
      <w:r>
        <w:t xml:space="preserve">and for no other use, intent or purpose whatever.</w:t>
      </w:r>
      <w:r>
        <w:t xml:space="preserve">”</w:t>
      </w:r>
    </w:p>
    <w:p>
      <w:pPr>
        <w:pStyle w:val="BodyText"/>
      </w:pPr>
      <w:r>
        <w:t xml:space="preserve">That phrase became the load-bearing beam of the whole structure. It says the legislature holds the land but does not own it. It says there is no exception for hard budget years, popular causes, or good intentions. Every state admitted afterward took its school lands under some version of the same bargain, and the language only got stronger with time. The United States Supreme Court confirmed what the words meant in</w:t>
      </w:r>
      <w:r>
        <w:t xml:space="preserve"> </w:t>
      </w:r>
      <w:r>
        <w:rPr>
          <w:i/>
        </w:rPr>
        <w:t xml:space="preserve">Cooper v. Roberts</w:t>
      </w:r>
      <w:r>
        <w:t xml:space="preserve"> </w:t>
      </w:r>
      <w:r>
        <w:t xml:space="preserve">in 1855: the school-land grants create real trusts, imposing</w:t>
      </w:r>
      <w:r>
        <w:t xml:space="preserve"> </w:t>
      </w:r>
      <w:r>
        <w:t xml:space="preserve">“</w:t>
      </w:r>
      <w:r>
        <w:t xml:space="preserve">a sacred obligation</w:t>
      </w:r>
      <w:r>
        <w:t xml:space="preserve">”</w:t>
      </w:r>
      <w:r>
        <w:t xml:space="preserve"> </w:t>
      </w:r>
      <w:r>
        <w:t xml:space="preserve">on each state’s public faith. A hundred and thirty-one years later, in</w:t>
      </w:r>
      <w:r>
        <w:t xml:space="preserve"> </w:t>
      </w:r>
      <w:r>
        <w:rPr>
          <w:i/>
        </w:rPr>
        <w:t xml:space="preserve">Papasan v. Allain</w:t>
      </w:r>
      <w:r>
        <w:t xml:space="preserve">, the Court was still describing the same lands the same way: property held in trust for the benefit of the public schools.</w:t>
      </w:r>
    </w:p>
    <w:p>
      <w:pPr>
        <w:pStyle w:val="BodyText"/>
      </w:pPr>
      <w:r>
        <w:t xml:space="preserve">The doctrine has not moved in a century and a half. The land has not moved. The states moved. That is the story of Part I.</w:t>
      </w:r>
    </w:p>
    <w:p>
      <w:pPr>
        <w:pStyle w:val="Heading2"/>
      </w:pPr>
      <w:bookmarkStart w:id="24" w:name="a-promise-to-people-who-cannot-collect"/>
      <w:r>
        <w:t xml:space="preserve">A promise to people who cannot collect</w:t>
      </w:r>
      <w:bookmarkEnd w:id="24"/>
    </w:p>
    <w:p>
      <w:pPr>
        <w:pStyle w:val="FirstParagraph"/>
      </w:pPr>
      <w:r>
        <w:t xml:space="preserve">Now look at the strangest feature of the design — the one that makes the school trust worth a book in an age of artificial intelligence and perpetual funds.</w:t>
      </w:r>
    </w:p>
    <w:p>
      <w:pPr>
        <w:pStyle w:val="BodyText"/>
      </w:pPr>
      <w:r>
        <w:t xml:space="preserve">The founders did not believe in disinterested generosity as a political force. John Adams wrote in 1776 that power always follows property, as surely as action equals reaction in mechanics. The men who wrote the school promise were, most of them, large holders of land, and they understood land as the medium of political existence. By their own theory, they knew exactly what they were doing in 1785: they were giving a share of the country’s most secure asset to a class of people who would never hold power over it. Children cannot vote. Children cannot lobby. Children cannot sue. And the children of 2026, and 2126 — the ones the word</w:t>
      </w:r>
      <w:r>
        <w:t xml:space="preserve"> </w:t>
      </w:r>
      <w:r>
        <w:rPr>
          <w:i/>
        </w:rPr>
        <w:t xml:space="preserve">forever</w:t>
      </w:r>
      <w:r>
        <w:t xml:space="preserve"> </w:t>
      </w:r>
      <w:r>
        <w:t xml:space="preserve">was for — could not even be seen from where the framers stood.</w:t>
      </w:r>
    </w:p>
    <w:p>
      <w:pPr>
        <w:pStyle w:val="BodyText"/>
      </w:pPr>
      <w:r>
        <w:t xml:space="preserve">How do you keep a promise to people who cannot collect on it?</w:t>
      </w:r>
    </w:p>
    <w:p>
      <w:pPr>
        <w:pStyle w:val="BodyText"/>
      </w:pPr>
      <w:r>
        <w:t xml:space="preserve">The eighteenth century had exactly one legal instrument built for that job: the trust. English courts of equity had spent two centuries hardening it for precisely this situation — property held by one party for the benefit of another who is absent, young, scattered, or not yet born. A trustee who diverts the property breaches the trust on the face of the diversion; there is no political-judgment excuse. And for a charitable trust, uniquely, no individual beneficiary needed to stand in court: the state’s attorney general would appear on the public’s behalf. The schoolchildren of a township not yet settled cannot sue. The attorney general can sue for them.</w:t>
      </w:r>
    </w:p>
    <w:p>
      <w:pPr>
        <w:pStyle w:val="BodyText"/>
      </w:pPr>
      <w:r>
        <w:t xml:space="preserve">So the framers reached for the most rigid device known to their law and locked the promise inside it. It was a remarkable piece of engineering for its century. It also carried, from its first day, a structural bet: that someone — an attorney general, a court, an officer under oath — would actually show up to enforce it, in 1885, in 1925, in 1985, in 2025, generation after generation, on behalf of beneficiaries who could never show up for themselves.</w:t>
      </w:r>
    </w:p>
    <w:p>
      <w:pPr>
        <w:pStyle w:val="BodyText"/>
      </w:pPr>
      <w:r>
        <w:t xml:space="preserve">Whether that bet paid is the subject of the next six chapters. The short answer is: rarely, late, and only where ordinary people forced the issue.</w:t>
      </w:r>
    </w:p>
    <w:p>
      <w:pPr>
        <w:pStyle w:val="Heading2"/>
      </w:pPr>
      <w:bookmarkStart w:id="25" w:name="the-charge-that-travels-with-the-gift"/>
      <w:r>
        <w:t xml:space="preserve">The charge that travels with the gift</w:t>
      </w:r>
      <w:bookmarkEnd w:id="25"/>
    </w:p>
    <w:p>
      <w:pPr>
        <w:pStyle w:val="FirstParagraph"/>
      </w:pPr>
      <w:r>
        <w:t xml:space="preserve">One objection deserves an answer before we go on, because it is the objection every raider of the trust has reached for since. What right does 1785 have to bind 2026? Thomas Jefferson himself raised it, writing to James Madison from Paris in 1789:</w:t>
      </w:r>
      <w:r>
        <w:t xml:space="preserve"> </w:t>
      </w:r>
      <w:r>
        <w:t xml:space="preserve">“</w:t>
      </w:r>
      <w:r>
        <w:t xml:space="preserve">the earth belongs in usufruct to the living,</w:t>
      </w:r>
      <w:r>
        <w:t xml:space="preserve">”</w:t>
      </w:r>
      <w:r>
        <w:t xml:space="preserve"> </w:t>
      </w:r>
      <w:r>
        <w:t xml:space="preserve">he argued — each generation inherits the world fresh, and the dead have no power over it. Read literally, Jefferson’s principle would dissolve the school trust at the border of every generation.</w:t>
      </w:r>
    </w:p>
    <w:p>
      <w:pPr>
        <w:pStyle w:val="BodyText"/>
      </w:pPr>
      <w:r>
        <w:t xml:space="preserve">Madison’s reply, drafted carefully over a winter, is the answer the whole structure rests on. The living, he pointed out, do not actually inherit the earth in its natural state. They inherit the</w:t>
      </w:r>
      <w:r>
        <w:t xml:space="preserve"> </w:t>
      </w:r>
      <w:r>
        <w:rPr>
          <w:i/>
        </w:rPr>
        <w:t xml:space="preserve">improvements</w:t>
      </w:r>
      <w:r>
        <w:t xml:space="preserve"> </w:t>
      </w:r>
      <w:r>
        <w:t xml:space="preserve">the dead have made — the surveys, the roads, the towns, the institutions — and</w:t>
      </w:r>
      <w:r>
        <w:t xml:space="preserve"> </w:t>
      </w:r>
      <w:r>
        <w:t xml:space="preserve">“</w:t>
      </w:r>
      <w:r>
        <w:t xml:space="preserve">the improvements made by the dead form a charge against the living who take the benefit of them.</w:t>
      </w:r>
      <w:r>
        <w:t xml:space="preserve">”</w:t>
      </w:r>
      <w:r>
        <w:t xml:space="preserve"> </w:t>
      </w:r>
      <w:r>
        <w:t xml:space="preserve">You may decline the inheritance. You may not take the inheritance and refuse the charge that came with it.</w:t>
      </w:r>
    </w:p>
    <w:p>
      <w:pPr>
        <w:pStyle w:val="BodyText"/>
      </w:pPr>
      <w:r>
        <w:t xml:space="preserve">The school trust is the cleanest application of Madison’s logic ever written into American ground. Every generation since 1785 has taken up the survey, the secured titles, the settled townships — and the square mile in each one that was never theirs to spend. Edmund Burke, writing in the same months as Madison, put the same idea in moral language: society is a partnership</w:t>
      </w:r>
      <w:r>
        <w:t xml:space="preserve"> </w:t>
      </w:r>
      <w:r>
        <w:t xml:space="preserve">“</w:t>
      </w:r>
      <w:r>
        <w:t xml:space="preserve">between those who are living, those who are dead, and those who are to be born.</w:t>
      </w:r>
      <w:r>
        <w:t xml:space="preserve">”</w:t>
      </w:r>
      <w:r>
        <w:t xml:space="preserve"> </w:t>
      </w:r>
      <w:r>
        <w:t xml:space="preserve">The school sections are that partnership, recorded on a plat map.</w:t>
      </w:r>
    </w:p>
    <w:p>
      <w:pPr>
        <w:pStyle w:val="Heading2"/>
      </w:pPr>
      <w:bookmarkStart w:id="26" w:name="the-experiment-returns-its-results"/>
      <w:r>
        <w:t xml:space="preserve">The experiment returns its results</w:t>
      </w:r>
      <w:bookmarkEnd w:id="26"/>
    </w:p>
    <w:p>
      <w:pPr>
        <w:pStyle w:val="FirstParagraph"/>
      </w:pPr>
      <w:r>
        <w:t xml:space="preserve">Nobody designed the school trust as an experiment. But that is what it became: the same promise, administered under every condition American politics could supply, for two hundred and forty years. It is older than the Constitution. It outlasted every government in Europe that existed when it was made. And because states differed — in their admission-act language, their constitutions, their economies, their watchfulness — the record reads like a controlled trial of how forever promises live and die.</w:t>
      </w:r>
    </w:p>
    <w:p>
      <w:pPr>
        <w:pStyle w:val="BodyText"/>
      </w:pPr>
      <w:r>
        <w:t xml:space="preserve">The results came in early. By 1907, Oregon’s own governor told his legislature that, but for the policies the state had adopted toward its school lands, the school fund</w:t>
      </w:r>
      <w:r>
        <w:t xml:space="preserve"> </w:t>
      </w:r>
      <w:r>
        <w:t xml:space="preserve">“</w:t>
      </w:r>
      <w:r>
        <w:t xml:space="preserve">might have been five or six times as large as it is at present.</w:t>
      </w:r>
      <w:r>
        <w:t xml:space="preserve">”</w:t>
      </w:r>
      <w:r>
        <w:t xml:space="preserve"> </w:t>
      </w:r>
      <w:r>
        <w:t xml:space="preserve">Sit with that sentence. Fifty years into a forever promise, the trustee’s chief executive measured the loss at four-fifths of the corpus — and the measurement changed almost nothing, because no machinery existed to act on it.</w:t>
      </w:r>
    </w:p>
    <w:p>
      <w:pPr>
        <w:pStyle w:val="BodyText"/>
      </w:pPr>
      <w:r>
        <w:t xml:space="preserve">That is the pattern this book exists to break. Not the loss — the</w:t>
      </w:r>
      <w:r>
        <w:t xml:space="preserve"> </w:t>
      </w:r>
      <w:r>
        <w:rPr>
          <w:i/>
        </w:rPr>
        <w:t xml:space="preserve">helplessness in the face of the measured loss</w:t>
      </w:r>
      <w:r>
        <w:t xml:space="preserve">. The next six chapters walk the six failures one at a time, each through a real episode: the courthouse door that would not open; the duties no one wrote down; the lawyer on both sides; the trust that never sent a statement; the victories that came with no remedy attached; the trustees no one ever taught. Each failure is structural. Each repeats across states and centuries. And each one — this is the point of the whole exercise — can be fixed with ordinary statutory language, already drafted, which Part III lays out in plain English.</w:t>
      </w:r>
    </w:p>
    <w:p>
      <w:pPr>
        <w:pStyle w:val="BodyText"/>
      </w:pPr>
      <w:r>
        <w:t xml:space="preserve">The promise was good. The architecture was incomplete. The evidence of exactly</w:t>
      </w:r>
      <w:r>
        <w:t xml:space="preserve"> </w:t>
      </w:r>
      <w:r>
        <w:rPr>
          <w:i/>
        </w:rPr>
        <w:t xml:space="preserve">where</w:t>
      </w:r>
      <w:r>
        <w:t xml:space="preserve"> </w:t>
      </w:r>
      <w:r>
        <w:t xml:space="preserve">it was incomplete is the most valuable thing two hundred and forty years can hand us — if we read it.</w:t>
      </w:r>
    </w:p>
    <w:p>
      <w:r>
        <w:pict>
          <v:rect style="width:0;height:1.5pt" o:hralign="center" o:hrstd="t" o:hr="t"/>
        </w:pict>
      </w:r>
    </w:p>
    <w:p>
      <w:pPr>
        <w:pStyle w:val="FirstParagraph"/>
      </w:pPr>
      <w:r>
        <w:rPr>
          <w:i/>
        </w:rPr>
        <w:t xml:space="preserve">Sources for this chapter: Land Ordinance of May 20, 1785, and Northwest Ordinance of July 13, 1787, Article III (Journals of the Continental Congress; Avalon Project transcriptions); Ohio Enabling Act of 1802 and implementing act of March 3, 1803 (</w:t>
      </w:r>
      <w:r>
        <w:rPr>
          <w:i/>
        </w:rPr>
        <w:t xml:space="preserve">“</w:t>
      </w:r>
      <w:r>
        <w:rPr>
          <w:i/>
        </w:rPr>
        <w:t xml:space="preserve">in trust … and for no other use, intent or purpose whatever</w:t>
      </w:r>
      <w:r>
        <w:rPr>
          <w:i/>
        </w:rPr>
        <w:t xml:space="preserve">”</w:t>
      </w:r>
      <w:r>
        <w:rPr>
          <w:i/>
        </w:rPr>
        <w:t xml:space="preserve">);</w:t>
      </w:r>
      <w:r>
        <w:t xml:space="preserve"> </w:t>
      </w:r>
      <w:r>
        <w:t xml:space="preserve">Cooper v. Roberts,</w:t>
      </w:r>
      <w:r>
        <w:t xml:space="preserve"> </w:t>
      </w:r>
      <w:r>
        <w:rPr>
          <w:i/>
        </w:rPr>
        <w:t xml:space="preserve">59 U.S. 173 (1855);</w:t>
      </w:r>
      <w:r>
        <w:t xml:space="preserve"> </w:t>
      </w:r>
      <w:r>
        <w:t xml:space="preserve">Papasan v. Allain,</w:t>
      </w:r>
      <w:r>
        <w:t xml:space="preserve"> </w:t>
      </w:r>
      <w:r>
        <w:rPr>
          <w:i/>
        </w:rPr>
        <w:t xml:space="preserve">478 U.S. 265 (1986); John Adams to James Sullivan, May 26, 1776; Thomas Jefferson to James Madison, September 6, 1789, and Madison’s reply of February 4, 1790 (Founders Online); Edmund Burke,</w:t>
      </w:r>
      <w:r>
        <w:t xml:space="preserve"> </w:t>
      </w:r>
      <w:r>
        <w:t xml:space="preserve">Reflections on the Revolution in France</w:t>
      </w:r>
      <w:r>
        <w:t xml:space="preserve"> </w:t>
      </w:r>
      <w:r>
        <w:rPr>
          <w:i/>
        </w:rPr>
        <w:t xml:space="preserve">(1790); Governor George Chamberlain, message to the Oregon Legislature, 1907. Fuller treatment of the founding record appears in the companion volume,</w:t>
      </w:r>
      <w:r>
        <w:t xml:space="preserve"> </w:t>
      </w:r>
      <w:r>
        <w:t xml:space="preserve">The Forgotten Forever Gift to Public Schools</w:t>
      </w:r>
      <w:r>
        <w:t xml:space="preserve"> </w:t>
      </w:r>
      <w:r>
        <w:rPr>
          <w:i/>
        </w:rPr>
        <w:t xml:space="preserve">(Volume 1 of this work) [VERIFY title at print]; figures and quotations above are to be re-verified against primary sources in the verification pass.</w:t>
      </w:r>
    </w:p>
    <w:p>
      <w:r>
        <w:br w:type="page"/>
      </w:r>
    </w:p>
    <w:p>
      <w:pPr>
        <w:pStyle w:val="Heading1"/>
      </w:pPr>
      <w:bookmarkStart w:id="27" w:name="chapter-2-the-locked-courthouse-door"/>
      <w:r>
        <w:t xml:space="preserve">Chapter 2 — The Locked Courthouse Door</w:t>
      </w:r>
      <w:bookmarkEnd w:id="27"/>
    </w:p>
    <w:p>
      <w:pPr>
        <w:pStyle w:val="FirstParagraph"/>
      </w:pPr>
      <w:r>
        <w:t xml:space="preserve">[DRAFT v2.0 — AI first pass; awaiting Dave’s voice pass]</w:t>
      </w:r>
    </w:p>
    <w:p>
      <w:pPr>
        <w:pStyle w:val="BodyText"/>
      </w:pPr>
      <w:r>
        <w:rPr>
          <w:i/>
        </w:rPr>
        <w:t xml:space="preserve">[Litigation note: every passage in this chapter describing the live Oregon case is drawn from public filings and rulings only, is gated on counsel review before any external circulation, and makes no prediction about outcomes. All case-specific dates and characterizations carry verification flags until checked against the opinions themselves.]</w:t>
      </w:r>
    </w:p>
    <w:p>
      <w:r>
        <w:pict>
          <v:rect style="width:0;height:1.5pt" o:hralign="center" o:hrstd="t" o:hr="t"/>
        </w:pict>
      </w:r>
    </w:p>
    <w:p>
      <w:pPr>
        <w:pStyle w:val="FirstParagraph"/>
      </w:pPr>
      <w:r>
        <w:t xml:space="preserve">In late January 2026, the Oregon Court of Appeals decided a question that had consumed years of litigation over the state’s school trust. The question was not whether Oregon had mismanaged the trust. The court did not reach that. The question was whether anyone in the courtroom was allowed to ask.</w:t>
      </w:r>
    </w:p>
    <w:p>
      <w:pPr>
        <w:pStyle w:val="BodyText"/>
      </w:pPr>
      <w:r>
        <w:t xml:space="preserve">Think about what that means. A promise made in 1859, when Oregon entered the Union — school lands held in trust for the schoolchildren, in a fund the state constitution calls</w:t>
      </w:r>
      <w:r>
        <w:t xml:space="preserve"> </w:t>
      </w:r>
      <w:r>
        <w:t xml:space="preserve">“</w:t>
      </w:r>
      <w:r>
        <w:t xml:space="preserve">irreducible</w:t>
      </w:r>
      <w:r>
        <w:t xml:space="preserve">”</w:t>
      </w:r>
      <w:r>
        <w:t xml:space="preserve"> </w:t>
      </w:r>
      <w:r>
        <w:t xml:space="preserve">— had come under enough strain that beneficiaries finally went to court about it. And the threshold fight, the fight that had to be won before a single document about the trust’s management could be examined on the merits, was over whether the people the trust exists for have any right to be in the room.</w:t>
      </w:r>
    </w:p>
    <w:p>
      <w:pPr>
        <w:pStyle w:val="BodyText"/>
      </w:pPr>
      <w:r>
        <w:t xml:space="preserve">The court said yes. On January 28, 2026, the Court of Appeals held that beneficiaries of the school trust have standing to sue the state over its administration [VERIFY date, disposition, and holding language against the opinion before quoting or characterizing further]. It was a genuine victory, and this book will treat it as one. But hold the celebration long enough to notice what the victory was: after a century and two-thirds, the schoolchildren of Oregon won the right to knock on the door. The case about what happened inside the house was still ahead of them — now set for trial in Coos County in August 2026.</w:t>
      </w:r>
    </w:p>
    <w:p>
      <w:pPr>
        <w:pStyle w:val="BodyText"/>
      </w:pPr>
      <w:r>
        <w:t xml:space="preserve">This chapter is about the door. Of the six structural failures this book catalogs, the locked courthouse door comes first, because it is the failure that protects all the others. Duties that are never examined are never enforced. Accounts that are never demanded are never rendered. The door is where the silence starts.</w:t>
      </w:r>
    </w:p>
    <w:p>
      <w:pPr>
        <w:pStyle w:val="Heading2"/>
      </w:pPr>
      <w:bookmarkStart w:id="28" w:name="X28395d0dc68a6d432acf0d08689717664e532bd"/>
      <w:r>
        <w:t xml:space="preserve">A doctrine doing a job it was never given</w:t>
      </w:r>
      <w:bookmarkEnd w:id="28"/>
    </w:p>
    <w:p>
      <w:pPr>
        <w:pStyle w:val="FirstParagraph"/>
      </w:pPr>
      <w:r>
        <w:t xml:space="preserve">Lawyers call the doctrine</w:t>
      </w:r>
      <w:r>
        <w:t xml:space="preserve"> </w:t>
      </w:r>
      <w:r>
        <w:rPr>
          <w:i/>
        </w:rPr>
        <w:t xml:space="preserve">standing</w:t>
      </w:r>
      <w:r>
        <w:t xml:space="preserve">, and in fairness, it exists for respectable reasons. Courts decide disputes; they do not run the government by petition. Before a court will hear you, you must show the matter injures</w:t>
      </w:r>
      <w:r>
        <w:t xml:space="preserve"> </w:t>
      </w:r>
      <w:r>
        <w:rPr>
          <w:i/>
        </w:rPr>
        <w:t xml:space="preserve">you</w:t>
      </w:r>
      <w:r>
        <w:t xml:space="preserve"> </w:t>
      </w:r>
      <w:r>
        <w:t xml:space="preserve">— not the world in general, not your sense of civic order, you. Standing is the rule that keeps the courthouse from becoming a complaint window for everyone angry about anything.</w:t>
      </w:r>
    </w:p>
    <w:p>
      <w:pPr>
        <w:pStyle w:val="BodyText"/>
      </w:pPr>
      <w:r>
        <w:t xml:space="preserve">Applied to an ordinary lawsuit, the rule works fine. The person hit by the truck sues the trucking company. Applied to a perpetual public trust, the rule becomes something else entirely. Run the logic.</w:t>
      </w:r>
    </w:p>
    <w:p>
      <w:pPr>
        <w:pStyle w:val="BodyText"/>
      </w:pPr>
      <w:r>
        <w:t xml:space="preserve">The beneficiaries of the school trust are children. Children cannot vote, cannot lobby, and cannot — as a practical matter — hire counsel and sue their state. A large share of the beneficiaries are not children yet; the trust runs forever, so most of the people it belongs to have not been born. They are, by definition, the class least able to appear in any courtroom in any generation.</w:t>
      </w:r>
    </w:p>
    <w:p>
      <w:pPr>
        <w:pStyle w:val="BodyText"/>
      </w:pPr>
      <w:r>
        <w:t xml:space="preserve">The founders knew this, as Chapter 1 told. Their solution was the attorney general: for a charitable trust, the state’s chief lawyer stands in for the beneficiaries who cannot stand for themselves. But the attorney general of a state is also the lawyer for the trustee being complained about — a structural twist so consequential it gets its own chapter, two chapters from now. When the enforcer-of-record sits at the defendant’s table, the beneficiaries’ designated voice in court is silent. And when anyone else — a parent, a school district, an advocacy group — tries to speak instead, the state’s first answer is the doctrine:</w:t>
      </w:r>
      <w:r>
        <w:t xml:space="preserve"> </w:t>
      </w:r>
      <w:r>
        <w:rPr>
          <w:i/>
        </w:rPr>
        <w:t xml:space="preserve">you are not the proper party. You have no standing. The door is closed.</w:t>
      </w:r>
    </w:p>
    <w:p>
      <w:pPr>
        <w:pStyle w:val="BodyText"/>
      </w:pPr>
      <w:r>
        <w:t xml:space="preserve">Notice the shape of the trap. It is not that no one is injured — the injury is to everyone, spread across generations, which courts have historically treated as an injury to no one in particular. The very features that made the trust necessary — beneficiaries too young, too diffuse, too unborn to defend themselves — are recycled as the reasons no defense will be heard. The trust form was invented to protect the absent. Standing doctrine, applied without adjustment, protects the trustee</w:t>
      </w:r>
      <w:r>
        <w:t xml:space="preserve"> </w:t>
      </w:r>
      <w:r>
        <w:rPr>
          <w:i/>
        </w:rPr>
        <w:t xml:space="preserve">from</w:t>
      </w:r>
      <w:r>
        <w:t xml:space="preserve"> </w:t>
      </w:r>
      <w:r>
        <w:t xml:space="preserve">the absent.</w:t>
      </w:r>
    </w:p>
    <w:p>
      <w:pPr>
        <w:pStyle w:val="Heading2"/>
      </w:pPr>
      <w:bookmarkStart w:id="29" w:name="oregons-long-walk-to-the-door"/>
      <w:r>
        <w:t xml:space="preserve">Oregon’s long walk to the door</w:t>
      </w:r>
      <w:bookmarkEnd w:id="29"/>
    </w:p>
    <w:p>
      <w:pPr>
        <w:pStyle w:val="FirstParagraph"/>
      </w:pPr>
      <w:r>
        <w:t xml:space="preserve">Oregon shows what the trap costs in practice, and it is worth saying plainly that Oregon’s beneficiaries got further than most ever have.</w:t>
      </w:r>
    </w:p>
    <w:p>
      <w:pPr>
        <w:pStyle w:val="BodyText"/>
      </w:pPr>
      <w:r>
        <w:t xml:space="preserve">The constitutional ground was prepared a generation ago. In 2000, Oregon voters approved a ballot measure adding language to the education article of their constitution bearing on the public’s stake in the common school resources [VERIFY: Article VIII, section 8, 2000 ballot measure — confirm number, text, and relevance as characterized in the opinion]. The provision sat largely untested for two decades while the controversies accumulated — most visibly around the Elliott State Forest, the trust’s onetime workhorse asset, whose story Chapter 6 tells.</w:t>
      </w:r>
    </w:p>
    <w:p>
      <w:pPr>
        <w:pStyle w:val="BodyText"/>
      </w:pPr>
      <w:r>
        <w:t xml:space="preserve">Then an organized beneficiary constituency finally formed: Oregon Advocates for School Trust Lands, a group of parents, educators, and former officials who concluded that after 167 years someone had to assert the trust against its trustee. Litigation followed — including the case now docketed in Coos County Circuit Court as</w:t>
      </w:r>
      <w:r>
        <w:t xml:space="preserve"> </w:t>
      </w:r>
      <w:r>
        <w:rPr>
          <w:i/>
        </w:rPr>
        <w:t xml:space="preserve">Siuslaw School District 97J v. State of Oregon</w:t>
      </w:r>
      <w:r>
        <w:t xml:space="preserve">, No. 24CV38372 [caption verified 2026-06-06 against the filed record: the March 6, 2025 Combs letter opinion, the October 24, 2025 Answer, and the May 13, 2026 summary-judgment motion all caption No. 24CV38372 with Siuslaw School District 97J as lead plaintiff (OASTL/Advocates for School Trust Lands are also named plaintiffs);</w:t>
      </w:r>
      <w:r>
        <w:t xml:space="preserve"> </w:t>
      </w:r>
      <w:r>
        <w:rPr>
          <w:i/>
        </w:rPr>
        <w:t xml:space="preserve">Advocates for School Trust Lands v. State</w:t>
      </w:r>
      <w:r>
        <w:t xml:space="preserve">, 346 Or App 668 (2026), is the appeal of the earlier case, No. 23CV39056. VERIFY procedural history against the docket]. And the state’s response, before any argument about forests or funds or fiduciary duty, ran through the threshold: these plaintiffs, the state contended, were not entitled to bring the question at all [VERIFY characterization of the State’s standing arguments against the actual briefing].</w:t>
      </w:r>
    </w:p>
    <w:p>
      <w:pPr>
        <w:pStyle w:val="BodyText"/>
      </w:pPr>
      <w:r>
        <w:t xml:space="preserve">It took until January 28, 2026, for the Court of Appeals to resolve that threshold in the beneficiaries’ favor [VERIFY]. Years of motion practice, briefing, and appellate argument — consumed not by the question</w:t>
      </w:r>
      <w:r>
        <w:t xml:space="preserve"> </w:t>
      </w:r>
      <w:r>
        <w:rPr>
          <w:i/>
        </w:rPr>
        <w:t xml:space="preserve">was the trust honored?</w:t>
      </w:r>
      <w:r>
        <w:t xml:space="preserve"> </w:t>
      </w:r>
      <w:r>
        <w:t xml:space="preserve">but by the question</w:t>
      </w:r>
      <w:r>
        <w:t xml:space="preserve"> </w:t>
      </w:r>
      <w:r>
        <w:rPr>
          <w:i/>
        </w:rPr>
        <w:t xml:space="preserve">may we ask?</w:t>
      </w:r>
      <w:r>
        <w:t xml:space="preserve"> </w:t>
      </w:r>
      <w:r>
        <w:t xml:space="preserve">The merits trial is scheduled for August 18 through 28, 2026, in Coos County. This book, completed before that trial, makes no prediction about it and needs none. Whatever a court eventually says about Oregon’s administration of its trust, the threshold years are already in the record, and the threshold years are the point: the door consumed the better part of the beneficiaries’ resources before the house could be entered.</w:t>
      </w:r>
    </w:p>
    <w:p>
      <w:pPr>
        <w:pStyle w:val="BodyText"/>
      </w:pPr>
      <w:r>
        <w:t xml:space="preserve">One more honesty requirement. Oregon’s standing ruling was a catch-up, not a national first. Beneficiaries and their advocates in other trust-land states fought their own versions of this fight across the preceding decades, some winning passage, some turned away for good [VERIFY comparative summary against the fifty-state research before naming states]. Oregon’s door was unusually well documented, not uniquely locked.</w:t>
      </w:r>
    </w:p>
    <w:p>
      <w:pPr>
        <w:pStyle w:val="Heading2"/>
      </w:pPr>
      <w:bookmarkStart w:id="30" w:name="what-a-locked-door-does-over-a-century"/>
      <w:r>
        <w:t xml:space="preserve">What a locked door does over a century</w:t>
      </w:r>
      <w:bookmarkEnd w:id="30"/>
    </w:p>
    <w:p>
      <w:pPr>
        <w:pStyle w:val="FirstParagraph"/>
      </w:pPr>
      <w:r>
        <w:t xml:space="preserve">The deepest damage of the standing trap is invisible, because it is measured in cases never filed.</w:t>
      </w:r>
    </w:p>
    <w:p>
      <w:pPr>
        <w:pStyle w:val="BodyText"/>
      </w:pPr>
      <w:r>
        <w:t xml:space="preserve">A lawsuit that must begin with a multi-year fight over the right to sue is a lawsuit most people cannot bring. Parents have jobs. School boards have budgets and lawyers who counsel caution. Advocacy groups run on volunteers and small donations against a defendant with the state treasury behind it. Every potential plaintiff who looks at the door, prices the lock, and turns away is a case that never happens — and every case that never happens teaches the trustee that no case will. That lesson, absorbed over decades, is worth more to a drifting trustee than any single courtroom victory. The trust can be neglected in plain sight, because sight was never the problem. Enforcement was.</w:t>
      </w:r>
    </w:p>
    <w:p>
      <w:pPr>
        <w:pStyle w:val="BodyText"/>
      </w:pPr>
      <w:r>
        <w:t xml:space="preserve">There is also a quieter cost, paid in the quality of the trustee’s own work. A bank trustee who knows the beneficiaries can haul her into court reads every transaction twice. A public trustee who knows they cannot reads the politics instead. The discipline of being answerable is not a punishment; it is the working environment in which fiduciary judgment stays sharp. Take it away for a hundred years and the institution does not become corrupt — it becomes casual, which over a long enough horizon costs the beneficiaries more.</w:t>
      </w:r>
    </w:p>
    <w:p>
      <w:pPr>
        <w:pStyle w:val="BodyText"/>
      </w:pPr>
      <w:r>
        <w:t xml:space="preserve">This is why the locked door is the first failure and not merely one of six. The other five — unwritten duties, conflicted counsel, missing accounts, toothless remedies, untrained trustees — all persist</w:t>
      </w:r>
      <w:r>
        <w:t xml:space="preserve"> </w:t>
      </w:r>
      <w:r>
        <w:rPr>
          <w:i/>
        </w:rPr>
        <w:t xml:space="preserve">because</w:t>
      </w:r>
      <w:r>
        <w:t xml:space="preserve"> </w:t>
      </w:r>
      <w:r>
        <w:t xml:space="preserve">the forum where they would be examined is so hard to reach. Open the door, and the rest of the structure comes under light. Keep it locked, and nothing else needs to go wrong on purpose. Time does the work.</w:t>
      </w:r>
    </w:p>
    <w:p>
      <w:pPr>
        <w:pStyle w:val="Heading2"/>
      </w:pPr>
      <w:bookmarkStart w:id="31" w:name="the-one-sentence-repair"/>
      <w:r>
        <w:t xml:space="preserve">The one-sentence repair</w:t>
      </w:r>
      <w:bookmarkEnd w:id="31"/>
    </w:p>
    <w:p>
      <w:pPr>
        <w:pStyle w:val="FirstParagraph"/>
      </w:pPr>
      <w:r>
        <w:t xml:space="preserve">Here is the strange comfort in all this: of the six failures, the locked door has the simplest fix on the books of American legislatures. Standing is a creature of law. A statute can say, in a sentence, who may enforce a public trust — and then no one ever litigates the threshold again.</w:t>
      </w:r>
    </w:p>
    <w:p>
      <w:pPr>
        <w:pStyle w:val="BodyText"/>
      </w:pPr>
      <w:r>
        <w:t xml:space="preserve">The model act this book builds toward, in Part III, does exactly that. It names the people the door must open for: beneficiaries; their parents and guardians; the school districts that serve them; organizations formed to represent them. It provides a representative for the beneficiaries who cannot appear in any era — the future ones — so that the largest class the trust serves is no longer the only class without a voice. None of this invents a new right. The right to enforce a trust is as old as trusts. The statute simply stops requiring each generation of beneficiaries to spend years proving, at its own expense, that the promise made to it was a promise at all.</w:t>
      </w:r>
    </w:p>
    <w:p>
      <w:pPr>
        <w:pStyle w:val="BodyText"/>
      </w:pPr>
      <w:r>
        <w:t xml:space="preserve">Oregon’s beneficiaries eventually got through the door. It took organized citizens, volunteer experts, sustained fundraising, appellate counsel, and the better part of [VERIFY span] years — to reach the starting line. The next chapter is about what they found waiting there: a trustee whose duties, though two centuries old and constitutionally anchored, had never been written down where a judge could conveniently read them.</w:t>
      </w:r>
    </w:p>
    <w:p>
      <w:r>
        <w:pict>
          <v:rect style="width:0;height:1.5pt" o:hralign="center" o:hrstd="t" o:hr="t"/>
        </w:pict>
      </w:r>
    </w:p>
    <w:p>
      <w:pPr>
        <w:pStyle w:val="FirstParagraph"/>
      </w:pPr>
      <w:r>
        <w:rPr>
          <w:i/>
        </w:rPr>
        <w:t xml:space="preserve">Sources for this chapter: Oregon Constitution, Article VIII (1857, as amended; section 8 added by ballot measure, 2000 [VERIFY]);</w:t>
      </w:r>
      <w:r>
        <w:t xml:space="preserve"> </w:t>
      </w:r>
      <w:r>
        <w:t xml:space="preserve">Siuslaw School District 97J v. State of Oregon,</w:t>
      </w:r>
      <w:r>
        <w:t xml:space="preserve"> </w:t>
      </w:r>
      <w:r>
        <w:rPr>
          <w:i/>
        </w:rPr>
        <w:t xml:space="preserve">Coos County Circuit Court No. 24CV38372, and the Oregon Court of Appeals decision of January 28, 2026,</w:t>
      </w:r>
      <w:r>
        <w:t xml:space="preserve"> </w:t>
      </w:r>
      <w:r>
        <w:t xml:space="preserve">Advocates for School Trust Lands v. State,</w:t>
      </w:r>
      <w:r>
        <w:t xml:space="preserve"> </w:t>
      </w:r>
      <w:r>
        <w:rPr>
          <w:i/>
        </w:rPr>
        <w:t xml:space="preserve">346 Or App 668 (2026) (on appeal from the earlier case, No. 23CV39056) — all case descriptions from public filings and rulings only; the common-law rule of attorney-general enforcement of charitable trusts (Statute of Charitable Uses, 1601, and successors); comparative state standing material from the fifty-state research record [VERIFY before naming states]. Case-related passages are gated on counsel review before external use.</w:t>
      </w:r>
    </w:p>
    <w:p>
      <w:r>
        <w:br w:type="page"/>
      </w:r>
    </w:p>
    <w:p>
      <w:pPr>
        <w:pStyle w:val="Heading1"/>
      </w:pPr>
      <w:bookmarkStart w:id="32" w:name="X089feed39f03ebf5e7c4d72662048258dc2f7cd"/>
      <w:r>
        <w:t xml:space="preserve">Chapter 3 — Duties Everyone Has but No One Wrote Down</w:t>
      </w:r>
      <w:bookmarkEnd w:id="32"/>
    </w:p>
    <w:p>
      <w:pPr>
        <w:pStyle w:val="FirstParagraph"/>
      </w:pPr>
      <w:r>
        <w:t xml:space="preserve">[DRAFT v2.0 — AI first pass; awaiting Dave’s voice pass]</w:t>
      </w:r>
    </w:p>
    <w:p>
      <w:r>
        <w:pict>
          <v:rect style="width:0;height:1.5pt" o:hralign="center" o:hrstd="t" o:hr="t"/>
        </w:pict>
      </w:r>
    </w:p>
    <w:p>
      <w:pPr>
        <w:pStyle w:val="FirstParagraph"/>
      </w:pPr>
      <w:r>
        <w:t xml:space="preserve">In 1992, the Attorney General of Oregon answered a question about the state’s school lands, in a formal published opinion, in language nobody could mistake: the lands granted to Oregon at statehood</w:t>
      </w:r>
      <w:r>
        <w:t xml:space="preserve"> </w:t>
      </w:r>
      <w:r>
        <w:t xml:space="preserve">“</w:t>
      </w:r>
      <w:r>
        <w:t xml:space="preserve">are a trust for the benefit of public education,</w:t>
      </w:r>
      <w:r>
        <w:t xml:space="preserve">”</w:t>
      </w:r>
      <w:r>
        <w:t xml:space="preserve"> </w:t>
      </w:r>
      <w:r>
        <w:t xml:space="preserve">and the state’s obligations under that trust</w:t>
      </w:r>
      <w:r>
        <w:t xml:space="preserve"> </w:t>
      </w:r>
      <w:r>
        <w:t xml:space="preserve">“</w:t>
      </w:r>
      <w:r>
        <w:t xml:space="preserve">are binding. They cannot be disregarded.</w:t>
      </w:r>
      <w:r>
        <w:t xml:space="preserve">”</w:t>
      </w:r>
      <w:r>
        <w:t xml:space="preserve"> </w:t>
      </w:r>
      <w:r>
        <w:t xml:space="preserve">[VERIFY opinion number, date, and exact quotation against the published opinion.] In 2003, the same office said it again. [VERIFY.]</w:t>
      </w:r>
    </w:p>
    <w:p>
      <w:pPr>
        <w:pStyle w:val="BodyText"/>
      </w:pPr>
      <w:r>
        <w:t xml:space="preserve">Two decades later, the State of Oregon stood in court against the trust’s own beneficiaries, defending its land board’s administration of those same lands. [VERIFY characterization of the State’s litigation position against the actual briefing before any external use; case passages gated on counsel review.] Whatever else the lawyers argued — and this chapter is not about the merits of any live case — the scene itself poses the question this chapter answers. How can a duty be declared</w:t>
      </w:r>
      <w:r>
        <w:t xml:space="preserve"> </w:t>
      </w:r>
      <w:r>
        <w:t xml:space="preserve">“</w:t>
      </w:r>
      <w:r>
        <w:t xml:space="preserve">binding</w:t>
      </w:r>
      <w:r>
        <w:t xml:space="preserve">”</w:t>
      </w:r>
      <w:r>
        <w:t xml:space="preserve"> </w:t>
      </w:r>
      <w:r>
        <w:t xml:space="preserve">by the state’s own chief lawyer in one generation and be up for grabs in the next?</w:t>
      </w:r>
    </w:p>
    <w:p>
      <w:pPr>
        <w:pStyle w:val="BodyText"/>
      </w:pPr>
      <w:r>
        <w:t xml:space="preserve">The answer is one of the strangest facts in American law, and once you see it you cannot unsee it: the duties of the trustees of America’s school trusts — duties two centuries old, constitutionally anchored, repeatedly confirmed by the United States Supreme Court — are, in most states, written down nowhere in the statute books. They exist. They bind. And a judge who goes looking for them in the place judges look first will find a hole where the law should be.</w:t>
      </w:r>
    </w:p>
    <w:p>
      <w:pPr>
        <w:pStyle w:val="Heading2"/>
      </w:pPr>
      <w:bookmarkStart w:id="33" w:name="where-the-duties-actually-live"/>
      <w:r>
        <w:t xml:space="preserve">Where the duties actually live</w:t>
      </w:r>
      <w:bookmarkEnd w:id="33"/>
    </w:p>
    <w:p>
      <w:pPr>
        <w:pStyle w:val="FirstParagraph"/>
      </w:pPr>
      <w:r>
        <w:t xml:space="preserve">Start with what is not in doubt. The trustee’s duties are real, and they come from three sources stacked on top of each other.</w:t>
      </w:r>
    </w:p>
    <w:p>
      <w:pPr>
        <w:pStyle w:val="BodyText"/>
      </w:pPr>
      <w:r>
        <w:t xml:space="preserve">First, the granting instruments. When Congress gave each new state its school sections, the grants came with conditions — Ohio’s 1803 formula,</w:t>
      </w:r>
      <w:r>
        <w:t xml:space="preserve"> </w:t>
      </w:r>
      <w:r>
        <w:t xml:space="preserve">“</w:t>
      </w:r>
      <w:r>
        <w:t xml:space="preserve">in trust … and for no other use, intent or purpose whatever,</w:t>
      </w:r>
      <w:r>
        <w:t xml:space="preserve">”</w:t>
      </w:r>
      <w:r>
        <w:t xml:space="preserve"> </w:t>
      </w:r>
      <w:r>
        <w:t xml:space="preserve">repeated and strengthened in act after act for a century. A grant on conditions binds the grantee who accepts it. Every state accepted.</w:t>
      </w:r>
    </w:p>
    <w:p>
      <w:pPr>
        <w:pStyle w:val="BodyText"/>
      </w:pPr>
      <w:r>
        <w:t xml:space="preserve">Second, the state constitutions. Oregon’s 1857 constitution declares its Common School Fund</w:t>
      </w:r>
      <w:r>
        <w:t xml:space="preserve"> </w:t>
      </w:r>
      <w:r>
        <w:t xml:space="preserve">“</w:t>
      </w:r>
      <w:r>
        <w:t xml:space="preserve">separate and irreducible</w:t>
      </w:r>
      <w:r>
        <w:t xml:space="preserve">”</w:t>
      </w:r>
      <w:r>
        <w:t xml:space="preserve"> </w:t>
      </w:r>
      <w:r>
        <w:t xml:space="preserve">[VERIFY exact constitutional phrasing]; other trust-land states carry parallel language, some of it far more muscular. These are not decorations. They are the supreme law of each state, adopted by its own people.</w:t>
      </w:r>
    </w:p>
    <w:p>
      <w:pPr>
        <w:pStyle w:val="BodyText"/>
      </w:pPr>
      <w:r>
        <w:t xml:space="preserve">Third, the common law of trusts — the oldest and richest of the three. For centuries, courts of equity have known exactly what a trustee owes: loyalty to the beneficiaries alone; prudence in managing the assets; impartiality between beneficiaries present and future; full value when anything is sold; and an accounting, so the beneficiaries can see what is theirs. None of this is exotic. It is the ordinary law that governs every bank trust department in the country, every executor of a modest estate, every guardian of an orphan’s inheritance.</w:t>
      </w:r>
      <w:r>
        <w:t xml:space="preserve"> </w:t>
      </w:r>
      <w:r>
        <w:rPr>
          <w:i/>
        </w:rPr>
        <w:t xml:space="preserve">Fiduciary</w:t>
      </w:r>
      <w:r>
        <w:t xml:space="preserve"> </w:t>
      </w:r>
      <w:r>
        <w:t xml:space="preserve">is a grand word with a plain meaning: you hold it; it is not yours.</w:t>
      </w:r>
    </w:p>
    <w:p>
      <w:pPr>
        <w:pStyle w:val="BodyText"/>
      </w:pPr>
      <w:r>
        <w:t xml:space="preserve">The courts that have looked at the school lands have said all this without hedging. The U.S. Supreme Court called the grants</w:t>
      </w:r>
      <w:r>
        <w:t xml:space="preserve"> </w:t>
      </w:r>
      <w:r>
        <w:t xml:space="preserve">“</w:t>
      </w:r>
      <w:r>
        <w:t xml:space="preserve">a sacred obligation</w:t>
      </w:r>
      <w:r>
        <w:t xml:space="preserve">”</w:t>
      </w:r>
      <w:r>
        <w:t xml:space="preserve"> </w:t>
      </w:r>
      <w:r>
        <w:t xml:space="preserve">on state public faith in 1855. Oregon’s own Supreme Court called the Common School Fund</w:t>
      </w:r>
      <w:r>
        <w:t xml:space="preserve"> </w:t>
      </w:r>
      <w:r>
        <w:t xml:space="preserve">“</w:t>
      </w:r>
      <w:r>
        <w:t xml:space="preserve">a trust of the highest nature</w:t>
      </w:r>
      <w:r>
        <w:t xml:space="preserve">”</w:t>
      </w:r>
      <w:r>
        <w:t xml:space="preserve"> </w:t>
      </w:r>
      <w:r>
        <w:t xml:space="preserve">in 1931. The doctrine, as Chapter 1 said, has not moved.</w:t>
      </w:r>
    </w:p>
    <w:p>
      <w:pPr>
        <w:pStyle w:val="BodyText"/>
      </w:pPr>
      <w:r>
        <w:t xml:space="preserve">So the duties exist. Here is what does not exist.</w:t>
      </w:r>
    </w:p>
    <w:p>
      <w:pPr>
        <w:pStyle w:val="Heading2"/>
      </w:pPr>
      <w:bookmarkStart w:id="34" w:name="the-carve-out"/>
      <w:r>
        <w:t xml:space="preserve">The carve-out</w:t>
      </w:r>
      <w:bookmarkEnd w:id="34"/>
    </w:p>
    <w:p>
      <w:pPr>
        <w:pStyle w:val="FirstParagraph"/>
      </w:pPr>
      <w:r>
        <w:t xml:space="preserve">In the early 2000s, states across the country modernized their trust law by adopting versions of the Uniform Trust Code — a comprehensive, carefully drafted statute that spells out, section by section, what trustees owe and what beneficiaries can do about it. Duties of loyalty and prudence, stated in black letter. Mandatory reports to beneficiaries. Remedies for breach, with the procedures attached. It is a good law. If you have a family trust, it protects you right now.</w:t>
      </w:r>
    </w:p>
    <w:p>
      <w:pPr>
        <w:pStyle w:val="BodyText"/>
      </w:pPr>
      <w:r>
        <w:t xml:space="preserve">Then look at the scope section, the part that says what the statute covers. Oregon’s trust code, like most, applies to private, charitable, express trusts — and not to the trusts in which the state itself is trustee [VERIFY: ORS chapter 130 scope provisions and the corresponding exclusion; also the parallel carve-out in Oregon’s institutional-funds statute — confirm citations before printing]. The public trust — the largest trust in the state, with the most beneficiaries and the longest horizon — is carved out of the very statute that defines what trustees owe.</w:t>
      </w:r>
    </w:p>
    <w:p>
      <w:pPr>
        <w:pStyle w:val="BodyText"/>
      </w:pPr>
      <w:r>
        <w:t xml:space="preserve">Sit with the resulting arrangement, because it is almost too strange to believe at first reading. A bank trustee managing fifty thousand dollars for one family is governed by a detailed statutory code: enumerated duties, required statements, defined remedies, deadlines. A state land board managing hundreds of thousands of acres and a permanent fund measured in the hundreds of millions, for every schoolchild alive and every schoolchild to come, is governed by — what, exactly? A condition in an 1859 grant. A clause in a constitution. A body of common-law doctrine scattered across two centuries of court reports. All real. None of it gathered in any one place a legislator, a board member, or a trial judge can open to a page and read.</w:t>
      </w:r>
    </w:p>
    <w:p>
      <w:pPr>
        <w:pStyle w:val="BodyText"/>
      </w:pPr>
      <w:r>
        <w:t xml:space="preserve">The carve-out was not a conspiracy. The drafters of the uniform codes were solving private-law problems and left public bodies out as somebody else’s department. But nobody was the somebody else. And so the rule that emerged, state by state, without anyone ever voting for it as a policy: the bigger the trust and the more voiceless its beneficiaries, the thinner the written law that protects them.</w:t>
      </w:r>
    </w:p>
    <w:p>
      <w:pPr>
        <w:pStyle w:val="Heading2"/>
      </w:pPr>
      <w:bookmarkStart w:id="35" w:name="what-an-unwritten-duty-costs"/>
      <w:r>
        <w:t xml:space="preserve">What an unwritten duty costs</w:t>
      </w:r>
      <w:bookmarkEnd w:id="35"/>
    </w:p>
    <w:p>
      <w:pPr>
        <w:pStyle w:val="FirstParagraph"/>
      </w:pPr>
      <w:r>
        <w:t xml:space="preserve">Why does it matter where a duty is written, if the duty is real either way? Three reasons, and together they explain most of Part I.</w:t>
      </w:r>
    </w:p>
    <w:p>
      <w:pPr>
        <w:pStyle w:val="BodyText"/>
      </w:pPr>
      <w:r>
        <w:t xml:space="preserve">First, every enforcement effort starts from scratch. When duties live only in old grants, constitutional fragments, and case law, the first hundred pages of every brief must prove the duties exist before anyone argues whether they were honored. That is an archaeology project, and it must be repeated in every case, in every generation, at the beneficiaries’ expense. The state, meanwhile, is free to argue — and states have argued — that no judicially enforceable duty exists at all: that the board’s choices are policy, not stewardship, and policy is for elections, not courts. The argument does not have to win to do its work. It has to consume time, and it always does.</w:t>
      </w:r>
    </w:p>
    <w:p>
      <w:pPr>
        <w:pStyle w:val="BodyText"/>
      </w:pPr>
      <w:r>
        <w:t xml:space="preserve">Second, an unwritten duty cannot hold an institution still. This is the answer to the puzzle that opened this chapter. The Oregon attorney general’s office concluded in 1977 that income-producing school land could not be reclassified into a non-earning preserve where that would hurt the fund; in 1992 and 2003 it called the trust obligations binding; in the 2020s it defends the board’s contrary course [VERIFY each item against the opinions and the record]. No statute changed in between. That is precisely the problem. When the only authoritative statements of a duty are opinions and precedents, the duty’s practical content shifts with whoever currently holds the pen. A statute can be amended only in public, by a vote, with fingerprints. An interpretation can drift in silence.</w:t>
      </w:r>
    </w:p>
    <w:p>
      <w:pPr>
        <w:pStyle w:val="BodyText"/>
      </w:pPr>
      <w:r>
        <w:t xml:space="preserve">Third — and this is the finding the whole record keeps returning to — a duty that cannot be conveniently enforced is, in practice, discounted. Not denied; discounted. Each official along the chain weighs the binding-but-unwritten obligation against the visible, datable pressures of the budget year, and the unwritten one loses a little every time. Two hundred and forty years of those small losses is what Chapter 1’s governor was measuring in 1907.</w:t>
      </w:r>
    </w:p>
    <w:p>
      <w:pPr>
        <w:pStyle w:val="Heading2"/>
      </w:pPr>
      <w:bookmarkStart w:id="36" w:name="the-state-that-wrote-it-down"/>
      <w:r>
        <w:t xml:space="preserve">The state that wrote it down</w:t>
      </w:r>
      <w:bookmarkEnd w:id="36"/>
    </w:p>
    <w:p>
      <w:pPr>
        <w:pStyle w:val="FirstParagraph"/>
      </w:pPr>
      <w:r>
        <w:t xml:space="preserve">One state ran the controlled experiment. After Utah’s trust hit bottom — a story Chapter 9 tells in full — its legislature did something no one had bothered to do in a century of American school-trust law: it wrote the duties down. The 1994 act that rebuilt Utah’s trust administration states, in statute, that the lands are held in trust, that the trustee owes</w:t>
      </w:r>
      <w:r>
        <w:t xml:space="preserve"> </w:t>
      </w:r>
      <w:r>
        <w:t xml:space="preserve">“</w:t>
      </w:r>
      <w:r>
        <w:t xml:space="preserve">undivided loyalty</w:t>
      </w:r>
      <w:r>
        <w:t xml:space="preserve">”</w:t>
      </w:r>
      <w:r>
        <w:t xml:space="preserve"> </w:t>
      </w:r>
      <w:r>
        <w:t xml:space="preserve">to the beneficiaries, and that the corpus must be administered for their</w:t>
      </w:r>
      <w:r>
        <w:t xml:space="preserve"> </w:t>
      </w:r>
      <w:r>
        <w:t xml:space="preserve">“</w:t>
      </w:r>
      <w:r>
        <w:t xml:space="preserve">exclusive benefit</w:t>
      </w:r>
      <w:r>
        <w:t xml:space="preserve">”</w:t>
      </w:r>
      <w:r>
        <w:t xml:space="preserve"> </w:t>
      </w:r>
      <w:r>
        <w:t xml:space="preserve">[VERIFY: Utah Code § 53C-1-102 — confirm citation and quoted phrases].</w:t>
      </w:r>
    </w:p>
    <w:p>
      <w:pPr>
        <w:pStyle w:val="BodyText"/>
      </w:pPr>
      <w:r>
        <w:t xml:space="preserve">Notice what that statute did not do. It did not create a single new duty. Undivided loyalty and exclusive benefit were Utah’s obligations in 1896 just as surely as in 1994 — the courts had said so all along. What the statute changed was the</w:t>
      </w:r>
      <w:r>
        <w:t xml:space="preserve"> </w:t>
      </w:r>
      <w:r>
        <w:rPr>
          <w:i/>
        </w:rPr>
        <w:t xml:space="preserve">findability</w:t>
      </w:r>
      <w:r>
        <w:t xml:space="preserve"> </w:t>
      </w:r>
      <w:r>
        <w:t xml:space="preserve">of the duty. After 1994, no Utah land manager could claim the standard was unclear, no attorney general could argue it was unenforceable, and no judge had to excavate it from a century of reports. It was on the page. Utah’s trust has been growing, and visibly defended, ever since — not because of those two sentences alone, but never again without them.</w:t>
      </w:r>
    </w:p>
    <w:p>
      <w:pPr>
        <w:pStyle w:val="Heading2"/>
      </w:pPr>
      <w:bookmarkStart w:id="37" w:name="the-repair-that-says-nothing-new"/>
      <w:r>
        <w:t xml:space="preserve">The repair that says nothing new</w:t>
      </w:r>
      <w:bookmarkEnd w:id="37"/>
    </w:p>
    <w:p>
      <w:pPr>
        <w:pStyle w:val="FirstParagraph"/>
      </w:pPr>
      <w:r>
        <w:t xml:space="preserve">The fix for this failure is the quietest one in the book, and the most important to get exactly right.</w:t>
      </w:r>
    </w:p>
    <w:p>
      <w:pPr>
        <w:pStyle w:val="BodyText"/>
      </w:pPr>
      <w:r>
        <w:t xml:space="preserve">Write the duties down — all five: loyalty, prudence, impartiality between generations, full value on disposition, accounting — in a statute that covers every public trust, with one drafting decision carrying the whole weight: the statute must declare that it</w:t>
      </w:r>
      <w:r>
        <w:t xml:space="preserve"> </w:t>
      </w:r>
      <w:r>
        <w:rPr>
          <w:i/>
        </w:rPr>
        <w:t xml:space="preserve">restates</w:t>
      </w:r>
      <w:r>
        <w:t xml:space="preserve"> </w:t>
      </w:r>
      <w:r>
        <w:t xml:space="preserve">existing law rather than creating it. The duties are declared to have existed all along, because they have; nothing in the act may be read as suggesting they began the day it passed, or that anything done before it was lawful.</w:t>
      </w:r>
    </w:p>
    <w:p>
      <w:pPr>
        <w:pStyle w:val="BodyText"/>
      </w:pPr>
      <w:r>
        <w:t xml:space="preserve">That single clause forecloses the trap hiding inside the obvious reform. Codify the duties carelessly and a future defendant will say:</w:t>
      </w:r>
      <w:r>
        <w:t xml:space="preserve"> </w:t>
      </w:r>
      <w:r>
        <w:rPr>
          <w:i/>
        </w:rPr>
        <w:t xml:space="preserve">the legislature created these duties in 2027, so nothing earlier can be judged by them.</w:t>
      </w:r>
      <w:r>
        <w:t xml:space="preserve"> </w:t>
      </w:r>
      <w:r>
        <w:t xml:space="preserve">The repair this book proposes — walked through, article by article, in Part III — is therefore a law that says nothing new and changes everything: the same duties, finally on a page a judge can read, a trustee can be trained on, and a citizen can quote at a hearing without a law degree.</w:t>
      </w:r>
    </w:p>
    <w:p>
      <w:pPr>
        <w:pStyle w:val="BodyText"/>
      </w:pPr>
      <w:r>
        <w:t xml:space="preserve">The framers locked the promise in the strongest form their century offered and trusted the law’s memory to carry it. The law’s memory turned out to live in too many scattered places. The next chapter is about the official who was supposed to be its keeper — the enforcer the design counted on — and what happens when that officer’s other client is the trustee.</w:t>
      </w:r>
    </w:p>
    <w:p>
      <w:r>
        <w:pict>
          <v:rect style="width:0;height:1.5pt" o:hralign="center" o:hrstd="t" o:hr="t"/>
        </w:pict>
      </w:r>
    </w:p>
    <w:p>
      <w:pPr>
        <w:pStyle w:val="FirstParagraph"/>
      </w:pPr>
      <w:r>
        <w:rPr>
          <w:i/>
        </w:rPr>
        <w:t xml:space="preserve">Sources for this chapter: Ohio implementing act of March 3, 1803;</w:t>
      </w:r>
      <w:r>
        <w:t xml:space="preserve"> </w:t>
      </w:r>
      <w:r>
        <w:t xml:space="preserve">Cooper v. Roberts,</w:t>
      </w:r>
      <w:r>
        <w:t xml:space="preserve"> </w:t>
      </w:r>
      <w:r>
        <w:rPr>
          <w:i/>
        </w:rPr>
        <w:t xml:space="preserve">59 U.S. 173 (1855); Oregon Constitution, Article VIII [VERIFY phrasing];</w:t>
      </w:r>
      <w:r>
        <w:t xml:space="preserve"> </w:t>
      </w:r>
      <w:r>
        <w:t xml:space="preserve">Eagle Point Irrigation District v. Cowden</w:t>
      </w:r>
      <w:r>
        <w:t xml:space="preserve"> </w:t>
      </w:r>
      <w:r>
        <w:rPr>
          <w:i/>
        </w:rPr>
        <w:t xml:space="preserve">(Or. 1931) (</w:t>
      </w:r>
      <w:r>
        <w:rPr>
          <w:i/>
        </w:rPr>
        <w:t xml:space="preserve">“</w:t>
      </w:r>
      <w:r>
        <w:rPr>
          <w:i/>
        </w:rPr>
        <w:t xml:space="preserve">trust of the highest nature</w:t>
      </w:r>
      <w:r>
        <w:rPr>
          <w:i/>
        </w:rPr>
        <w:t xml:space="preserve">”</w:t>
      </w:r>
      <w:r>
        <w:rPr>
          <w:i/>
        </w:rPr>
        <w:t xml:space="preserve">) [VERIFY citation]; Oregon Attorney General opinions of 1977, 1992, and 2003 [VERIFY opinion numbers and quotations]; Oregon’s trust-code and institutional-funds scope provisions [VERIFY statutory citations]; Utah Code § 53C-1-102 (1994) [VERIFY]. The five-duty formulation follows the common law of trusts as restated in the model act presented in Part III. All flagged items must clear the verification pass before external use.</w:t>
      </w:r>
    </w:p>
    <w:p>
      <w:r>
        <w:br w:type="page"/>
      </w:r>
    </w:p>
    <w:p>
      <w:pPr>
        <w:pStyle w:val="Heading1"/>
      </w:pPr>
      <w:bookmarkStart w:id="38" w:name="chapter-4-the-lawyer-on-both-sides"/>
      <w:r>
        <w:t xml:space="preserve">Chapter 4 — The Lawyer on Both Sides</w:t>
      </w:r>
      <w:bookmarkEnd w:id="38"/>
    </w:p>
    <w:p>
      <w:pPr>
        <w:pStyle w:val="FirstParagraph"/>
      </w:pPr>
      <w:r>
        <w:t xml:space="preserve">[DRAFT v2.0 — AI first pass; awaiting Dave’s voice pass]</w:t>
      </w:r>
    </w:p>
    <w:p>
      <w:pPr>
        <w:pStyle w:val="BodyText"/>
      </w:pPr>
      <w:r>
        <w:rPr>
          <w:i/>
        </w:rPr>
        <w:t xml:space="preserve">[Litigation note: passages touching the live Oregon case are drawn from public filings and published attorney general opinions only, carry verification flags, and are gated on counsel review before external circulation. No outcome is predicted. The concrete episode the rework plan calls for from the litigation record is held as a placeholder pending counsel review — see bracketed marker below.]</w:t>
      </w:r>
    </w:p>
    <w:p>
      <w:r>
        <w:pict>
          <v:rect style="width:0;height:1.5pt" o:hralign="center" o:hrstd="t" o:hr="t"/>
        </w:pict>
      </w:r>
    </w:p>
    <w:p>
      <w:pPr>
        <w:pStyle w:val="FirstParagraph"/>
      </w:pPr>
      <w:r>
        <w:t xml:space="preserve">Here is one law office, across five decades.</w:t>
      </w:r>
    </w:p>
    <w:p>
      <w:pPr>
        <w:pStyle w:val="BodyText"/>
      </w:pPr>
      <w:r>
        <w:t xml:space="preserve">In 1977, Oregon’s Attorney General was asked whether income-producing school trust land could be reclassified as a natural area preserve. The answer was careful and, in its bones, fiduciary: only where the designation would not cut the land’s financial contribution to the school fund — which, for land earning its keep, meant no. The lawyer was protecting the client you would expect a trust’s lawyer to protect: the fund, and the children behind it. [VERIFY opinion citation and characterization.]</w:t>
      </w:r>
    </w:p>
    <w:p>
      <w:pPr>
        <w:pStyle w:val="BodyText"/>
      </w:pPr>
      <w:r>
        <w:t xml:space="preserve">In 1992, and again in 2003, the same office published opinions declaring that Oregon’s school lands</w:t>
      </w:r>
      <w:r>
        <w:t xml:space="preserve"> </w:t>
      </w:r>
      <w:r>
        <w:t xml:space="preserve">“</w:t>
      </w:r>
      <w:r>
        <w:t xml:space="preserve">are a trust for the benefit of public education</w:t>
      </w:r>
      <w:r>
        <w:t xml:space="preserve">”</w:t>
      </w:r>
      <w:r>
        <w:t xml:space="preserve"> </w:t>
      </w:r>
      <w:r>
        <w:t xml:space="preserve">and that the state’s obligations</w:t>
      </w:r>
      <w:r>
        <w:t xml:space="preserve"> </w:t>
      </w:r>
      <w:r>
        <w:t xml:space="preserve">“</w:t>
      </w:r>
      <w:r>
        <w:t xml:space="preserve">are binding. They cannot be disregarded.</w:t>
      </w:r>
      <w:r>
        <w:t xml:space="preserve">”</w:t>
      </w:r>
      <w:r>
        <w:t xml:space="preserve"> </w:t>
      </w:r>
      <w:r>
        <w:t xml:space="preserve">[VERIFY.]</w:t>
      </w:r>
    </w:p>
    <w:p>
      <w:pPr>
        <w:pStyle w:val="BodyText"/>
      </w:pPr>
      <w:r>
        <w:t xml:space="preserve">And in the 2020s, when the trust’s beneficiaries finally reached the courtroom, the same office was there ahead of them — at the other table, defending the trustee whose administration they had come to question. [VERIFY posture against the public docket; episode passages gated on counsel review.]</w:t>
      </w:r>
    </w:p>
    <w:p>
      <w:pPr>
        <w:pStyle w:val="BodyText"/>
      </w:pPr>
      <w:r>
        <w:t xml:space="preserve">No lawyer in that office did anything unethical at any of those three moments. Each was doing the assigned job competently. That is the scandal. The same office holds both assignments — enforcer of the public’s trusts and defense counsel for the public’s trustees — and which job it happens to be doing in a given decade depends on which client called first. The conflict is not a failure of character. It is printed in the org chart.</w:t>
      </w:r>
    </w:p>
    <w:p>
      <w:pPr>
        <w:pStyle w:val="Heading2"/>
      </w:pPr>
      <w:bookmarkStart w:id="39" w:name="the-enforcer-the-design-counted-on"/>
      <w:r>
        <w:t xml:space="preserve">The enforcer the design counted on</w:t>
      </w:r>
      <w:bookmarkEnd w:id="39"/>
    </w:p>
    <w:p>
      <w:pPr>
        <w:pStyle w:val="FirstParagraph"/>
      </w:pPr>
      <w:r>
        <w:t xml:space="preserve">To see how deep this goes, go back to the founders’ bet from Chapter 1. The trust form could hold property for beneficiaries who were children, scattered, or not yet born, precisely because the law supplied a stand-in to enforce it: the attorney general. That assignment was not an American improvisation. It came down with the rest of trust law from English practice — since at least 1601, the Crown’s law officers enforced charitable trusts on behalf of beneficiaries who could not appear. When the framers locked the school promise inside a charitable trust, the attorney general’s enforcement role was a load-bearing wall of the design.</w:t>
      </w:r>
      <w:r>
        <w:t xml:space="preserve"> </w:t>
      </w:r>
      <w:r>
        <w:rPr>
          <w:i/>
        </w:rPr>
        <w:t xml:space="preserve">The schoolchildren cannot sue. The attorney general will sue for them.</w:t>
      </w:r>
    </w:p>
    <w:p>
      <w:pPr>
        <w:pStyle w:val="BodyText"/>
      </w:pPr>
      <w:r>
        <w:t xml:space="preserve">Now ask the question the design never answered: sue</w:t>
      </w:r>
      <w:r>
        <w:t xml:space="preserve"> </w:t>
      </w:r>
      <w:r>
        <w:rPr>
          <w:i/>
        </w:rPr>
        <w:t xml:space="preserve">whom</w:t>
      </w:r>
      <w:r>
        <w:t xml:space="preserve">? The trustee of the school trust is the state — its land board, its constitutional officers, its agencies. And the attorney general is the state’s lawyer. The official charged with enforcing the trust on behalf of the children is, by the same statutes and the same oath, the legal defender of the trustee the children would complain about. When the trust’s interests and the state’s interests diverge — and over a forever horizon they always do, eventually, in some budget year — the design’s enforcement wall turns out to have been built facing the wrong way.</w:t>
      </w:r>
    </w:p>
    <w:p>
      <w:pPr>
        <w:pStyle w:val="BodyText"/>
      </w:pPr>
      <w:r>
        <w:t xml:space="preserve">The result, across two hundred and forty years and the better part of thirty trust-land states — roughly thirty states received school-land grants at statehood; about twenty still hold trust lands today; the others sold or lost theirs, which is itself part of the record [VERIFY counts] — is an enforcement record you could summarize in a sentence: the watchdog the architecture relied on has almost never bitten the hand that signs its filings. Attorneys general have written brave opinions — the Oregon shelf alone proves it. Opinions are what an enforcer produces when it cannot, institutionally, bring the case.</w:t>
      </w:r>
    </w:p>
    <w:p>
      <w:pPr>
        <w:pStyle w:val="Heading2"/>
      </w:pPr>
      <w:bookmarkStart w:id="40" w:name="no-private-trust-would-survive-this"/>
      <w:r>
        <w:t xml:space="preserve">No private trust would survive this</w:t>
      </w:r>
      <w:bookmarkEnd w:id="40"/>
    </w:p>
    <w:p>
      <w:pPr>
        <w:pStyle w:val="FirstParagraph"/>
      </w:pPr>
      <w:r>
        <w:t xml:space="preserve">Strip the public titles off and look at the arrangement as a trust lawyer would.</w:t>
      </w:r>
    </w:p>
    <w:p>
      <w:pPr>
        <w:pStyle w:val="BodyText"/>
      </w:pPr>
      <w:r>
        <w:t xml:space="preserve">A trust company is accused by its beneficiaries of running the trust for its own benefit. The lawyer who appears to defend the company is the same lawyer the law designates to police trust companies on beneficiaries’ behalf. The defense is conducted, and billed, as part of the ordinary operations the beneficiaries’ assets support. [VERIFY before asserting the funding mechanics in the Oregon instance specifically; the general structure — trustee defense costs borne by the trust or the public fisc rather than by the individuals accused — should be stated from the model act’s findings until the case-specific record is cleared by counsel.]</w:t>
      </w:r>
    </w:p>
    <w:p>
      <w:pPr>
        <w:pStyle w:val="BodyText"/>
      </w:pPr>
      <w:r>
        <w:t xml:space="preserve">Present that arrangement to any probate judge in America and it would not survive the morning. The conflict rules that govern private fiduciary litigation exist precisely because loyalty cannot be split: a lawyer cannot owe zeal to both the trustee accused of breach and the beneficiaries accusing him. Cardozo’s famous line — a trustee is held to</w:t>
      </w:r>
      <w:r>
        <w:t xml:space="preserve"> </w:t>
      </w:r>
      <w:r>
        <w:t xml:space="preserve">“</w:t>
      </w:r>
      <w:r>
        <w:t xml:space="preserve">the punctilio of an honor the most sensitive</w:t>
      </w:r>
      <w:r>
        <w:t xml:space="preserve">”</w:t>
      </w:r>
      <w:r>
        <w:t xml:space="preserve"> </w:t>
      </w:r>
      <w:r>
        <w:t xml:space="preserve">— names the standard at the heart of fiduciary law. But a standard is only as real as its enforcement, and an enforcement office that doubles as the defense bar is, in operational terms, no enforcement office at all. The punctilio becomes a plaque on the wall.</w:t>
      </w:r>
    </w:p>
    <w:p>
      <w:pPr>
        <w:pStyle w:val="BodyText"/>
      </w:pPr>
      <w:r>
        <w:t xml:space="preserve">There is a second cost, subtler and worse over time. Because the attorney general’s office is also the trustee’s standing legal adviser, its interpretations</w:t>
      </w:r>
      <w:r>
        <w:t xml:space="preserve"> </w:t>
      </w:r>
      <w:r>
        <w:rPr>
          <w:i/>
        </w:rPr>
        <w:t xml:space="preserve">become</w:t>
      </w:r>
      <w:r>
        <w:t xml:space="preserve"> </w:t>
      </w:r>
      <w:r>
        <w:t xml:space="preserve">the trust’s working law between lawsuits — and Chapter 3 showed what interpretation-drift does to an unwritten duty. The 1977 opinion was not amended; it was bypassed. The 1992 and 2003 opinions were not withdrawn; they were left standing while practice walked away from them. [VERIFY each.] An office that answers to the trustee will, across decades and without any single dishonest act, sand the duty down to fit what the trustee has already decided to do.</w:t>
      </w:r>
    </w:p>
    <w:p>
      <w:pPr>
        <w:pStyle w:val="BodyText"/>
      </w:pPr>
      <w:r>
        <w:rPr>
          <w:i/>
        </w:rPr>
        <w:t xml:space="preserve">[EPISODE PLACEHOLDER — the rework plan calls for one concrete instance from the Oregon litigation record showing the conflict in operation (a filing, a hearing exchange, or a representation decision). To be drafted from the public record and inserted here only after counsel review clears the specific instance for use.]</w:t>
      </w:r>
    </w:p>
    <w:p>
      <w:pPr>
        <w:pStyle w:val="BodyText"/>
      </w:pPr>
      <w:r>
        <w:t xml:space="preserve">One generic scene can stand in until then, because it recurs in every state where beneficiaries have tried. The beneficiaries’ side arrives with borrowed conference rooms, volunteer experts, and a budget raised in living rooms. Across the aisle sits the institutional memory of the state itself: career counsel who know the record because their own office wrote much of it, supported by agency staff whose time is already paid for. The deepest asymmetry is not money, though money is real. It is that one side’s lawyer helped build the very interpretations now under review, and is uniquely positioned — and uniquely motivated — to defend them. The children’s case must be constructed from scratch, against the office that was designed to bring it.</w:t>
      </w:r>
    </w:p>
    <w:p>
      <w:pPr>
        <w:pStyle w:val="Heading2"/>
      </w:pPr>
      <w:bookmarkStart w:id="41" w:name="the-people-who-saw-it-coming"/>
      <w:r>
        <w:t xml:space="preserve">The people who saw it coming</w:t>
      </w:r>
      <w:bookmarkEnd w:id="41"/>
    </w:p>
    <w:p>
      <w:pPr>
        <w:pStyle w:val="FirstParagraph"/>
      </w:pPr>
      <w:r>
        <w:t xml:space="preserve">None of this is a modern discovery. Congress saw the problem more than a century ago, and said so in statute.</w:t>
      </w:r>
    </w:p>
    <w:p>
      <w:pPr>
        <w:pStyle w:val="BodyText"/>
      </w:pPr>
      <w:r>
        <w:t xml:space="preserve">When New Mexico and Arizona were admitted in 1910, their enabling act carried the strongest trust language ever written into the federal template —</w:t>
      </w:r>
      <w:r>
        <w:t xml:space="preserve"> </w:t>
      </w:r>
      <w:r>
        <w:t xml:space="preserve">“</w:t>
      </w:r>
      <w:r>
        <w:t xml:space="preserve">in trust,</w:t>
      </w:r>
      <w:r>
        <w:t xml:space="preserve">”</w:t>
      </w:r>
      <w:r>
        <w:t xml:space="preserve"> </w:t>
      </w:r>
      <w:r>
        <w:t xml:space="preserve">breach-of-trust nullification, public-auction requirements. And then, the tell: the act made it the duty of the</w:t>
      </w:r>
      <w:r>
        <w:t xml:space="preserve"> </w:t>
      </w:r>
      <w:r>
        <w:rPr>
          <w:i/>
        </w:rPr>
        <w:t xml:space="preserve">Attorney General of the United States</w:t>
      </w:r>
      <w:r>
        <w:t xml:space="preserve"> </w:t>
      </w:r>
      <w:r>
        <w:t xml:space="preserve">to prosecute violations. [VERIFY: Act of June 20, 1910, § 10 — confirm citation.] Read that as the drafters’ verdict on sixty years of experience. By 1910, Congress did not trust state enforcement of state trusts enough to leave the children’s remedy in state hands alone. The federal backstop was an admission, in 36 Statutes-at-Large, that the lawyer-on-both-sides problem was real and known.</w:t>
      </w:r>
    </w:p>
    <w:p>
      <w:pPr>
        <w:pStyle w:val="BodyText"/>
      </w:pPr>
      <w:r>
        <w:t xml:space="preserve">Utah, after its own collapse and recovery, built the modern answer. Its Land Trusts Protection and Advocacy Office — statutory since 1994 in earlier form, codified in its current shape in Title 53D — is an office whose entire job description is the beneficiaries: its own director, its own budget, a mandate to advocate for the trust against any state use that conflicts with trust purposes, including against other state agencies. [VERIFY statutory history and citations.] When a proposal threatening the trust surfaces in Utah, someone whose paycheck does not depend on the trustee reads every page of it. Chapter 9 tells what that office caught and what it has been worth. The point here is simpler: the role is buildable. One state built it. It works. It costs less per year than the litigation it prevents. [VERIFY cost claim or cut.]</w:t>
      </w:r>
    </w:p>
    <w:p>
      <w:pPr>
        <w:pStyle w:val="Heading2"/>
      </w:pPr>
      <w:bookmarkStart w:id="42" w:name="Xc301a7bd54bee0da442208bfe3a6314c48f3b70"/>
      <w:r>
        <w:t xml:space="preserve">The repair: when the conflict appears, the conflicted lawyer steps out</w:t>
      </w:r>
      <w:bookmarkEnd w:id="42"/>
    </w:p>
    <w:p>
      <w:pPr>
        <w:pStyle w:val="FirstParagraph"/>
      </w:pPr>
      <w:r>
        <w:t xml:space="preserve">The fix follows the same logic every private court already applies, and Part III states it as statute in plain English.</w:t>
      </w:r>
    </w:p>
    <w:p>
      <w:pPr>
        <w:pStyle w:val="BodyText"/>
      </w:pPr>
      <w:r>
        <w:t xml:space="preserve">First, name the conflict instead of pretending it away. When the administration of a public trust is questioned, the attorney general — whose office advises and defends the trustee — cannot also speak for the beneficiaries, and is disqualified from purporting to.</w:t>
      </w:r>
    </w:p>
    <w:p>
      <w:pPr>
        <w:pStyle w:val="BodyText"/>
      </w:pPr>
      <w:r>
        <w:t xml:space="preserve">Second, give the beneficiaries a lawyer of their own: a standing, independent public trust advocate on the Utah pattern, or, where a state will not fund one, a special counsel appointed by the court for the matter at hand — selected outside the trustee’s chain of command, answerable to the trust alone.</w:t>
      </w:r>
    </w:p>
    <w:p>
      <w:pPr>
        <w:pStyle w:val="BodyText"/>
      </w:pPr>
      <w:r>
        <w:t xml:space="preserve">Third, stop the quiet outrage of the billing. The trustee’s defense, when trustees are credibly accused of breaching the trust, may not be paid out of the trust. Whoever ultimately bears those costs, it cannot be the children on whose behalf the question was raised.</w:t>
      </w:r>
    </w:p>
    <w:p>
      <w:pPr>
        <w:pStyle w:val="BodyText"/>
      </w:pPr>
      <w:r>
        <w:t xml:space="preserve">None of this insults the attorneys general, and the chapter should not be read as an indictment of the people. Most of them, in most decades, have written honest opinions and given sober advice — the Oregon record’s bravest sentences came from that office. The indictment is of an assignment no lawyer could perform: serving two masters whose interests are guaranteed, on a long enough horizon, to collide. The law’s oldest wisdom about fiduciaries is that you do not leave such collisions to character. You design them out.</w:t>
      </w:r>
    </w:p>
    <w:p>
      <w:pPr>
        <w:pStyle w:val="BodyText"/>
      </w:pPr>
      <w:r>
        <w:t xml:space="preserve">A promise to the politically silent needs three things in a courtroom: a door that opens, a duty on the page, and a lawyer on the right side of the room. The last two chapters and this one have shown how all three went missing at once. What follows next is what the silence purchased — a trust that, in most of America, has never once sent its beneficiaries a statement.</w:t>
      </w:r>
    </w:p>
    <w:p>
      <w:r>
        <w:pict>
          <v:rect style="width:0;height:1.5pt" o:hralign="center" o:hrstd="t" o:hr="t"/>
        </w:pict>
      </w:r>
    </w:p>
    <w:p>
      <w:pPr>
        <w:pStyle w:val="FirstParagraph"/>
      </w:pPr>
      <w:r>
        <w:rPr>
          <w:i/>
        </w:rPr>
        <w:t xml:space="preserve">Sources for this chapter: Oregon Attorney General opinions of 1977 (natural-area designation of school lands), 1992, and 2003 [VERIFY opinion numbers, dates, and quotations]; public docket of</w:t>
      </w:r>
      <w:r>
        <w:t xml:space="preserve"> </w:t>
      </w:r>
      <w:r>
        <w:t xml:space="preserve">Siuslaw School District 97J v. State of Oregon,</w:t>
      </w:r>
      <w:r>
        <w:t xml:space="preserve"> </w:t>
      </w:r>
      <w:r>
        <w:rPr>
          <w:i/>
        </w:rPr>
        <w:t xml:space="preserve">No. 24CV38372 (Coos County) [caption verified 2026-06-06 against the filed record; all case passages from public filings only, gated on counsel review]; Statute of Charitable Uses (1601) and the common-law rule of attorney-general enforcement of charitable trusts;</w:t>
      </w:r>
      <w:r>
        <w:t xml:space="preserve"> </w:t>
      </w:r>
      <w:r>
        <w:t xml:space="preserve">Meinhard v. Salmon,</w:t>
      </w:r>
      <w:r>
        <w:t xml:space="preserve"> </w:t>
      </w:r>
      <w:r>
        <w:rPr>
          <w:i/>
        </w:rPr>
        <w:t xml:space="preserve">249 N.Y. 458 (1928); New Mexico–Arizona Enabling Act, Act of June 20, 1910, ch. 310, 36 Stat. 557, § 10 [VERIFY]; Utah Code Title 53D (Land Trusts Protection and Advocacy Office) [VERIFY statutory history]. The structural findings restated here appear as legislative findings in the model act presented in Part III. All flagged items must clear the verification pass before external use.</w:t>
      </w:r>
    </w:p>
    <w:p>
      <w:r>
        <w:br w:type="page"/>
      </w:r>
    </w:p>
    <w:p>
      <w:pPr>
        <w:pStyle w:val="Heading1"/>
      </w:pPr>
      <w:bookmarkStart w:id="43" w:name="X5077c44bb889dcd77f109ddf545387200f7b5be"/>
      <w:r>
        <w:t xml:space="preserve">Chapter 5 — The Trust That Never Sends a Statement</w:t>
      </w:r>
      <w:bookmarkEnd w:id="43"/>
    </w:p>
    <w:p>
      <w:pPr>
        <w:pStyle w:val="FirstParagraph"/>
      </w:pPr>
      <w:r>
        <w:t xml:space="preserve">[DRAFT v2.0 — AI first pass; awaiting Dave’s voice pass]</w:t>
      </w:r>
    </w:p>
    <w:p>
      <w:r>
        <w:pict>
          <v:rect style="width:0;height:1.5pt" o:hralign="center" o:hrstd="t" o:hr="t"/>
        </w:pict>
      </w:r>
    </w:p>
    <w:p>
      <w:pPr>
        <w:pStyle w:val="FirstParagraph"/>
      </w:pPr>
      <w:r>
        <w:t xml:space="preserve">Suppose your grandmother left money in trust for you at a bank, and the bank never sent you a statement.</w:t>
      </w:r>
    </w:p>
    <w:p>
      <w:pPr>
        <w:pStyle w:val="BodyText"/>
      </w:pPr>
      <w:r>
        <w:t xml:space="preserve">Not one. Not the year you turned eighteen, not the year you asked, not ever. When you called, the bank told you the trust was being managed appropriately, that the details were complicated, and that the relevant information appeared somewhere in the bank’s own consolidated annual report, which you were welcome to read. The consolidated annual report was four hundred pages long, it mixed your trust’s numbers in with everything else the bank did, and nowhere in it could you find what your trust held, what it earned, what was spent out of it, or what was supposed to come to you.</w:t>
      </w:r>
    </w:p>
    <w:p>
      <w:pPr>
        <w:pStyle w:val="BodyText"/>
      </w:pPr>
      <w:r>
        <w:t xml:space="preserve">You would not call that an accounting problem. You would call a lawyer. And you would win, because the duty to account is one of the oldest duties in trust law — old enough that it was settled before this country existed. A trustee must keep the beneficiary informed. The beneficiary is entitled to know what the trust holds and what the trustee has done with it. A bank trustee that refused to send statements would not just lose the lawsuit. It would lose its trust powers. Regulators do not treat silence as a paperwork lapse. They treat it as the thing it is: the condition under which everything else goes wrong.</w:t>
      </w:r>
    </w:p>
    <w:p>
      <w:pPr>
        <w:pStyle w:val="BodyText"/>
      </w:pPr>
      <w:r>
        <w:t xml:space="preserve">Now consider the largest set of trusts in American public life — the school trusts, holding millions of acres and tens of billions of dollars for the schoolchildren of the states, present and future — and ask a simple question.</w:t>
      </w:r>
    </w:p>
    <w:p>
      <w:pPr>
        <w:pStyle w:val="BodyText"/>
      </w:pPr>
      <w:r>
        <w:t xml:space="preserve">Who gets the statement?</w:t>
      </w:r>
    </w:p>
    <w:p>
      <w:pPr>
        <w:pStyle w:val="Heading2"/>
      </w:pPr>
      <w:bookmarkStart w:id="44" w:name="the-test"/>
      <w:r>
        <w:t xml:space="preserve">The test</w:t>
      </w:r>
      <w:bookmarkEnd w:id="44"/>
    </w:p>
    <w:p>
      <w:pPr>
        <w:pStyle w:val="FirstParagraph"/>
      </w:pPr>
      <w:r>
        <w:t xml:space="preserve">Here is a fair test, and you can run it yourself this afternoon for your own state. A parent of a schoolchild — an actual beneficiary’s actual guardian — sits down at a computer and tries to answer five questions:</w:t>
      </w:r>
    </w:p>
    <w:p>
      <w:pPr>
        <w:numPr>
          <w:ilvl w:val="0"/>
          <w:numId w:val="1001"/>
        </w:numPr>
        <w:pStyle w:val="Compact"/>
      </w:pPr>
      <w:r>
        <w:t xml:space="preserve">What does the trust hold? How many acres, what kind, worth roughly what; how big is the permanent fund.</w:t>
      </w:r>
    </w:p>
    <w:p>
      <w:pPr>
        <w:numPr>
          <w:ilvl w:val="0"/>
          <w:numId w:val="1001"/>
        </w:numPr>
        <w:pStyle w:val="Compact"/>
      </w:pPr>
      <w:r>
        <w:t xml:space="preserve">What did it earn this year?</w:t>
      </w:r>
    </w:p>
    <w:p>
      <w:pPr>
        <w:numPr>
          <w:ilvl w:val="0"/>
          <w:numId w:val="1001"/>
        </w:numPr>
        <w:pStyle w:val="Compact"/>
      </w:pPr>
      <w:r>
        <w:t xml:space="preserve">What was spent out of it, and on what?</w:t>
      </w:r>
    </w:p>
    <w:p>
      <w:pPr>
        <w:numPr>
          <w:ilvl w:val="0"/>
          <w:numId w:val="1001"/>
        </w:numPr>
        <w:pStyle w:val="Compact"/>
      </w:pPr>
      <w:r>
        <w:t xml:space="preserve">What was transferred out of it — moved to some other fund, some other agency, some other purpose — and under what authority?</w:t>
      </w:r>
    </w:p>
    <w:p>
      <w:pPr>
        <w:numPr>
          <w:ilvl w:val="0"/>
          <w:numId w:val="1001"/>
        </w:numPr>
        <w:pStyle w:val="Compact"/>
      </w:pPr>
      <w:r>
        <w:t xml:space="preserve">What actually arrived at my child’s school?</w:t>
      </w:r>
    </w:p>
    <w:p>
      <w:pPr>
        <w:pStyle w:val="FirstParagraph"/>
      </w:pPr>
      <w:r>
        <w:t xml:space="preserve">In Utah, the parent can answer all five, because Utah sends the statement. Every public school in the state receives its share of the trust’s earnings as a visible, per-pupil distribution, governed at the school by a council with a parent majority, and the trust’s holdings and returns are published where a parent can find them. We will come back to Utah; the whole of Chapter 9 belongs to it.</w:t>
      </w:r>
    </w:p>
    <w:p>
      <w:pPr>
        <w:pStyle w:val="BodyText"/>
      </w:pPr>
      <w:r>
        <w:t xml:space="preserve">In most of the other trust-land states, the parent fails the test. Not because the states publish nothing — most publish something. An agency annual report written for the legislature. A land-office newsletter. An investment summary written for the bond market. Audited statewide financial statements in which the trust appears as a line or two, prepared under accounting standards built to answer a different question for a different reader. The documents exist. The accounting does not. You cannot take the pile and reconstruct the five answers, because the pile was never designed to yield them. Many trust-land states do not publish a single beneficiary-facing annual statement that consolidates the trust’s corpus, land inventory, receipts, expenses, asset dispositions, and distributions to beneficiaries [a reproducible fifty-state accounting is in progress; no count is asserted until it exists].</w:t>
      </w:r>
    </w:p>
    <w:p>
      <w:pPr>
        <w:pStyle w:val="BodyText"/>
      </w:pPr>
      <w:r>
        <w:t xml:space="preserve">Notice what the test is not asking. It is not asking whether the state is honest. It is not asking whether the trust is well managed. It is asking only whether the beneficiary can find out — and in most states the answer is no. The beneficiaries of these trusts cannot ascertain the condition of their own trust. Write that sentence about a private trust and you have described a scandal in progress. Write it about a public trust and you have described the ordinary, settled arrangement of most American states for the last century.</w:t>
      </w:r>
    </w:p>
    <w:p>
      <w:pPr>
        <w:pStyle w:val="Heading2"/>
      </w:pPr>
      <w:bookmarkStart w:id="45" w:name="what-invisibility-does"/>
      <w:r>
        <w:t xml:space="preserve">What invisibility does</w:t>
      </w:r>
      <w:bookmarkEnd w:id="45"/>
    </w:p>
    <w:p>
      <w:pPr>
        <w:pStyle w:val="FirstParagraph"/>
      </w:pPr>
      <w:r>
        <w:t xml:space="preserve">So what? The money is presumably still there. The land is presumably still there. If nobody sends a statement, perhaps nothing is lost but a formality.</w:t>
      </w:r>
    </w:p>
    <w:p>
      <w:pPr>
        <w:pStyle w:val="BodyText"/>
      </w:pPr>
      <w:r>
        <w:t xml:space="preserve">The record says otherwise, and the clearest demonstration is the one time somebody actually did the arithmetic.</w:t>
      </w:r>
    </w:p>
    <w:p>
      <w:pPr>
        <w:pStyle w:val="BodyText"/>
      </w:pPr>
      <w:r>
        <w:t xml:space="preserve">Oregon spent its first half-century selling its school lands as fast as it could —</w:t>
      </w:r>
      <w:r>
        <w:t xml:space="preserve"> </w:t>
      </w:r>
      <w:r>
        <w:t xml:space="preserve">“</w:t>
      </w:r>
      <w:r>
        <w:t xml:space="preserve">every acre as soon as the state had title,</w:t>
      </w:r>
      <w:r>
        <w:t xml:space="preserve">”</w:t>
      </w:r>
      <w:r>
        <w:t xml:space="preserve"> </w:t>
      </w:r>
      <w:r>
        <w:t xml:space="preserve">as the historian F. G. Young wrote in 1910,</w:t>
      </w:r>
      <w:r>
        <w:t xml:space="preserve"> </w:t>
      </w:r>
      <w:r>
        <w:t xml:space="preserve">“</w:t>
      </w:r>
      <w:r>
        <w:t xml:space="preserve">and quite too frequently even when it had only slight basis for expecting to secure it.</w:t>
      </w:r>
      <w:r>
        <w:t xml:space="preserve">”</w:t>
      </w:r>
      <w:r>
        <w:t xml:space="preserve"> </w:t>
      </w:r>
      <w:r>
        <w:t xml:space="preserve">In 1887 the legislature abolished auctions and ordered the school lands sold at a flat $1.25 an acre, a price so far below value that Young called the statute</w:t>
      </w:r>
      <w:r>
        <w:t xml:space="preserve"> </w:t>
      </w:r>
      <w:r>
        <w:t xml:space="preserve">“</w:t>
      </w:r>
      <w:r>
        <w:t xml:space="preserve">The Infamous Act.</w:t>
      </w:r>
      <w:r>
        <w:t xml:space="preserve">”</w:t>
      </w:r>
      <w:r>
        <w:t xml:space="preserve"> </w:t>
      </w:r>
      <w:r>
        <w:t xml:space="preserve">None of this was secret. Every sale was a public record. Every statute was published. The information existed, the way the bank’s four-hundred-page report exists — present, scattered, and aggregated by no one.</w:t>
      </w:r>
    </w:p>
    <w:p>
      <w:pPr>
        <w:pStyle w:val="BodyText"/>
      </w:pPr>
      <w:r>
        <w:t xml:space="preserve">Then, in 1907, Governor George Chamberlain added it up — the calculation Chapter 1 previewed — and told the legislature what the scattered records summed to:</w:t>
      </w:r>
      <w:r>
        <w:t xml:space="preserve"> </w:t>
      </w:r>
      <w:r>
        <w:t xml:space="preserve">“</w:t>
      </w:r>
      <w:r>
        <w:t xml:space="preserve">But for the policies which have been adopted by the Legislature from time to time with respect to its school lands, the irreducible school fund might have been five or six times as large as it is at present.</w:t>
      </w:r>
      <w:r>
        <w:t xml:space="preserve">”</w:t>
      </w:r>
    </w:p>
    <w:p>
      <w:pPr>
        <w:pStyle w:val="BodyText"/>
      </w:pPr>
      <w:r>
        <w:t xml:space="preserve">Five or six times as large. Read that as a statement of account, because that is what it is — the only one Oregon’s beneficiaries got in fifty years. A half-century of small, individually documented, individually defensible-looking transactions had quietly reduced the children’s endowment to a fifth or a sixth of what faithful administration would have produced. No single year’s loss would have alarmed anyone. The sum was a catastrophe. And the sum was visible only because one governor, once, did a month of arithmetic that no law required anyone to do, and that no law has required anyone to do since.</w:t>
      </w:r>
    </w:p>
    <w:p>
      <w:pPr>
        <w:pStyle w:val="BodyText"/>
      </w:pPr>
      <w:r>
        <w:t xml:space="preserve">That is what invisibility does. Drift — the slow, no-villains movement of a trust away from its purpose, which Chapter 8 takes apart — is not stopped by honesty, because most of the people involved are honest. It is stopped by observation. A trust that publishes a real accounting every year gives its beneficiaries a baseline, and a baseline turns drift into a measurable, contestable fact while the loss is still small. A trust that publishes none lets the drift compound silently until somebody’s once-a-generation arithmetic reveals that most of the inheritance is gone — at which point the records are old, the officials are dead, and the money is spent.</w:t>
      </w:r>
    </w:p>
    <w:p>
      <w:pPr>
        <w:pStyle w:val="BodyText"/>
      </w:pPr>
      <w:r>
        <w:t xml:space="preserve">There is a second cost, quieter still. For most of American history, finding out the condition of a school trust — even in a state whose records were complete — took an archivist’s training and an archivist’s month: deed books, legislative journals, land-office ledgers, figures that had to be restated across a century of inflation. The beneficiaries of these trusts are children. Children do not employ archivists. So the practical price of an answer was set higher than anyone acting for the beneficiaries could pay, and the states, by never sending the statement, kept it there. A duty to account that the beneficiary must perform for herself, at her own expense, from the trustee’s scattered papers, is not a duty the trustee is performing. It is a duty the trustee is outsourcing to the people it owes.</w:t>
      </w:r>
    </w:p>
    <w:p>
      <w:pPr>
        <w:pStyle w:val="Heading2"/>
      </w:pPr>
      <w:bookmarkStart w:id="46" w:name="the-category-to-watch"/>
      <w:r>
        <w:t xml:space="preserve">The category to watch</w:t>
      </w:r>
      <w:bookmarkEnd w:id="46"/>
    </w:p>
    <w:p>
      <w:pPr>
        <w:pStyle w:val="FirstParagraph"/>
      </w:pPr>
      <w:r>
        <w:t xml:space="preserve">If a state ever does start sending the statement, here is the line on it worth reading first: transfers out.</w:t>
      </w:r>
    </w:p>
    <w:p>
      <w:pPr>
        <w:pStyle w:val="BodyText"/>
      </w:pPr>
      <w:r>
        <w:t xml:space="preserve">Not expenditures — those at least claim to be costs of running the trust, and they can be tested against the question of whether they were reasonable. Transfers out are different. They are trust money moved to something that is not the trust: swept to another fund, assessed by another agency, redirected to a purpose the legislature liked better that year. Every great loss in the school-trust record either is a transfer out or ends as one. And in the states’ existing reports, this is precisely the category that is hardest to see — folded into netted totals, renamed as administrative charges, or simply absent, because the document was never built to confess it. A real accounting itemizes every transfer out and cites the legal authority for each one — and where there is no authority to cite, says so in print. The discipline is not the itemizing. The discipline is what the itemizing makes impossible.</w:t>
      </w:r>
    </w:p>
    <w:p>
      <w:pPr>
        <w:pStyle w:val="Heading2"/>
      </w:pPr>
      <w:bookmarkStart w:id="47" w:name="equitys-old-answer"/>
      <w:r>
        <w:t xml:space="preserve">Equity’s old answer</w:t>
      </w:r>
      <w:bookmarkEnd w:id="47"/>
    </w:p>
    <w:p>
      <w:pPr>
        <w:pStyle w:val="FirstParagraph"/>
      </w:pPr>
      <w:r>
        <w:t xml:space="preserve">Trust law worked all of this out a long time ago, including what to do about the trustee who keeps no records. The rule is blunt, and it is one of the oldest presumptions in equity: when a trustee fails to account, the doubts are resolved against the trustee. The beneficiary does not bear the burden of reconstructing what the trustee declined to write down. The trustee bears the burden of proving its administration was proper, and where its own silence makes proof impossible, the trustee loses. Equity reasoned that any other rule pays the trustee for the silence — it makes bad records a defense, and no records the best defense of all.</w:t>
      </w:r>
    </w:p>
    <w:p>
      <w:pPr>
        <w:pStyle w:val="BodyText"/>
      </w:pPr>
      <w:r>
        <w:t xml:space="preserve">Measure the states against that rule and the arrangement comes into focus. Most of them have spent a century in the posture that equity treats as the worst case — no statement, ever — while bearing none of the consequences, because no statute applied the rule to them. The duty to account existed the whole time; it came with the trust, as Chapter 3 showed. What never existed was the machinery: a deadline, a required content, a public place of publication, and a consequence for silence.</w:t>
      </w:r>
    </w:p>
    <w:p>
      <w:pPr>
        <w:pStyle w:val="BodyText"/>
      </w:pPr>
      <w:r>
        <w:t xml:space="preserve">That is machinery a legislature can build in a page or two, and the Uniform Public Trust Enforcement Act builds it in Article 3 — a complete annual public accounting for every public trust, published where any parent can read it, in data any citizen’s computer can check, with equity’s old burden-shifting rule waiting for any trustee who does not.</w:t>
      </w:r>
    </w:p>
    <w:p>
      <w:pPr>
        <w:pStyle w:val="BodyText"/>
      </w:pPr>
      <w:r>
        <w:t xml:space="preserve">The statement, in the end, is not paperwork. It is the difference between a promise you can check and a promise you must take on faith — and two hundred and forty years of records say exactly what happens to the promises taken on faith.</w:t>
      </w:r>
    </w:p>
    <w:p>
      <w:pPr>
        <w:pStyle w:val="BodyText"/>
      </w:pPr>
      <w:r>
        <w:t xml:space="preserve">But suppose the beneficiaries do the archivist’s work anyway — reconstruct the account, prove the loss, and win. What they meet next is the strangest failure of the six: a victory with nothing inside it. That is the next chapter.</w:t>
      </w:r>
    </w:p>
    <w:p>
      <w:r>
        <w:pict>
          <v:rect style="width:0;height:1.5pt" o:hralign="center" o:hrstd="t" o:hr="t"/>
        </w:pict>
      </w:r>
    </w:p>
    <w:p>
      <w:pPr>
        <w:pStyle w:val="FirstParagraph"/>
      </w:pPr>
      <w:r>
        <w:rPr>
          <w:b/>
        </w:rPr>
        <w:t xml:space="preserve">Sources for this chapter.</w:t>
      </w:r>
      <w:r>
        <w:t xml:space="preserve"> </w:t>
      </w:r>
      <w:r>
        <w:t xml:space="preserve">The duty to inform and account is foundational common-law trust doctrine; see the Restatement (Third) of Trusts and the Uniform Trust Code’s accounting provisions [VERIFY pin-cites]. The five-question test and the transfers-out analysis follow the legislative findings and Article 3 (Sections 301–304) of the Uniform Public Trust Enforcement Act (draft v1, June 5, 2026). The count of states publishing no complete school-trust accounting is drawn from the America’s School Trust Library fifty-state research and is flagged [VERIFY] pending final reconciliation against the state-by-state encyclopedia. Oregon’s first half-century: F. G. Young,</w:t>
      </w:r>
      <w:r>
        <w:t xml:space="preserve"> </w:t>
      </w:r>
      <w:r>
        <w:rPr>
          <w:i/>
        </w:rPr>
        <w:t xml:space="preserve">Oregon Historical Quarterly</w:t>
      </w:r>
      <w:r>
        <w:t xml:space="preserve"> </w:t>
      </w:r>
      <w:r>
        <w:t xml:space="preserve">(1910) (</w:t>
      </w:r>
      <w:r>
        <w:t xml:space="preserve">“</w:t>
      </w:r>
      <w:r>
        <w:t xml:space="preserve">every acre as soon as the state had title</w:t>
      </w:r>
      <w:r>
        <w:t xml:space="preserve">”</w:t>
      </w:r>
      <w:r>
        <w:t xml:space="preserve">;</w:t>
      </w:r>
      <w:r>
        <w:t xml:space="preserve"> </w:t>
      </w:r>
      <w:r>
        <w:t xml:space="preserve">“</w:t>
      </w:r>
      <w:r>
        <w:t xml:space="preserve">The Infamous Act</w:t>
      </w:r>
      <w:r>
        <w:t xml:space="preserve">”</w:t>
      </w:r>
      <w:r>
        <w:t xml:space="preserve">); the 1887 flat-price statute ($1.25 per acre); Governor George Chamberlain, Message to the Legislature (1907) (</w:t>
      </w:r>
      <w:r>
        <w:t xml:space="preserve">“</w:t>
      </w:r>
      <w:r>
        <w:t xml:space="preserve">five or six times as large</w:t>
      </w:r>
      <w:r>
        <w:t xml:space="preserve">”</w:t>
      </w:r>
      <w:r>
        <w:t xml:space="preserve">) [VERIFY quotations against the original documents before print]. Utah’s per-pupil distribution and parent-majority school councils: Utah School LAND Trust Program (1999), Utah Code [VERIFY citation]. The burden-shifting rule for a non-accounting trustee is long-settled equity practice, restated in UPTEA Section 304(b).</w:t>
      </w:r>
    </w:p>
    <w:p>
      <w:r>
        <w:br w:type="page"/>
      </w:r>
    </w:p>
    <w:p>
      <w:pPr>
        <w:pStyle w:val="Heading1"/>
      </w:pPr>
      <w:bookmarkStart w:id="48" w:name="chapter-6-when-winning-means-nothing"/>
      <w:r>
        <w:t xml:space="preserve">Chapter 6 — When Winning Means Nothing</w:t>
      </w:r>
      <w:bookmarkEnd w:id="48"/>
    </w:p>
    <w:p>
      <w:pPr>
        <w:pStyle w:val="FirstParagraph"/>
      </w:pPr>
      <w:r>
        <w:t xml:space="preserve">[DRAFT v2.0 — AI first pass; awaiting Dave’s voice pass]</w:t>
      </w:r>
    </w:p>
    <w:p>
      <w:r>
        <w:pict>
          <v:rect style="width:0;height:1.5pt" o:hralign="center" o:hrstd="t" o:hr="t"/>
        </w:pict>
      </w:r>
    </w:p>
    <w:p>
      <w:pPr>
        <w:pStyle w:val="FirstParagraph"/>
      </w:pPr>
      <w:r>
        <w:t xml:space="preserve">In the Coast Range of southwestern Oregon there is a forest of about 93,000 acres called the Elliott. For most of the twentieth century it was the workhorse of Oregon’s Common School Fund: Douglas-fir country, managed for sustained-yield timber, sending a reliable stream of revenue to the schools year after year. If you wanted to point to one asset that showed what the 1859 compact was supposed to look like in operation — land held for children, earning for children — the Elliott was the one you pointed to.</w:t>
      </w:r>
    </w:p>
    <w:p>
      <w:pPr>
        <w:pStyle w:val="BodyText"/>
      </w:pPr>
      <w:r>
        <w:t xml:space="preserve">Then, over about five years, the schools lost it. Not to a fire, and not to a thief. To a sequence of official decisions, each one explained, each one voted on in the open, each one defended as the responsible thing to do.</w:t>
      </w:r>
    </w:p>
    <w:p>
      <w:pPr>
        <w:pStyle w:val="BodyText"/>
      </w:pPr>
      <w:r>
        <w:t xml:space="preserve">The sequence ran like this. By the mid-2010s, the State Land Board — the trust’s trustee — had concluded the Elliott was a net drain on the fund: litigation over endangered-species protections had shrunk the harvestable acreage, and the political cost of cutting trees had outrun the school revenue the cutting produced. In 2017 the Board voted to sell the entire forest to a private buyer in a single transaction, then reversed itself under public pressure. In 2019 the state issued $100 million in bonds to compensate the fund for the Elliott’s reduced timber revenue. And by 2022 the legislature had approved the final form of the arrangement: the Elliott would become a research forest managed by Oregon State University, and the Common School Fund would be</w:t>
      </w:r>
      <w:r>
        <w:t xml:space="preserve"> </w:t>
      </w:r>
      <w:r>
        <w:t xml:space="preserve">“</w:t>
      </w:r>
      <w:r>
        <w:t xml:space="preserve">decoupled</w:t>
      </w:r>
      <w:r>
        <w:t xml:space="preserve">”</w:t>
      </w:r>
      <w:r>
        <w:t xml:space="preserve"> </w:t>
      </w:r>
      <w:r>
        <w:t xml:space="preserve">from it, with the state’s compensation for the whole transaction generally described at about $221 million [VERIFY — reconcile the total, its components, and its dates against the session laws, the Land Board record, and the bond documents before print].</w:t>
      </w:r>
    </w:p>
    <w:p>
      <w:pPr>
        <w:pStyle w:val="BodyText"/>
      </w:pPr>
      <w:r>
        <w:t xml:space="preserve">The state’s description of all this is straightforward: the schools were bought out. The trust gave up a troublesome asset and received fair compensation. Everyone can move on.</w:t>
      </w:r>
    </w:p>
    <w:p>
      <w:pPr>
        <w:pStyle w:val="BodyText"/>
      </w:pPr>
      <w:r>
        <w:t xml:space="preserve">The trust’s advocates describe it differently, and the difference is the subject of this chapter. The buyer and the seller here were not independent parties. The State of Oregon sat on both sides of the table: as trustee, deciding what the children would accept, and as the acquiring sovereign, deciding what the children would be paid. The beneficiaries did not ask to sell. The price was not set by a market — the one time a market price was nearly discovered, in 2017, the sale was called off. And what the trust received was not a working asset but a promise: the bonds are general-obligation debt of the state, repaid from general revenue. The schools’ claim on 93,000 acres of timber became the schools’ claim on a line item in the state budget — a budget written each session by the same legislature that engineered the exchange. In private trust law there is a name for a trustee who transfers trust property to himself at a price he set himself, and the name is not</w:t>
      </w:r>
      <w:r>
        <w:t xml:space="preserve"> </w:t>
      </w:r>
      <w:r>
        <w:t xml:space="preserve">“</w:t>
      </w:r>
      <w:r>
        <w:t xml:space="preserve">buyout.</w:t>
      </w:r>
      <w:r>
        <w:t xml:space="preserve">”</w:t>
      </w:r>
      <w:r>
        <w:t xml:space="preserve"> </w:t>
      </w:r>
      <w:r>
        <w:t xml:space="preserve">Whether the courts will see it that way is being litigated as this book goes to press, and this chapter does not predict; the litigation posture is described at the end. What can be said now is that the trustee’s own legal advisor had answered the underlying question long before. In 1977, Oregon’s Attorney General was asked whether income-producing school land could be designated a natural preserve, and answered that it could not be done where the designation</w:t>
      </w:r>
      <w:r>
        <w:t xml:space="preserve"> </w:t>
      </w:r>
      <w:r>
        <w:t xml:space="preserve">“</w:t>
      </w:r>
      <w:r>
        <w:t xml:space="preserve">would adversely affect the financial contribution of such land to the Common School Trust Fund.</w:t>
      </w:r>
      <w:r>
        <w:t xml:space="preserve">”</w:t>
      </w:r>
      <w:r>
        <w:t xml:space="preserve"> </w:t>
      </w:r>
      <w:r>
        <w:t xml:space="preserve">The 2022 arrangement did categorically what the 1977 opinion said could not be done incrementally. The opinion was never withdrawn. It was bypassed.</w:t>
      </w:r>
    </w:p>
    <w:p>
      <w:pPr>
        <w:pStyle w:val="BodyText"/>
      </w:pPr>
      <w:r>
        <w:t xml:space="preserve">But set the merits aside, because this chapter is not finally about whether the Elliott transaction was a breach. It is about something stranger and more important: what happens</w:t>
      </w:r>
      <w:r>
        <w:t xml:space="preserve"> </w:t>
      </w:r>
      <w:r>
        <w:rPr>
          <w:i/>
        </w:rPr>
        <w:t xml:space="preserve">if it was</w:t>
      </w:r>
      <w:r>
        <w:t xml:space="preserve">.</w:t>
      </w:r>
    </w:p>
    <w:p>
      <w:pPr>
        <w:pStyle w:val="Heading2"/>
      </w:pPr>
      <w:bookmarkStart w:id="49" w:name="the-remedies-that-exist"/>
      <w:r>
        <w:t xml:space="preserve">The remedies that exist</w:t>
      </w:r>
      <w:bookmarkEnd w:id="49"/>
    </w:p>
    <w:p>
      <w:pPr>
        <w:pStyle w:val="FirstParagraph"/>
      </w:pPr>
      <w:r>
        <w:t xml:space="preserve">Suppose a court someday looks at a transaction like this one — in Oregon or in any of the other states where versions of it have run — and finds a breach of trust. What can the court do about it?</w:t>
      </w:r>
    </w:p>
    <w:p>
      <w:pPr>
        <w:pStyle w:val="BodyText"/>
      </w:pPr>
      <w:r>
        <w:t xml:space="preserve">Trust law’s answer, built over centuries, is generous and precise. Equity developed a toolkit specifically for the problem of a fiduciary who has misused what he holds for others, and the tools have plain meanings:</w:t>
      </w:r>
    </w:p>
    <w:p>
      <w:pPr>
        <w:pStyle w:val="BodyText"/>
      </w:pPr>
      <w:r>
        <w:rPr>
          <w:b/>
        </w:rPr>
        <w:t xml:space="preserve">An accounting</w:t>
      </w:r>
      <w:r>
        <w:t xml:space="preserve"> </w:t>
      </w:r>
      <w:r>
        <w:t xml:space="preserve">— the court orders the trustee to lay out, completely and under oath, what the trust held and what was done with it, for any period in question. The first tool, because nothing else can be measured without it.</w:t>
      </w:r>
    </w:p>
    <w:p>
      <w:pPr>
        <w:pStyle w:val="BodyText"/>
      </w:pPr>
      <w:r>
        <w:rPr>
          <w:b/>
        </w:rPr>
        <w:t xml:space="preserve">Surcharge</w:t>
      </w:r>
      <w:r>
        <w:t xml:space="preserve"> </w:t>
      </w:r>
      <w:r>
        <w:t xml:space="preserve">— the trustee personally makes the trust whole. Not a fine paid to the government; a restoration of the loss, computed against what faithful administration would have produced.</w:t>
      </w:r>
    </w:p>
    <w:p>
      <w:pPr>
        <w:pStyle w:val="BodyText"/>
      </w:pPr>
      <w:r>
        <w:rPr>
          <w:b/>
        </w:rPr>
        <w:t xml:space="preserve">Restoration</w:t>
      </w:r>
      <w:r>
        <w:t xml:space="preserve"> </w:t>
      </w:r>
      <w:r>
        <w:t xml:space="preserve">— what was taken goes back. The asset itself, if it can still be identified; its full value with lost income and lost growth, if it cannot.</w:t>
      </w:r>
    </w:p>
    <w:p>
      <w:pPr>
        <w:pStyle w:val="BodyText"/>
      </w:pPr>
      <w:r>
        <w:rPr>
          <w:b/>
        </w:rPr>
        <w:t xml:space="preserve">Disgorgement</w:t>
      </w:r>
      <w:r>
        <w:t xml:space="preserve"> </w:t>
      </w:r>
      <w:r>
        <w:t xml:space="preserve">— whoever profited from the breach surrenders the profit. A trustee may not keep the gains of his own wrong, no matter how the transaction was papered.</w:t>
      </w:r>
    </w:p>
    <w:p>
      <w:pPr>
        <w:pStyle w:val="BodyText"/>
      </w:pPr>
      <w:r>
        <w:t xml:space="preserve">These are not exotic remedies. They are the ordinary consequences a bank trustee, a family trustee, any private trustee in America faces every working day. They are the reason private trusts are mostly kept: not because trustees are saints, but because everyone in the room knows the money can be ordered back.</w:t>
      </w:r>
    </w:p>
    <w:p>
      <w:pPr>
        <w:pStyle w:val="BodyText"/>
      </w:pPr>
      <w:r>
        <w:t xml:space="preserve">Now watch what happens when the trustee is a state.</w:t>
      </w:r>
    </w:p>
    <w:p>
      <w:pPr>
        <w:pStyle w:val="Heading2"/>
      </w:pPr>
      <w:bookmarkStart w:id="50" w:name="the-wall"/>
      <w:r>
        <w:t xml:space="preserve">The wall</w:t>
      </w:r>
      <w:bookmarkEnd w:id="50"/>
    </w:p>
    <w:p>
      <w:pPr>
        <w:pStyle w:val="FirstParagraph"/>
      </w:pPr>
      <w:r>
        <w:t xml:space="preserve">The beneficiary who proves a breach against a state trustee runs into a wall built of two doctrines, neither of which has anything to do with whether the breach occurred.</w:t>
      </w:r>
    </w:p>
    <w:p>
      <w:pPr>
        <w:pStyle w:val="BodyText"/>
      </w:pPr>
      <w:r>
        <w:t xml:space="preserve">The first is sovereign immunity — the old rule that the state cannot be sued without its own consent. It descends from the English maxim that the king can do no wrong, which is an odd cornerstone for a republic, but there it sits. Where it applies, it does not say the state is innocent. It says the question may not be asked. The state, as trustee, breaches; the state, as sovereign, declines to be sued for it; and both decisions are made by the same government.</w:t>
      </w:r>
    </w:p>
    <w:p>
      <w:pPr>
        <w:pStyle w:val="BodyText"/>
      </w:pPr>
      <w:r>
        <w:t xml:space="preserve">The second is the machinery states built when they did consent to suit: tort claims acts. These statutes were designed for a real and ordinary problem — the citizen whose car is hit by a state snowplow — and they carry the fittings that problem calls for: short notice deadlines, presentment procedures, caps on damages. Then, in trust litigation, states reach for the same machinery and hold it up against claims it was never built for. A demand that the trust corpus be restored is treated as if it were a fender claim: filed too late under a notice rule measured in months, against a breach that accumulated over decades; capped at an amount that bears no relation to what was taken; routed through procedures designed to protect the treasury from accident victims, now protecting it from the schoolchildren whose money the treasury holds. The centuries-old remedies of accounting, surcharge, and restoration — remedies that run to the trust, not damages paid to any individual — get fed into a machine built for car crashes, and the machine does what it was built to do. It says no.</w:t>
      </w:r>
    </w:p>
    <w:p>
      <w:pPr>
        <w:pStyle w:val="BodyText"/>
      </w:pPr>
      <w:r>
        <w:t xml:space="preserve">Put the two doctrines together and you get the result this chapter is named for. The beneficiary can fight through the standing wall of Chapter 2, establish the duties of Chapter 3 over the objection that they were never written down, survive the conflicted lawyering of Chapter 4, reconstruct from scattered records the accounting of Chapter 5 that no one ever sent — win, in other words, every battle the structure forces — and then be told, at the end, that the court has no power to order the money back. The breach is found. The remedy is barred. Winning means nothing.</w:t>
      </w:r>
    </w:p>
    <w:p>
      <w:pPr>
        <w:pStyle w:val="BodyText"/>
      </w:pPr>
      <w:r>
        <w:t xml:space="preserve">No private trust could survive this arrangement, because no private trust is asked to. A private trustee who answered a surcharge claim with</w:t>
      </w:r>
      <w:r>
        <w:t xml:space="preserve"> </w:t>
      </w:r>
      <w:r>
        <w:t xml:space="preserve">“</w:t>
      </w:r>
      <w:r>
        <w:t xml:space="preserve">I am immune from being sued by my beneficiaries</w:t>
      </w:r>
      <w:r>
        <w:t xml:space="preserve">”</w:t>
      </w:r>
      <w:r>
        <w:t xml:space="preserve"> </w:t>
      </w:r>
      <w:r>
        <w:t xml:space="preserve">would be removed before the laughter died down. Only public trustees hold this card, and it changes everything that happens before any case is filed. A trustee who knows the remedies cannot reach him is a trustee whose duties are, in practice, suggestions. The discount works backward through the whole institution: the legislature that knows restoration cannot be ordered prices breach at zero, and budgets accordingly. The wall does not just block the lawsuit at the end. It teaches everyone, all along, that the lawsuit at the end is safe to ignore.</w:t>
      </w:r>
    </w:p>
    <w:p>
      <w:pPr>
        <w:pStyle w:val="BodyText"/>
      </w:pPr>
      <w:r>
        <w:t xml:space="preserve">As for Oregon: the questions this chapter describes are not hypothetical there, and they are not settled. The trust’s advocates are in court now —</w:t>
      </w:r>
      <w:r>
        <w:t xml:space="preserve"> </w:t>
      </w:r>
      <w:r>
        <w:rPr>
          <w:i/>
        </w:rPr>
        <w:t xml:space="preserve">Siuslaw School District 97J v. State of Oregon</w:t>
      </w:r>
      <w:r>
        <w:t xml:space="preserve">, No. 24CV38372 (Coos County Circuit Court) [caption verified 2026-06-06 against the filed record;</w:t>
      </w:r>
      <w:r>
        <w:t xml:space="preserve"> </w:t>
      </w:r>
      <w:r>
        <w:rPr>
          <w:i/>
        </w:rPr>
        <w:t xml:space="preserve">Advocates for School Trust Lands v. State</w:t>
      </w:r>
      <w:r>
        <w:t xml:space="preserve">, 346 Or App 668 (2026), is the appeal of the earlier case, No. 23CV39056], with trial set for August 18–28, 2026 — and the State’s defenses and the available remedies are among the matters being litigated. This book describes the public record and predicts nothing. [COUNSEL REVIEW — all characterizations of 24CV38372 and the Elliott transaction in this chapter are gated on sign-off by lead counsel before any external use.]</w:t>
      </w:r>
    </w:p>
    <w:p>
      <w:pPr>
        <w:pStyle w:val="BodyText"/>
      </w:pPr>
      <w:r>
        <w:t xml:space="preserve">The repair, when it comes, is not complicated, because the remedies already exist; what is needed is consent. Article 6 of the Uniform Public Trust Enforcement Act supplies it — a limited waiver of sovereign immunity for the trust remedies themselves, a declaration that trust claims are not tort claims, and a guarantee that beneficiaries who sue in good faith are never made to pay for asking.</w:t>
      </w:r>
    </w:p>
    <w:p>
      <w:pPr>
        <w:pStyle w:val="BodyText"/>
      </w:pPr>
      <w:r>
        <w:t xml:space="preserve">A promise you cannot enforce is a hope. The framers did not set aside a square mile in every township for a hope.</w:t>
      </w:r>
    </w:p>
    <w:p>
      <w:pPr>
        <w:pStyle w:val="BodyText"/>
      </w:pPr>
      <w:r>
        <w:t xml:space="preserve">Five failures down, one to go. The last is the quietest of the six, because it needs no doctrine, no immunity statute, and no villain. It only needs nobody, ever, to tell the trustees what they are.</w:t>
      </w:r>
    </w:p>
    <w:p>
      <w:r>
        <w:pict>
          <v:rect style="width:0;height:1.5pt" o:hralign="center" o:hrstd="t" o:hr="t"/>
        </w:pict>
      </w:r>
    </w:p>
    <w:p>
      <w:pPr>
        <w:pStyle w:val="FirstParagraph"/>
      </w:pPr>
      <w:r>
        <w:rPr>
          <w:b/>
        </w:rPr>
        <w:t xml:space="preserve">Sources for this chapter.</w:t>
      </w:r>
      <w:r>
        <w:t xml:space="preserve"> </w:t>
      </w:r>
      <w:r>
        <w:t xml:space="preserve">The Elliott State Forest narrative — sustained-yield history, the mid-2010s net-drain determination, the 2017 sale vote and reversal, the 2019 $100 million bond issuance, the 2022 research-forest decoupling under Oregon State University management — is carried from the project’s Oregon record and the State Land Board’s public proceedings [VERIFY each step, date, and figure against the Land Board minutes, session laws, and bond documents before print; the ~$221 million total compensation figure in particular must be reconciled to primary sources]. The 1977 Oregon Attorney General opinion on natural-area designation of Common School Grant Land (construing ORS 273.562) is quoted from the project’s L0 record [VERIFY against the opinion text]. The equitable remedies of accounting, surcharge, restoration, and disgorgement are standard trust doctrine; see Restatement (Third) of Trusts (remedial provisions) [VERIFY pin-cites]. The sovereign-immunity and tort-claims analysis follows the legislative findings, Section 102(3)(e), and Article 6 (Sections 601–605) of the Uniform Public Trust Enforcement Act (draft v1, June 5, 2026).</w:t>
      </w:r>
      <w:r>
        <w:t xml:space="preserve"> </w:t>
      </w:r>
      <w:r>
        <w:rPr>
          <w:i/>
        </w:rPr>
        <w:t xml:space="preserve">Siuslaw School District 97J v. State of Oregon</w:t>
      </w:r>
      <w:r>
        <w:t xml:space="preserve">, No. 24CV38372 (Coos Cty. Cir. Ct.), is described from public filings only; trial is set for August 18–28, 2026.</w:t>
      </w:r>
    </w:p>
    <w:p>
      <w:r>
        <w:br w:type="page"/>
      </w:r>
    </w:p>
    <w:p>
      <w:pPr>
        <w:pStyle w:val="Heading1"/>
      </w:pPr>
      <w:bookmarkStart w:id="51" w:name="chapter-7-trustees-who-were-never-taught"/>
      <w:r>
        <w:t xml:space="preserve">Chapter 7 — Trustees Who Were Never Taught</w:t>
      </w:r>
      <w:bookmarkEnd w:id="51"/>
    </w:p>
    <w:p>
      <w:pPr>
        <w:pStyle w:val="FirstParagraph"/>
      </w:pPr>
      <w:r>
        <w:t xml:space="preserve">[DRAFT v2.0 — AI first pass; awaiting Dave’s voice pass]</w:t>
      </w:r>
    </w:p>
    <w:p>
      <w:r>
        <w:pict>
          <v:rect style="width:0;height:1.5pt" o:hralign="center" o:hrstd="t" o:hr="t"/>
        </w:pict>
      </w:r>
    </w:p>
    <w:p>
      <w:pPr>
        <w:pStyle w:val="FirstParagraph"/>
      </w:pPr>
      <w:r>
        <w:t xml:space="preserve">At noon on an inauguration day in Salem, Oregon, a newly elected state treasurer raises a right hand and takes an oath. In that moment the new treasurer acquires a long list of jobs, and somewhere down the list — below managing the state’s debt, below the unclaimed-property program — is this one: trustee of a perpetual trust for the schoolchildren of Oregon, the living ones and all the ones to come.</w:t>
      </w:r>
    </w:p>
    <w:p>
      <w:pPr>
        <w:pStyle w:val="BodyText"/>
      </w:pPr>
      <w:r>
        <w:t xml:space="preserve">It is not a ceremonial title. Oregon’s framers wrote it into the constitution in 1857: the governor, the secretary of state, and the treasurer constitute the State Land Board, and the Land Board administers the school trust. The treasurer now personally owes the most demanding duties American law knows how to impose — undivided loyalty, prudence, impartiality between the children in school today and the children of 2126 — duties a court once described as stricter than the morals of the marketplace,</w:t>
      </w:r>
      <w:r>
        <w:t xml:space="preserve"> </w:t>
      </w:r>
      <w:r>
        <w:t xml:space="preserve">“</w:t>
      </w:r>
      <w:r>
        <w:t xml:space="preserve">the punctilio of an honor the most sensitive.</w:t>
      </w:r>
      <w:r>
        <w:t xml:space="preserve">”</w:t>
      </w:r>
    </w:p>
    <w:p>
      <w:pPr>
        <w:pStyle w:val="BodyText"/>
      </w:pPr>
      <w:r>
        <w:t xml:space="preserve">Here is what happens next, in Oregon and in nearly every state like it: nothing.</w:t>
      </w:r>
    </w:p>
    <w:p>
      <w:pPr>
        <w:pStyle w:val="BodyText"/>
      </w:pPr>
      <w:r>
        <w:t xml:space="preserve">No one hands the new trustee a copy of the trust’s founding documents. No statute requires an hour of instruction in what a fiduciary is. There is no orientation in the duty of loyalty, no briefing on the difference between trust assets and state assets, no walk through the cases in which the state’s own courts have called this fund a trust of the highest nature. The treasurer will be surrounded, instead, by an agency with its own customs, its own budget anxieties, and its own settled sense of how things are done — and will learn the job, as every predecessor learned it, from the people who did it last.</w:t>
      </w:r>
    </w:p>
    <w:p>
      <w:pPr>
        <w:pStyle w:val="BodyText"/>
      </w:pPr>
      <w:r>
        <w:t xml:space="preserve">Compare the licensing requirements stacked up around far smaller responsibilities. The lawyer who argues before the Land Board must complete continuing education every year to keep her license. So, in most states, must the barber, the real-estate agent, the insurance adjuster, and the applicator of lawn pesticides. The trustee of a multi-billion-dollar children’s trust must complete, in most trust-land states, nothing at all [VERIFY the cross-state survey of training requirements before print]. We have decided, as a country, that cutting hair without instruction is a public danger, and that administering a perpetual trust without instruction is fine.</w:t>
      </w:r>
    </w:p>
    <w:p>
      <w:pPr>
        <w:pStyle w:val="Heading2"/>
      </w:pPr>
      <w:bookmarkStart w:id="52" w:name="what-the-gap-did-the-first-time"/>
      <w:r>
        <w:t xml:space="preserve">What the gap did, the first time</w:t>
      </w:r>
      <w:bookmarkEnd w:id="52"/>
    </w:p>
    <w:p>
      <w:pPr>
        <w:pStyle w:val="FirstParagraph"/>
      </w:pPr>
      <w:r>
        <w:t xml:space="preserve">If you want to know what untaught trustees do, Oregon’s first half-century is the most thoroughly documented answer in the national record, and Chapter 5 already introduced its bottom line: Governor Chamberlain’s 1907 calculation that the school fund might have been</w:t>
      </w:r>
      <w:r>
        <w:t xml:space="preserve"> </w:t>
      </w:r>
      <w:r>
        <w:t xml:space="preserve">“</w:t>
      </w:r>
      <w:r>
        <w:t xml:space="preserve">five or six times as large</w:t>
      </w:r>
      <w:r>
        <w:t xml:space="preserve">”</w:t>
      </w:r>
      <w:r>
        <w:t xml:space="preserve"> </w:t>
      </w:r>
      <w:r>
        <w:t xml:space="preserve">but for the legislature’s own policies. F. G. Young, the historian Chapter 5 quoted, described in 1910 the operating disposition that produced the loss — Oregon’s</w:t>
      </w:r>
      <w:r>
        <w:t xml:space="preserve"> </w:t>
      </w:r>
      <w:r>
        <w:t xml:space="preserve">“</w:t>
      </w:r>
      <w:r>
        <w:t xml:space="preserve">unwavering aim to get its state lands as rapidly as possible into private hands,</w:t>
      </w:r>
      <w:r>
        <w:t xml:space="preserve">”</w:t>
      </w:r>
      <w:r>
        <w:t xml:space="preserve"> </w:t>
      </w:r>
      <w:r>
        <w:t xml:space="preserve">every acre on the market the moment the state had title, and frequently before. In 1887 — the flat-price act from Chapter 5 — the legislature dropped even the pretense of seeking value. The era ended in the federal land-fraud trials of 1904–1910, which produced twenty-one convictions of state and federal officials.</w:t>
      </w:r>
    </w:p>
    <w:p>
      <w:pPr>
        <w:pStyle w:val="BodyText"/>
      </w:pPr>
      <w:r>
        <w:t xml:space="preserve">The convictions are the memorable part, but they are the smaller part. A few men in that story were crooks. The much larger cast was something else: clerks, board members, and constitutional officers who processed the sales, decade after decade, without ever once being told — by a statute, a curriculum, or anyone — that they were fiduciaries, that the lands were not the state’s to liquidate at pleasure, that</w:t>
      </w:r>
      <w:r>
        <w:t xml:space="preserve"> </w:t>
      </w:r>
      <w:r>
        <w:t xml:space="preserve">“</w:t>
      </w:r>
      <w:r>
        <w:t xml:space="preserve">as fast as possible into private hands</w:t>
      </w:r>
      <w:r>
        <w:t xml:space="preserve">”</w:t>
      </w:r>
      <w:r>
        <w:t xml:space="preserve"> </w:t>
      </w:r>
      <w:r>
        <w:t xml:space="preserve">was not a land policy choice but a breach. The constitutional officers were nominally the trustees; the clerks did the work; the speculators harvested the gap between them. Nobody in the chain had been taught what the trust required, and so the trust’s requirements never entered anyone’s daily arithmetic. The doctrinal floor was there the whole time — Oregon’s Supreme Court would later call the fund</w:t>
      </w:r>
      <w:r>
        <w:t xml:space="preserve"> </w:t>
      </w:r>
      <w:r>
        <w:t xml:space="preserve">“</w:t>
      </w:r>
      <w:r>
        <w:t xml:space="preserve">a trust of the highest nature</w:t>
      </w:r>
      <w:r>
        <w:t xml:space="preserve">”</w:t>
      </w:r>
      <w:r>
        <w:t xml:space="preserve"> </w:t>
      </w:r>
      <w:r>
        <w:t xml:space="preserve">— but doctrine no one has been taught is doctrine no one applies.</w:t>
      </w:r>
    </w:p>
    <w:p>
      <w:pPr>
        <w:pStyle w:val="Heading2"/>
      </w:pPr>
      <w:bookmarkStart w:id="53" w:name="what-the-gap-does-now"/>
      <w:r>
        <w:t xml:space="preserve">What the gap does now</w:t>
      </w:r>
      <w:bookmarkEnd w:id="53"/>
    </w:p>
    <w:p>
      <w:pPr>
        <w:pStyle w:val="FirstParagraph"/>
      </w:pPr>
      <w:r>
        <w:t xml:space="preserve">The nineteenth-century version of this failure looks like fraud trials. The modern version looks like nothing at all, which is what makes it the quietest failure in the book.</w:t>
      </w:r>
    </w:p>
    <w:p>
      <w:pPr>
        <w:pStyle w:val="BodyText"/>
      </w:pPr>
      <w:r>
        <w:t xml:space="preserve">Run the arithmetic on turnover. A Land Board seat turns over every few years with the election cycle. Across forty years, a three-member board might be occupied by two dozen different officials, each arriving untaught, each absorbing the agency’s current assumptions as if they were the trust’s original terms, each departing before the consequences of any drift mature. No individual ever sees the whole arc. The institution’s memory is the staff, and the staff’s memory is the way things have been done lately. Under those conditions, each generation’s small departure from purpose becomes the next generation’s baseline — and the departures only ever accumulate in one direction, because the pressures (Chapter 8 will name them) only ever push one way.</w:t>
      </w:r>
    </w:p>
    <w:p>
      <w:pPr>
        <w:pStyle w:val="BodyText"/>
      </w:pPr>
      <w:r>
        <w:t xml:space="preserve">Oregon’s own legal record captures the mechanism with unusual precision. In 1992, and again in 2003, Oregon’s Attorney General examined the school lands and concluded they</w:t>
      </w:r>
      <w:r>
        <w:t xml:space="preserve"> </w:t>
      </w:r>
      <w:r>
        <w:t xml:space="preserve">“</w:t>
      </w:r>
      <w:r>
        <w:t xml:space="preserve">are a trust for the benefit of public education,</w:t>
      </w:r>
      <w:r>
        <w:t xml:space="preserve">”</w:t>
      </w:r>
      <w:r>
        <w:t xml:space="preserve"> </w:t>
      </w:r>
      <w:r>
        <w:t xml:space="preserve">whose obligations</w:t>
      </w:r>
      <w:r>
        <w:t xml:space="preserve"> </w:t>
      </w:r>
      <w:r>
        <w:t xml:space="preserve">“</w:t>
      </w:r>
      <w:r>
        <w:t xml:space="preserve">are binding. They cannot be disregarded.</w:t>
      </w:r>
      <w:r>
        <w:t xml:space="preserve">”</w:t>
      </w:r>
      <w:r>
        <w:t xml:space="preserve"> </w:t>
      </w:r>
      <w:r>
        <w:t xml:space="preserve">Two decades later, the same office stood in court defending the proposition that the Land Board’s treatment of trust assets was legally permissible. The constitution had not changed. The granting acts had not changed. What changed was personnel — and where no statute requires each incoming generation to be taught what the last generation knew, an institution can unlearn its own duties in twenty years and never notice the unlearning. Departures from purpose, as the model act’s findings put it, accumulate without examination or correction.</w:t>
      </w:r>
    </w:p>
    <w:p>
      <w:pPr>
        <w:pStyle w:val="BodyText"/>
      </w:pPr>
      <w:r>
        <w:t xml:space="preserve">And there is the other half of the gap:</w:t>
      </w:r>
      <w:r>
        <w:t xml:space="preserve"> </w:t>
      </w:r>
      <w:r>
        <w:rPr>
          <w:i/>
        </w:rPr>
        <w:t xml:space="preserve">without examination</w:t>
      </w:r>
      <w:r>
        <w:t xml:space="preserve">. Suppose the trustees drift, untaught. Who catches it? States audit their agencies, but a financial audit asks whether the books are accurate — whether the money went where the ledger says it went. It does not ask whether where it went was where a trust’s money is allowed to go. No trust-land state, with exceptions you can count on one hand [VERIFY], requires any independent body, ever, to review the trust’s performance against its purpose: whether the assets earned what they should, whether the expenditures were proper charges, whether the administration has bent away from the beneficiaries. A private trust of any size gets that scrutiny as a matter of course. The school trusts can go — have gone — sixty, eighty, a hundred years without one disinterested examination of whether the trust is doing what it was created to do. Drift unobserved is drift uncorrected. We met that principle in Chapter 5 as the missing statement. Here it is again as the missing review: nobody checks the trustees’ homework, and most of the trustees were never given the textbook.</w:t>
      </w:r>
    </w:p>
    <w:p>
      <w:pPr>
        <w:pStyle w:val="Heading2"/>
      </w:pPr>
      <w:bookmarkStart w:id="54" w:name="what-a-taught-trustee-sounds-like"/>
      <w:r>
        <w:t xml:space="preserve">What a taught trustee sounds like</w:t>
      </w:r>
      <w:bookmarkEnd w:id="54"/>
    </w:p>
    <w:p>
      <w:pPr>
        <w:pStyle w:val="FirstParagraph"/>
      </w:pPr>
      <w:r>
        <w:t xml:space="preserve">That none of this is inevitable is demonstrated by the one state that decided to teach.</w:t>
      </w:r>
    </w:p>
    <w:p>
      <w:pPr>
        <w:pStyle w:val="BodyText"/>
      </w:pPr>
      <w:r>
        <w:t xml:space="preserve">In 2017, a Utah governor’s office was weighing a proposal that would have touched the school trust’s assets. In the room was Tim Dawson, the official responsible for the trust’s permanent fund. His response, as the trust’s longtime advocates tell the story, was one sentence:</w:t>
      </w:r>
      <w:r>
        <w:t xml:space="preserve"> </w:t>
      </w:r>
      <w:r>
        <w:t xml:space="preserve">“</w:t>
      </w:r>
      <w:r>
        <w:t xml:space="preserve">My job is to defend the trust.</w:t>
      </w:r>
      <w:r>
        <w:t xml:space="preserve">”</w:t>
      </w:r>
    </w:p>
    <w:p>
      <w:pPr>
        <w:pStyle w:val="BodyText"/>
      </w:pPr>
      <w:r>
        <w:t xml:space="preserve">Stop on that sentence, because every word of it is the product of instruction.</w:t>
      </w:r>
      <w:r>
        <w:t xml:space="preserve"> </w:t>
      </w:r>
      <w:r>
        <w:rPr>
          <w:i/>
        </w:rPr>
        <w:t xml:space="preserve">My job</w:t>
      </w:r>
      <w:r>
        <w:t xml:space="preserve"> </w:t>
      </w:r>
      <w:r>
        <w:t xml:space="preserve">— he knew the duty was personally his, not the room’s.</w:t>
      </w:r>
      <w:r>
        <w:t xml:space="preserve"> </w:t>
      </w:r>
      <w:r>
        <w:rPr>
          <w:i/>
        </w:rPr>
        <w:t xml:space="preserve">Defend</w:t>
      </w:r>
      <w:r>
        <w:t xml:space="preserve"> </w:t>
      </w:r>
      <w:r>
        <w:t xml:space="preserve">— he knew the posture a fiduciary takes when anyone, including his own government, reaches for the corpus.</w:t>
      </w:r>
      <w:r>
        <w:t xml:space="preserve"> </w:t>
      </w:r>
      <w:r>
        <w:rPr>
          <w:i/>
        </w:rPr>
        <w:t xml:space="preserve">The trust</w:t>
      </w:r>
      <w:r>
        <w:t xml:space="preserve"> </w:t>
      </w:r>
      <w:r>
        <w:t xml:space="preserve">— he knew what the thing was. None of that knowledge is innate. Utah built it: a statute that spells out the trustees’ duties in words no one can pretend not to understand, an administration staffed and trained around those duties, an advocacy office whose business is reminding everyone else, and a generation of officials who came up inside that culture. Chapter 9 tells the whole Utah story. The point here is narrower. Utah’s officials are not better people than Oregon’s. They are taught people. The sentence Dawson said in that room is the sentence the system had been saying to him, in statute and training and institutional habit, for twenty years. When the moment came, he repeated it. That is what trustee education is for: it decides, years in advance, what gets said in the room.</w:t>
      </w:r>
    </w:p>
    <w:p>
      <w:pPr>
        <w:pStyle w:val="Heading2"/>
      </w:pPr>
      <w:bookmarkStart w:id="55" w:name="the-quietest-failure"/>
      <w:r>
        <w:t xml:space="preserve">The quietest failure</w:t>
      </w:r>
      <w:bookmarkEnd w:id="55"/>
    </w:p>
    <w:p>
      <w:pPr>
        <w:pStyle w:val="FirstParagraph"/>
      </w:pPr>
      <w:r>
        <w:t xml:space="preserve">Of the six failures in this book, this one alone has no villain even in principle. The locked courthouse door was built by someone’s argument; the missing statement serves someone’s convenience; the conflicted lawyer is somebody’s structural advantage. But nobody benefits from untaught trustees — not even the trustees, who inherit personal duties they are never warned about and liabilities they discover, if ever, from a complaint. The gap persists for the dullest of reasons: instruction is nobody’s line item, review is nobody’s deadline, and forty years of well-meaning turnover can therefore do what no raid ever could — move the whole institution, one untaught generation at a time, until the trust is something else and no one can say when it changed.</w:t>
      </w:r>
    </w:p>
    <w:p>
      <w:pPr>
        <w:pStyle w:val="BodyText"/>
      </w:pPr>
      <w:r>
        <w:t xml:space="preserve">Which is why the repair has to be the dull kind: Article 7 of the Uniform Public Trust Enforcement Act simply makes the teaching mandatory — instruction for every trustee within months of taking office and at intervals after, from a curriculum the trustee’s own agency does not control — and puts an independent review of every public trust’s performance on the calendar at least once a decade, so that no generation of trustees ever again serves out its whole term unexamined.</w:t>
      </w:r>
    </w:p>
    <w:p>
      <w:pPr>
        <w:pStyle w:val="BodyText"/>
      </w:pPr>
      <w:r>
        <w:t xml:space="preserve">A republic that requires sixty hours of instruction to drive a school bus can require six to hold the children’s inheritance. The wonder is not that the requirement is needed. The wonder is that two hundred and forty years went by before anyone wrote it down.</w:t>
      </w:r>
    </w:p>
    <w:p>
      <w:pPr>
        <w:pStyle w:val="BodyText"/>
      </w:pPr>
      <w:r>
        <w:t xml:space="preserve">That completes the catalog. Part II turns from the six failures to the machine that produced them — why the same failures appeared in every state and every era, and what it took, exactly once, to throw the machine into reverse.</w:t>
      </w:r>
    </w:p>
    <w:p>
      <w:r>
        <w:pict>
          <v:rect style="width:0;height:1.5pt" o:hralign="center" o:hrstd="t" o:hr="t"/>
        </w:pict>
      </w:r>
    </w:p>
    <w:p>
      <w:pPr>
        <w:pStyle w:val="FirstParagraph"/>
      </w:pPr>
      <w:r>
        <w:rPr>
          <w:b/>
        </w:rPr>
        <w:t xml:space="preserve">Sources for this chapter.</w:t>
      </w:r>
      <w:r>
        <w:t xml:space="preserve"> </w:t>
      </w:r>
      <w:r>
        <w:t xml:space="preserve">Oregon’s Land Board composition: Or. Const. art. VIII, § 5 (1857). The</w:t>
      </w:r>
      <w:r>
        <w:t xml:space="preserve"> </w:t>
      </w:r>
      <w:r>
        <w:t xml:space="preserve">“</w:t>
      </w:r>
      <w:r>
        <w:t xml:space="preserve">punctilio of an honor the most sensitive</w:t>
      </w:r>
      <w:r>
        <w:t xml:space="preserve">”</w:t>
      </w:r>
      <w:r>
        <w:t xml:space="preserve"> </w:t>
      </w:r>
      <w:r>
        <w:t xml:space="preserve">standard: Cardozo, J., in</w:t>
      </w:r>
      <w:r>
        <w:t xml:space="preserve"> </w:t>
      </w:r>
      <w:r>
        <w:rPr>
          <w:i/>
        </w:rPr>
        <w:t xml:space="preserve">Meinhard v. Salmon</w:t>
      </w:r>
      <w:r>
        <w:t xml:space="preserve">, 249 N.Y. 458 (1928) [VERIFY pin-cite]. Oregon’s first half-century: F. G. Young,</w:t>
      </w:r>
      <w:r>
        <w:t xml:space="preserve"> </w:t>
      </w:r>
      <w:r>
        <w:rPr>
          <w:i/>
        </w:rPr>
        <w:t xml:space="preserve">Oregon Historical Quarterly</w:t>
      </w:r>
      <w:r>
        <w:t xml:space="preserve"> </w:t>
      </w:r>
      <w:r>
        <w:t xml:space="preserve">(1910); the 1887 flat-price act ($1.25 per acre); Governor Chamberlain’s 1907 message; the 1904–1910 federal land-fraud trials and twenty-one convictions of state and federal officials [VERIFY each against the primary record before print].</w:t>
      </w:r>
      <w:r>
        <w:t xml:space="preserve"> </w:t>
      </w:r>
      <w:r>
        <w:t xml:space="preserve">“</w:t>
      </w:r>
      <w:r>
        <w:t xml:space="preserve">Trust of the highest nature</w:t>
      </w:r>
      <w:r>
        <w:t xml:space="preserve">”</w:t>
      </w:r>
      <w:r>
        <w:t xml:space="preserve">:</w:t>
      </w:r>
      <w:r>
        <w:t xml:space="preserve"> </w:t>
      </w:r>
      <w:r>
        <w:rPr>
          <w:i/>
        </w:rPr>
        <w:t xml:space="preserve">Eagle Point Irrigation District v. Cowden</w:t>
      </w:r>
      <w:r>
        <w:t xml:space="preserve"> </w:t>
      </w:r>
      <w:r>
        <w:t xml:space="preserve">(Or. 1931) [VERIFY citation]. The 1992 and 2003 Oregon Attorney General opinions (</w:t>
      </w:r>
      <w:r>
        <w:t xml:space="preserve">“</w:t>
      </w:r>
      <w:r>
        <w:t xml:space="preserve">a trust for the benefit of public education</w:t>
      </w:r>
      <w:r>
        <w:t xml:space="preserve">”</w:t>
      </w:r>
      <w:r>
        <w:t xml:space="preserve">;</w:t>
      </w:r>
      <w:r>
        <w:t xml:space="preserve"> </w:t>
      </w:r>
      <w:r>
        <w:t xml:space="preserve">“</w:t>
      </w:r>
      <w:r>
        <w:t xml:space="preserve">binding. They cannot be disregarded</w:t>
      </w:r>
      <w:r>
        <w:t xml:space="preserve">”</w:t>
      </w:r>
      <w:r>
        <w:t xml:space="preserve">) are quoted from the project’s L0 record [VERIFY against opinion texts]. Cross-state claims about training and review requirements carry [VERIFY] flags pending the fifty-state survey. The Tim Dawson episode (2017) is preserved in Margaret Bird’s first-hand account, cited here as the recollection of a participant. The education and review analysis follows Section 102(3)(f) and Article 7 (Sections 701–702) of the Uniform Public Trust Enforcement Act (draft v1, June 5, 2026).</w:t>
      </w:r>
    </w:p>
    <w:p>
      <w:r>
        <w:br w:type="page"/>
      </w:r>
    </w:p>
    <w:p>
      <w:pPr>
        <w:pStyle w:val="Heading1"/>
      </w:pPr>
      <w:bookmarkStart w:id="56" w:name="chapter-8-the-drift-machine"/>
      <w:r>
        <w:t xml:space="preserve">Chapter 8 — The Drift Machine</w:t>
      </w:r>
      <w:bookmarkEnd w:id="56"/>
    </w:p>
    <w:p>
      <w:pPr>
        <w:pStyle w:val="FirstParagraph"/>
      </w:pPr>
      <w:r>
        <w:t xml:space="preserve">[DRAFT v2.0 — AI first pass; awaiting Dave’s voice pass]</w:t>
      </w:r>
    </w:p>
    <w:p>
      <w:r>
        <w:pict>
          <v:rect style="width:0;height:1.5pt" o:hralign="center" o:hrstd="t" o:hr="t"/>
        </w:pict>
      </w:r>
    </w:p>
    <w:p>
      <w:pPr>
        <w:pStyle w:val="FirstParagraph"/>
      </w:pPr>
      <w:r>
        <w:t xml:space="preserve">On June 20, 1910, Congress passed a single enabling act admitting two states, New Mexico and Arizona, and it gave them the strongest school-trust language ever written into federal law. The lands were granted expressly</w:t>
      </w:r>
      <w:r>
        <w:t xml:space="preserve"> </w:t>
      </w:r>
      <w:r>
        <w:t xml:space="preserve">“</w:t>
      </w:r>
      <w:r>
        <w:t xml:space="preserve">in trust.</w:t>
      </w:r>
      <w:r>
        <w:t xml:space="preserve">”</w:t>
      </w:r>
      <w:r>
        <w:t xml:space="preserve"> </w:t>
      </w:r>
      <w:r>
        <w:t xml:space="preserve">Any disposition contrary to the act was declared</w:t>
      </w:r>
      <w:r>
        <w:t xml:space="preserve"> </w:t>
      </w:r>
      <w:r>
        <w:t xml:space="preserve">“</w:t>
      </w:r>
      <w:r>
        <w:t xml:space="preserve">null and void.</w:t>
      </w:r>
      <w:r>
        <w:t xml:space="preserve">”</w:t>
      </w:r>
      <w:r>
        <w:t xml:space="preserve"> </w:t>
      </w:r>
      <w:r>
        <w:t xml:space="preserve">Misuse was named, in so many words,</w:t>
      </w:r>
      <w:r>
        <w:t xml:space="preserve"> </w:t>
      </w:r>
      <w:r>
        <w:t xml:space="preserve">“</w:t>
      </w:r>
      <w:r>
        <w:t xml:space="preserve">a breach of trust,</w:t>
      </w:r>
      <w:r>
        <w:t xml:space="preserve">”</w:t>
      </w:r>
      <w:r>
        <w:t xml:space="preserve"> </w:t>
      </w:r>
      <w:r>
        <w:t xml:space="preserve">and the Attorney General of the United States was charged with prosecuting violations. Same act, same day, same words, two states side by side on the same high desert.</w:t>
      </w:r>
    </w:p>
    <w:p>
      <w:pPr>
        <w:pStyle w:val="BodyText"/>
      </w:pPr>
      <w:r>
        <w:t xml:space="preserve">A century later, New Mexico’s permanent land fund holds roughly $30 billion. Arizona’s holds roughly $8 billion [VERIFY both figures and as-of dates against the funds’ current reports]. The same words produced outcomes that differ by a factor of nearly four.</w:t>
      </w:r>
    </w:p>
    <w:p>
      <w:pPr>
        <w:pStyle w:val="BodyText"/>
      </w:pPr>
      <w:r>
        <w:t xml:space="preserve">Now add Texas, which makes the puzzle worse. Texas was annexed, not carved from the federal domain; it kept its own public lands and received no federal school grant and no trust language at all. Its Permanent School Fund is today the largest school endowment in the country — larger than New Mexico’s and Arizona’s combined [VERIFY current figure; the working range is $56–67 billion]. And Connecticut, with no federal grant either, sold its western land claim in 1795 and capitalized a school fund eight years before Ohio — the first state to receive the federal sections — even existed.</w:t>
      </w:r>
    </w:p>
    <w:p>
      <w:pPr>
        <w:pStyle w:val="BodyText"/>
      </w:pPr>
      <w:r>
        <w:t xml:space="preserve">If the words decided the outcome, none of this could be true. The states with the strongest text should hold the strongest trusts, and the states with no text should hold nothing. Instead the record shows the founding language operating as an initial condition — the hand each state was dealt at admission — while something else entirely determined how the hand was played. Part I of this book told six stories of the promise failing. This chapter is about the something else: the machine that made the failures so uniform, in so many different states, across so many different eras, that you can use the six failures as a checklist.</w:t>
      </w:r>
    </w:p>
    <w:p>
      <w:pPr>
        <w:pStyle w:val="BodyText"/>
      </w:pPr>
      <w:r>
        <w:t xml:space="preserve">Because that uniformity is the fact demanding explanation. Oregon Democrats and Arizona Republicans, timber states and mineral states, 1887 and 1987 — the trusts drifted the same way everywhere the machinery ran unopposed. When the same failure occurs across every variation of politics, geography, and era, the cause is not the politics, the geography, or the era. The cause is structural. Three forces, present in every long-horizon institution humans have ever built, compound against a forever promise from the day it is made. None of them is exotic, and none of them requires a single dishonest actor.</w:t>
      </w:r>
    </w:p>
    <w:p>
      <w:pPr>
        <w:pStyle w:val="Heading2"/>
      </w:pPr>
      <w:bookmarkStart w:id="57" w:name="the-first-force-the-pull-of-the-present"/>
      <w:r>
        <w:t xml:space="preserve">The first force: the pull of the present</w:t>
      </w:r>
      <w:bookmarkEnd w:id="57"/>
    </w:p>
    <w:p>
      <w:pPr>
        <w:pStyle w:val="FirstParagraph"/>
      </w:pPr>
      <w:r>
        <w:t xml:space="preserve">Human beings discount the future, and not gently. A dollar today outweighs a dollar next year in everyone’s gut arithmetic, and a dollar promised to a child who will not be born for fifty years barely registers at all. Psychologists have measured the curve and it is steep. This is not a moral defect; it is how biological minds are built, presumably because the ancestors who heavily weighted next winter outlived the ones who heavily weighted the next century.</w:t>
      </w:r>
    </w:p>
    <w:p>
      <w:pPr>
        <w:pStyle w:val="BodyText"/>
      </w:pPr>
      <w:r>
        <w:t xml:space="preserve">Now look at what a perpetual trust asks of its trustee. The budget gap on the trustee’s desk is due in months and has a constituency that calls. The beneficiary of 2126 is an abstraction who never calls. The trustee is asked to weigh them equally — that is what impartiality between generations means — which is to say, the trustee is asked to override his own cognition every working day, forever. Some trustees manage it for a while. No institution staffed by human beings manages it indefinitely on willpower alone. The framers of the school compact understood this in their bones; it is why they reached for the most rigid legal form available rather than trusting posterity’s good intentions. What they could not supply was the daily enforcement the rigidity assumed.</w:t>
      </w:r>
    </w:p>
    <w:p>
      <w:pPr>
        <w:pStyle w:val="Heading2"/>
      </w:pPr>
      <w:bookmarkStart w:id="58" w:name="the-second-force-the-institutions-drift"/>
      <w:r>
        <w:t xml:space="preserve">The second force: the institution’s drift</w:t>
      </w:r>
      <w:bookmarkEnd w:id="58"/>
    </w:p>
    <w:p>
      <w:pPr>
        <w:pStyle w:val="FirstParagraph"/>
      </w:pPr>
      <w:r>
        <w:t xml:space="preserve">The second force lives not in any person but in the agency. Every long-running bureaucracy comes, over time, to treat its own continuity as a primary value — not corruptly, just gradually, the way any organism favors its own survival. Decisions that ease the agency’s budget, smooth its relations with the legislature, or placate the loudest industry in its hearing room get made one at a time, each with a defensible explanation. No single decision is a betrayal. But the explanations all bend the same direction, because the agency’s interests all point the same direction, and the aggregate — visible only across decades — is an institution that has quietly begun treating the trust corpus as the asset on which the institution runs, rather than as someone else’s property in its temporary care.</w:t>
      </w:r>
    </w:p>
    <w:p>
      <w:pPr>
        <w:pStyle w:val="BodyText"/>
      </w:pPr>
      <w:r>
        <w:t xml:space="preserve">Oregon’s Elliott story in Chapter 6 is this force in motion. Every actor in that chain had a defensible reason: the litigation costs were real, the political pain was real, the net-drain arithmetic was real inside the frame the agency drew around it. What no one in the room represented was the frame itself — the question of whether the trustee’s job was to relieve the trustee’s discomfort or to hold the beneficiaries’ asset. This is the signature of the second force, and it is worth stating as a rule: drift does not happen in any individual decision. Drift happens at the level of the room — in who is sitting at the table, and who is not.</w:t>
      </w:r>
    </w:p>
    <w:p>
      <w:pPr>
        <w:pStyle w:val="Heading2"/>
      </w:pPr>
      <w:bookmarkStart w:id="59" w:name="the-third-force-the-silent-current"/>
      <w:r>
        <w:t xml:space="preserve">The third force: the silent current</w:t>
      </w:r>
      <w:bookmarkEnd w:id="59"/>
    </w:p>
    <w:p>
      <w:pPr>
        <w:pStyle w:val="FirstParagraph"/>
      </w:pPr>
      <w:r>
        <w:t xml:space="preserve">Which brings up the deepest of the three, the one the whole compact was an attempt to engineer around. Every other interest that touches the trust can push back. The agency has lobbyists in its hallways. The industries have lobbyists at the capitol. The general fund has the appropriations committee. The beneficiaries — children now alive, and the longer line of children not yet born — have nothing. They cannot vote, cannot lobby, cannot give to a campaign, cannot sue without an adult fighting years for the right to speak for them, as Chapter 2 showed. In the constant negotiation that is government, the trust’s side of the table is structurally empty.</w:t>
      </w:r>
    </w:p>
    <w:p>
      <w:pPr>
        <w:pStyle w:val="BodyText"/>
      </w:pPr>
      <w:r>
        <w:t xml:space="preserve">Politics, like water, finds the unguarded channel. A legislature in a hard budget year does not take from the interest that will punish it; it takes from the interest that cannot. The school trusts have been the unguarded channel of American state finance for two centuries — not because legislators hate children, but because of every claim on the treasury, the children’s claim alone never pushes back. The framers chose the trust form precisely because it could hold property for the voiceless. But a trust is only as strong as its supervision, and supervision assumed someone would show up, generation after generation, to do the supervising. The silence is the default. Everything else in this book is about what fills it, or fails to.</w:t>
      </w:r>
    </w:p>
    <w:p>
      <w:pPr>
        <w:pStyle w:val="Heading2"/>
      </w:pPr>
      <w:bookmarkStart w:id="60" w:name="two-failure-modes-not-one"/>
      <w:r>
        <w:t xml:space="preserve">Two failure modes, not one</w:t>
      </w:r>
      <w:bookmarkEnd w:id="60"/>
    </w:p>
    <w:p>
      <w:pPr>
        <w:pStyle w:val="FirstParagraph"/>
      </w:pPr>
      <w:r>
        <w:t xml:space="preserve">Three compounding forces, then — but they produce disaster along two very different paths, and the difference matters as much as the forces themselves, because the defenses are different. The distinction comes from Margaret Bird, who has watched these fights longer than anyone:</w:t>
      </w:r>
      <w:r>
        <w:t xml:space="preserve"> </w:t>
      </w:r>
      <w:r>
        <w:rPr>
          <w:i/>
        </w:rPr>
        <w:t xml:space="preserve">drift</w:t>
      </w:r>
      <w:r>
        <w:t xml:space="preserve"> </w:t>
      </w:r>
      <w:r>
        <w:t xml:space="preserve">and</w:t>
      </w:r>
      <w:r>
        <w:t xml:space="preserve"> </w:t>
      </w:r>
      <w:r>
        <w:rPr>
          <w:i/>
        </w:rPr>
        <w:t xml:space="preserve">directed seizure</w:t>
      </w:r>
      <w:r>
        <w:t xml:space="preserve">.</w:t>
      </w:r>
    </w:p>
    <w:p>
      <w:pPr>
        <w:pStyle w:val="BodyText"/>
      </w:pPr>
      <w:r>
        <w:t xml:space="preserve">Drift is the slow path: the gradual, unintentional, no-villains movement of the trust away from its purpose. Oregon’s first half-century — every acre on the market, $1.25 flat — was drift. Forty years of untaught trustees is drift. Drift is what the three forces produce when nobody is paying attention, and its remedy is attention: accounting, review, the standing scrutiny that makes small departures visible while they are still small.</w:t>
      </w:r>
    </w:p>
    <w:p>
      <w:pPr>
        <w:pStyle w:val="BodyText"/>
      </w:pPr>
      <w:r>
        <w:t xml:space="preserve">Directed seizure is the fast path: a particular legislature or executive, in a particular season, deciding on purpose to convert what the trust holds. It is rarer, it is public or concealed but always deliberate, and attention alone does not stop it. Its remedy is contestation — litigation, mobilization, a political price made high enough in advance that reaching for the corpus stops being worth it.</w:t>
      </w:r>
    </w:p>
    <w:p>
      <w:pPr>
        <w:pStyle w:val="BodyText"/>
      </w:pPr>
      <w:r>
        <w:t xml:space="preserve">The cleanest demonstration that these are different problems came out of Nebraska while this book was being written, and it came as a controlled experiment, because the same governor reached for two trusts in the same season.</w:t>
      </w:r>
    </w:p>
    <w:p>
      <w:pPr>
        <w:pStyle w:val="BodyText"/>
      </w:pPr>
      <w:r>
        <w:t xml:space="preserve">In early 2026, Nebraska’s legislature took up LB 1072, which swept roughly $40 million in school-trust balances from the Board of Educational Lands and Funds — trustee of about $3 billion in school-trust assets — into a discretionary education spending fund. The maneuver was lawful in form, public in process, and precisely the kind of act a</w:t>
      </w:r>
      <w:r>
        <w:t xml:space="preserve"> </w:t>
      </w:r>
      <w:r>
        <w:t xml:space="preserve">“</w:t>
      </w:r>
      <w:r>
        <w:t xml:space="preserve">forever inviolate</w:t>
      </w:r>
      <w:r>
        <w:t xml:space="preserve">”</w:t>
      </w:r>
      <w:r>
        <w:t xml:space="preserve"> </w:t>
      </w:r>
      <w:r>
        <w:t xml:space="preserve">constitutional clause exists to deter. A state senator, Jane Raybould of Lincoln, moved on the floor to strike the transfer. Her amendment failed, nine votes to thirty. The bill was signed on April 7, 2026. No suit was filed. The beneficiaries’ side of the table was empty, and the sweep went through like water through the unguarded channel [VERIFY the LB 1072 particulars — amounts, dates, vote — against the legislative record before print].</w:t>
      </w:r>
    </w:p>
    <w:p>
      <w:pPr>
        <w:pStyle w:val="BodyText"/>
      </w:pPr>
      <w:r>
        <w:t xml:space="preserve">In the same session, the same governor proposed sweeping $40.7 million from a different perpetual fund — the Nebraska Environmental Trust, a lottery-funded conservation endowment. That trust, it turns out, has a constituency. The proposal met public outcry, op-eds, and a credible threat of constitutional litigation, and the sweep shrank from $40.7 million to $11.1 million before it passed [VERIFY figures].</w:t>
      </w:r>
    </w:p>
    <w:p>
      <w:pPr>
        <w:pStyle w:val="BodyText"/>
      </w:pPr>
      <w:r>
        <w:t xml:space="preserve">Same state. Same session. Same maneuver. Comparable legal architecture on both sides. The trust with watchers kept three-quarters of what was reached for; the trust without watchers lost everything on a 9–30 vote. You will not find a cleaner measurement anywhere in the record of what, exactly, the words on paper are worth without people behind them.</w:t>
      </w:r>
    </w:p>
    <w:p>
      <w:pPr>
        <w:pStyle w:val="Heading2"/>
      </w:pPr>
      <w:bookmarkStart w:id="61" w:name="what-the-machine-teaches"/>
      <w:r>
        <w:t xml:space="preserve">What the machine teaches</w:t>
      </w:r>
      <w:bookmarkEnd w:id="61"/>
    </w:p>
    <w:p>
      <w:pPr>
        <w:pStyle w:val="FirstParagraph"/>
      </w:pPr>
      <w:r>
        <w:t xml:space="preserve">Put the New Mexico–Arizona puzzle and the Nebraska experiment side by side and the record’s central finding comes into focus. Strong founding text without a constituency drifts — Oregon’s constitution called its school fund</w:t>
      </w:r>
      <w:r>
        <w:t xml:space="preserve"> </w:t>
      </w:r>
      <w:r>
        <w:t xml:space="preserve">“</w:t>
      </w:r>
      <w:r>
        <w:t xml:space="preserve">irreducible</w:t>
      </w:r>
      <w:r>
        <w:t xml:space="preserve">”</w:t>
      </w:r>
      <w:r>
        <w:t xml:space="preserve"> </w:t>
      </w:r>
      <w:r>
        <w:t xml:space="preserve">in 1857 and the fund was reduced for a century. A constituency without enforceable text has nothing to pull — it can rage at a floor vote it has no standing to challenge. Both layers are necessary. But of the two, the constituency is the active ingredient, because the record contains states where the text never changed and the outcome reversed completely the moment a constituency arrived. The next chapter is about the best of those states. Architecture, the record says, is what makes accountability</w:t>
      </w:r>
      <w:r>
        <w:t xml:space="preserve"> </w:t>
      </w:r>
      <w:r>
        <w:rPr>
          <w:i/>
        </w:rPr>
        <w:t xml:space="preserve">legible</w:t>
      </w:r>
      <w:r>
        <w:t xml:space="preserve">. People are what make it</w:t>
      </w:r>
      <w:r>
        <w:t xml:space="preserve"> </w:t>
      </w:r>
      <w:r>
        <w:rPr>
          <w:i/>
        </w:rPr>
        <w:t xml:space="preserve">operate</w:t>
      </w:r>
      <w:r>
        <w:t xml:space="preserve">.</w:t>
      </w:r>
    </w:p>
    <w:p>
      <w:pPr>
        <w:pStyle w:val="BodyText"/>
      </w:pPr>
      <w:r>
        <w:t xml:space="preserve">One rule of design falls straight out of the machine’s blueprint, and it should be carved over the door of every forever-institution: rigid as to beneficiary and purpose, adaptive as to means. The trusts that survived translated their assets as the world changed — land into funds, timber into portfolios — while holding the beneficiary and the purpose absolutely fixed. The trusts that failed did the reverse: they froze the means until the asset became a political orphan, then let the purpose float free until the corpus was anyone’s to claim. A trust that cannot adapt its instruments starves; a trust that can adapt its purpose is not a trust, just a temporary appropriation wearing ceremonial language.</w:t>
      </w:r>
    </w:p>
    <w:p>
      <w:pPr>
        <w:pStyle w:val="BodyText"/>
      </w:pPr>
      <w:r>
        <w:t xml:space="preserve">And one warning falls out with it. The three forces never operated on the school trusts alone — they operate on every institution asked to keep a promise longer than the people who made it, including the perpetual funds and AI-era endowments being chartered right now, whose architects Chapter 11 addresses. The machine is general. The school trusts are simply where it ran long enough, in enough variations, to leave a complete record of how it works — and of the one place where it was thrown into reverse.</w:t>
      </w:r>
    </w:p>
    <w:p>
      <w:pPr>
        <w:pStyle w:val="BodyText"/>
      </w:pPr>
      <w:r>
        <w:t xml:space="preserve">That place is Utah, and it is the next chapter.</w:t>
      </w:r>
    </w:p>
    <w:p>
      <w:r>
        <w:pict>
          <v:rect style="width:0;height:1.5pt" o:hralign="center" o:hrstd="t" o:hr="t"/>
        </w:pict>
      </w:r>
    </w:p>
    <w:p>
      <w:pPr>
        <w:pStyle w:val="FirstParagraph"/>
      </w:pPr>
      <w:r>
        <w:rPr>
          <w:b/>
        </w:rPr>
        <w:t xml:space="preserve">Sources for this chapter.</w:t>
      </w:r>
      <w:r>
        <w:t xml:space="preserve"> </w:t>
      </w:r>
      <w:r>
        <w:t xml:space="preserve">The New Mexico–Arizona Enabling Act of June 20, 1910, ch. 310, 36 Stat. 557 (express trust,</w:t>
      </w:r>
      <w:r>
        <w:t xml:space="preserve"> </w:t>
      </w:r>
      <w:r>
        <w:t xml:space="preserve">“</w:t>
      </w:r>
      <w:r>
        <w:t xml:space="preserve">null and void,</w:t>
      </w:r>
      <w:r>
        <w:t xml:space="preserve">”</w:t>
      </w:r>
      <w:r>
        <w:t xml:space="preserve"> </w:t>
      </w:r>
      <w:r>
        <w:t xml:space="preserve">“</w:t>
      </w:r>
      <w:r>
        <w:t xml:space="preserve">breach of trust,</w:t>
      </w:r>
      <w:r>
        <w:t xml:space="preserve">”</w:t>
      </w:r>
      <w:r>
        <w:t xml:space="preserve"> </w:t>
      </w:r>
      <w:r>
        <w:t xml:space="preserve">federal Attorney General enforcement); current fund balances are flagged [VERIFY] to the two funds’ annual reports. Texas’s Permanent School Fund figure and the Connecticut Western Reserve sale (1795) carry [VERIFY] to primary sources. The three-forces model (present-bias, bureaucratic self-interest, beneficiary voicelessness) and the drift / directed-seizure distinction — the latter framed by Margaret Bird — are developed from the comparative fifty-state record assembled in the companion volume,</w:t>
      </w:r>
      <w:r>
        <w:t xml:space="preserve"> </w:t>
      </w:r>
      <w:r>
        <w:rPr>
          <w:i/>
        </w:rPr>
        <w:t xml:space="preserve">The Forgotten Forever Gift to Public Schools</w:t>
      </w:r>
      <w:r>
        <w:t xml:space="preserve"> </w:t>
      </w:r>
      <w:r>
        <w:t xml:space="preserve">(Volume 1 of this work) [VERIFY title at print], and the America’s School Trust Library. Oregon: Or. Const. art. VIII, § 2 (1857) (</w:t>
      </w:r>
      <w:r>
        <w:t xml:space="preserve">“</w:t>
      </w:r>
      <w:r>
        <w:t xml:space="preserve">separate and irreducible</w:t>
      </w:r>
      <w:r>
        <w:t xml:space="preserve">”</w:t>
      </w:r>
      <w:r>
        <w:t xml:space="preserve">); the 1887 flat-price act; Chamberlain (1907) — all [VERIFY] as in Chapters 5 and 7. Nebraska: LB 1072 (signed April 7, 2026); the Raybould floor amendment (failed 9–30, March 19, 2026); BELF trust assets ≈ $3.0 billion; the Nebraska Environmental Trust sweep reduced from $40.7 million to $11.1 million — all [VERIFY] against the Nebraska legislative journal and contemporaneous reporting. Utah’s 1983 withdrawal and recovery are sourced in Chapter 9. The</w:t>
      </w:r>
      <w:r>
        <w:t xml:space="preserve"> </w:t>
      </w:r>
      <w:r>
        <w:t xml:space="preserve">“</w:t>
      </w:r>
      <w:r>
        <w:t xml:space="preserve">rigid as to purpose, adaptive as to means</w:t>
      </w:r>
      <w:r>
        <w:t xml:space="preserve">”</w:t>
      </w:r>
      <w:r>
        <w:t xml:space="preserve"> </w:t>
      </w:r>
      <w:r>
        <w:t xml:space="preserve">rule is the author’s synthesis of the comparative record.</w:t>
      </w:r>
    </w:p>
    <w:p>
      <w:r>
        <w:br w:type="page"/>
      </w:r>
    </w:p>
    <w:p>
      <w:pPr>
        <w:pStyle w:val="Heading1"/>
      </w:pPr>
      <w:bookmarkStart w:id="62" w:name="chapter-9-utah-the-existence-proof"/>
      <w:r>
        <w:t xml:space="preserve">Chapter 9 — Utah: The Existence Proof</w:t>
      </w:r>
      <w:bookmarkEnd w:id="62"/>
    </w:p>
    <w:p>
      <w:pPr>
        <w:pStyle w:val="FirstParagraph"/>
      </w:pPr>
      <w:r>
        <w:t xml:space="preserve">[DRAFT v2.0 — AI first pass; awaiting Dave’s voice pass]</w:t>
      </w:r>
    </w:p>
    <w:p>
      <w:r>
        <w:pict>
          <v:rect style="width:0;height:1.5pt" o:hralign="center" o:hrstd="t" o:hr="t"/>
        </w:pict>
      </w:r>
    </w:p>
    <w:p>
      <w:pPr>
        <w:pStyle w:val="FirstParagraph"/>
      </w:pPr>
      <w:r>
        <w:t xml:space="preserve">In 1983, with the state in a budget crisis, the Utah legislature reached into the permanent school fund and took two-thirds of it.</w:t>
      </w:r>
    </w:p>
    <w:p>
      <w:pPr>
        <w:pStyle w:val="BodyText"/>
      </w:pPr>
      <w:r>
        <w:t xml:space="preserve">The numbers deserve to be stated exactly, because the whole chapter rests on them. At the end of 1982, Utah’s State School Fund held $53,500,836. A year later it held $18,583,248. The difference — $37.5 million, the accumulation of nearly a century — had been withdrawn by ordinary statute to cover the year’s education appropriations. Utah’s constitution said, then as now, that the public school funds were</w:t>
      </w:r>
      <w:r>
        <w:t xml:space="preserve"> </w:t>
      </w:r>
      <w:r>
        <w:t xml:space="preserve">“</w:t>
      </w:r>
      <w:r>
        <w:t xml:space="preserve">guaranteed by the State against loss or diversion.</w:t>
      </w:r>
      <w:r>
        <w:t xml:space="preserve">”</w:t>
      </w:r>
      <w:r>
        <w:t xml:space="preserve"> </w:t>
      </w:r>
      <w:r>
        <w:t xml:space="preserve">On paper, the withdrawal could not happen. It happened in one budget cycle.</w:t>
      </w:r>
    </w:p>
    <w:p>
      <w:pPr>
        <w:pStyle w:val="BodyText"/>
      </w:pPr>
      <w:r>
        <w:t xml:space="preserve">If the book ended at the bottom of that ledger, Utah would just be one more story for Part I — a directed seizure by floor vote, conducted in the open, against a beneficiary class that could not vote and did not push back. Every force named in the last chapter, operating exactly as designed.</w:t>
      </w:r>
    </w:p>
    <w:p>
      <w:pPr>
        <w:pStyle w:val="BodyText"/>
      </w:pPr>
      <w:r>
        <w:t xml:space="preserve">But the book does not end there, because Utah does not. Over the following forty years, the people of Utah built back the fund — and built, piece by piece, nearly every defense whose absence the first half of this book catalogued. The roughly $50 million fund of the early 1990s stands at roughly $3.3 to $3.4 billion as of 2024 [VERIFY both figures and as-of dates against Utah Trust Lands reports], a recovery of more than sixtyfold, and every school in the state receives its share of the earnings in plain view, every year. Utah is the existence proof. One state, with the same kind of constitution, the same kind of enabling act, and the same human nature as the other nineteen trust-land states, chose to install the full architecture — and the trust came back from the edge and stays defended. After Utah, no one can claim the six failures are fate. They are choices, and Utah is the state that chose differently.</w:t>
      </w:r>
    </w:p>
    <w:p>
      <w:pPr>
        <w:pStyle w:val="BodyText"/>
      </w:pPr>
      <w:r>
        <w:t xml:space="preserve">It is worth walking through exactly what Utah did, in order, because the order itself is instructive: first the people showed up, then the laws got written.</w:t>
      </w:r>
    </w:p>
    <w:p>
      <w:pPr>
        <w:pStyle w:val="Heading2"/>
      </w:pPr>
      <w:bookmarkStart w:id="63" w:name="first-someone-read-page-124"/>
      <w:r>
        <w:t xml:space="preserve">First, someone read page 124</w:t>
      </w:r>
      <w:bookmarkEnd w:id="63"/>
    </w:p>
    <w:p>
      <w:pPr>
        <w:pStyle w:val="FirstParagraph"/>
      </w:pPr>
      <w:r>
        <w:t xml:space="preserve">The awakening began even before the raid, with a near miss that taught Utah’s school community what was at stake.</w:t>
      </w:r>
    </w:p>
    <w:p>
      <w:pPr>
        <w:pStyle w:val="BodyText"/>
      </w:pPr>
      <w:r>
        <w:t xml:space="preserve">Between roughly 1982 and 1984, Governor Scott Matheson — a Stanford-trained lawyer who, unusually for a governor, had actually practiced trust law — promoted an initiative called Project Bold. Its public rationale was sensible asset management: Utah’s three million acres of school-trust land lay scattered in the checkerboard pattern the 1894 Enabling Act had produced, and Project Bold proposed consolidating the scattered sections, through exchanges with the federal government, into contiguous blocks that could actually be managed for revenue. The State School Board was asked to support it on exactly that ground.</w:t>
      </w:r>
    </w:p>
    <w:p>
      <w:pPr>
        <w:pStyle w:val="BodyText"/>
      </w:pPr>
      <w:r>
        <w:t xml:space="preserve">According to Margaret Bird — who was on staff at the Utah State Office of Education in those years, later ran the school-trust-lands program there, and is the closest thing the school-trust movement has to an institutional memory — the proposal carried something its public rationale never mentioned. On page 124, by her account, sat language asking Congress to amend the Utah Enabling Act so that the federal grant would run</w:t>
      </w:r>
      <w:r>
        <w:t xml:space="preserve"> </w:t>
      </w:r>
      <w:r>
        <w:t xml:space="preserve">“</w:t>
      </w:r>
      <w:r>
        <w:t xml:space="preserve">to the state</w:t>
      </w:r>
      <w:r>
        <w:t xml:space="preserve">”</w:t>
      </w:r>
      <w:r>
        <w:t xml:space="preserve"> </w:t>
      </w:r>
      <w:r>
        <w:t xml:space="preserve">rather than</w:t>
      </w:r>
      <w:r>
        <w:t xml:space="preserve"> </w:t>
      </w:r>
      <w:r>
        <w:t xml:space="preserve">“</w:t>
      </w:r>
      <w:r>
        <w:t xml:space="preserve">for public schools.</w:t>
      </w:r>
      <w:r>
        <w:t xml:space="preserve">”</w:t>
      </w:r>
      <w:r>
        <w:t xml:space="preserve"> </w:t>
      </w:r>
      <w:r>
        <w:t xml:space="preserve">Three words against four. If the amendment had passed, the lands would have stayed in state hands — and stopped being a trust. The duties of loyalty, the bar on self-dealing, the children’s claim itself: all of it hung on the four words page 124 proposed to replace [the page-124 account rests on Margaret Bird’s contemporaneous recollection; it is presented here as her account, and flagged for her review].</w:t>
      </w:r>
    </w:p>
    <w:p>
      <w:pPr>
        <w:pStyle w:val="BodyText"/>
      </w:pPr>
      <w:r>
        <w:t xml:space="preserve">Project Bold failed in Congress, and the consolidation idea later succeeded honorably — the 1998 exchanges blocked up the lands while preserving their trust character. But the lesson Utah’s school community took from the episode outlasted both outcomes: nobody reads page 124 for you. Not the governor’s office, which wrote it; not the legislature, which receives a hundred such documents a session; not the attorney general, who works for the governor. If the beneficiaries of a trust want a sentinel, they must build one.</w:t>
      </w:r>
    </w:p>
    <w:p>
      <w:pPr>
        <w:pStyle w:val="BodyText"/>
      </w:pPr>
      <w:r>
        <w:t xml:space="preserve">Then came 1983, and the two-thirds withdrawal, and the lesson stopped being theoretical.</w:t>
      </w:r>
    </w:p>
    <w:p>
      <w:pPr>
        <w:pStyle w:val="Heading2"/>
      </w:pPr>
      <w:bookmarkStart w:id="64" w:name="then-the-constituency-assembled"/>
      <w:r>
        <w:t xml:space="preserve">Then the constituency assembled</w:t>
      </w:r>
      <w:bookmarkEnd w:id="64"/>
    </w:p>
    <w:p>
      <w:pPr>
        <w:pStyle w:val="FirstParagraph"/>
      </w:pPr>
      <w:r>
        <w:t xml:space="preserve">What happened next is the hinge of this book, and it is worth noticing what it was not. It was not a court ruling. It was not a new federal law. It was not a charismatic leader, though there were able people. It was a coalition — the Utah PTA, the Utah Education Association, the State Board of Education, the school boards association, the principals’ associations — that spent the years after the raid doing the unglamorous thing: educating itself about what the trust was, what the trustee owed, and what other states had done. By 1991 the coalition had pushed the legislature into creating a task force. By 1992 the task force had produced a slate of bills. And in 1994 the legislature enacted the School and Institutional Trust Lands Management Act, the most complete restatement of public-trust architecture any state had written.</w:t>
      </w:r>
    </w:p>
    <w:p>
      <w:pPr>
        <w:pStyle w:val="BodyText"/>
      </w:pPr>
      <w:r>
        <w:t xml:space="preserve">Look at what the 1994 act and its successors installed, against the checklist of Part I:</w:t>
      </w:r>
    </w:p>
    <w:p>
      <w:pPr>
        <w:pStyle w:val="BodyText"/>
      </w:pPr>
      <w:r>
        <w:rPr>
          <w:b/>
        </w:rPr>
        <w:t xml:space="preserve">The duties got written down.</w:t>
      </w:r>
      <w:r>
        <w:t xml:space="preserve"> </w:t>
      </w:r>
      <w:r>
        <w:t xml:space="preserve">Utah Code § 53C-1-102 codified the trustee’s</w:t>
      </w:r>
      <w:r>
        <w:t xml:space="preserve"> </w:t>
      </w:r>
      <w:r>
        <w:t xml:space="preserve">“</w:t>
      </w:r>
      <w:r>
        <w:t xml:space="preserve">undivided loyalty</w:t>
      </w:r>
      <w:r>
        <w:t xml:space="preserve">”</w:t>
      </w:r>
      <w:r>
        <w:t xml:space="preserve"> </w:t>
      </w:r>
      <w:r>
        <w:t xml:space="preserve">to the beneficiaries and the strict requirement to administer the corpus</w:t>
      </w:r>
      <w:r>
        <w:t xml:space="preserve"> </w:t>
      </w:r>
      <w:r>
        <w:t xml:space="preserve">“</w:t>
      </w:r>
      <w:r>
        <w:t xml:space="preserve">for their exclusive benefit</w:t>
      </w:r>
      <w:r>
        <w:t xml:space="preserve">”</w:t>
      </w:r>
      <w:r>
        <w:t xml:space="preserve"> </w:t>
      </w:r>
      <w:r>
        <w:t xml:space="preserve">— Chapter 3’s missing statute, supplied. No Utah official can now stand in a courtroom and argue the duties are unwritten, because they are written where a judge can read them.</w:t>
      </w:r>
    </w:p>
    <w:p>
      <w:pPr>
        <w:pStyle w:val="BodyText"/>
      </w:pPr>
      <w:r>
        <w:rPr>
          <w:b/>
        </w:rPr>
        <w:t xml:space="preserve">Management got professionalized and the trust got its own institution.</w:t>
      </w:r>
      <w:r>
        <w:t xml:space="preserve"> </w:t>
      </w:r>
      <w:r>
        <w:t xml:space="preserve">The lands moved from a conventional state agency to a dedicated trust-lands administration with a fiduciary mandate — an institution whose only client is the trust.</w:t>
      </w:r>
    </w:p>
    <w:p>
      <w:pPr>
        <w:pStyle w:val="BodyText"/>
      </w:pPr>
      <w:r>
        <w:rPr>
          <w:b/>
        </w:rPr>
        <w:t xml:space="preserve">The beneficiaries got a sentinel.</w:t>
      </w:r>
      <w:r>
        <w:t xml:space="preserve"> </w:t>
      </w:r>
      <w:r>
        <w:t xml:space="preserve">Utah created an independent Land Trusts Protection and Advocacy Office — separate from the management agency, with its own director, its own budget, and a statutory mandate to advocate for the beneficiaries even against other arms of the state [VERIFY the office’s statutory history and dates — Utah Code Title 53D — before print]. This is the office that reads page 124. Chapter 4’s conflicted lawyer has, in Utah, a structural answer: someone whose only job is the children’s side of the table.</w:t>
      </w:r>
    </w:p>
    <w:p>
      <w:pPr>
        <w:pStyle w:val="BodyText"/>
      </w:pPr>
      <w:r>
        <w:rPr>
          <w:b/>
        </w:rPr>
        <w:t xml:space="preserve">The statement gets sent.</w:t>
      </w:r>
      <w:r>
        <w:t xml:space="preserve"> </w:t>
      </w:r>
      <w:r>
        <w:t xml:space="preserve">Since 1999, under the School LAND Trust Program, a share of the trust’s earnings flows every year to every public school in Utah, per pupil, in plain view — and at each school a council with a parent majority, by statute, decides how the money serves that school’s plan. Chapter 5’s invisible trust became the most visible trust in America. Margaret Bird’s design insight here may be the single shrewdest piece of institutional engineering in the whole record: the children cannot defend their trust, but their parents can, and direct distribution recruits them. Every one of Utah’s school communities now has an annual, building-level reason to know the trust exists and to notice when anyone reaches for it. The distribution is not just the benefit. The distribution is the defense.</w:t>
      </w:r>
    </w:p>
    <w:p>
      <w:pPr>
        <w:pStyle w:val="BodyText"/>
      </w:pPr>
      <w:r>
        <w:rPr>
          <w:b/>
        </w:rPr>
        <w:t xml:space="preserve">And restoration actually happened.</w:t>
      </w:r>
      <w:r>
        <w:t xml:space="preserve"> </w:t>
      </w:r>
      <w:r>
        <w:t xml:space="preserve">When the 1996 designation of the Grand Staircase–Escalante National Monument swept up school sections, Utah did not absorb the loss in silence; the 1998 Schools and Lands Exchange Act compensated the trust with assets and money [VERIFY terms], converting a political loss into a legal recovery — Chapter 6’s missing remedy, run in real life.</w:t>
      </w:r>
    </w:p>
    <w:p>
      <w:pPr>
        <w:pStyle w:val="BodyText"/>
      </w:pPr>
      <w:r>
        <w:t xml:space="preserve">The results followed the architecture. The fund grew roughly sixty-six-fold. The distributions to schools grew from nothing visible to a line every principal and parent council in the state can quote. And the political economy inverted: in most states, raiding the school trust is free; in Utah, it now means answering to an advocacy office with statutory standing, a trust administration with a fiduciary mandate, and a thousand school communities who can each name the number being taken from them. The watchful crew the framers could not engineer — Utah engineered it.</w:t>
      </w:r>
    </w:p>
    <w:p>
      <w:pPr>
        <w:pStyle w:val="BodyText"/>
      </w:pPr>
      <w:r>
        <w:t xml:space="preserve">In 2017, when a proposal touching the trust’s assets reached the governor’s office, the officer responsible for the permanent fund answered with the sentence Chapter 7 already quoted:</w:t>
      </w:r>
      <w:r>
        <w:t xml:space="preserve"> </w:t>
      </w:r>
      <w:r>
        <w:t xml:space="preserve">“</w:t>
      </w:r>
      <w:r>
        <w:t xml:space="preserve">My job is to defend the trust.</w:t>
      </w:r>
      <w:r>
        <w:t xml:space="preserve">”</w:t>
      </w:r>
      <w:r>
        <w:t xml:space="preserve"> </w:t>
      </w:r>
      <w:r>
        <w:t xml:space="preserve">In 1983, nobody in the room would have said that sentence. The architecture put it there.</w:t>
      </w:r>
    </w:p>
    <w:p>
      <w:pPr>
        <w:pStyle w:val="Heading2"/>
      </w:pPr>
      <w:bookmarkStart w:id="65" w:name="what-utah-proves-and-what-it-doesnt"/>
      <w:r>
        <w:t xml:space="preserve">What Utah proves — and what it doesn’t</w:t>
      </w:r>
      <w:bookmarkEnd w:id="65"/>
    </w:p>
    <w:p>
      <w:pPr>
        <w:pStyle w:val="FirstParagraph"/>
      </w:pPr>
      <w:r>
        <w:t xml:space="preserve">Be precise about the proof, because the proof is the point of the chapter.</w:t>
      </w:r>
    </w:p>
    <w:p>
      <w:pPr>
        <w:pStyle w:val="BodyText"/>
      </w:pPr>
      <w:r>
        <w:t xml:space="preserve">Utah does not prove that strong constitutions protect trusts; Utah’s constitution failed in 1983. It does not prove that good people protect trusts; Utah’s people were no worse in 1983 than in 1994. What Utah proves is the conjunction from the end of the last chapter: written, enforceable duties</w:t>
      </w:r>
      <w:r>
        <w:t xml:space="preserve"> </w:t>
      </w:r>
      <w:r>
        <w:rPr>
          <w:i/>
        </w:rPr>
        <w:t xml:space="preserve">plus</w:t>
      </w:r>
      <w:r>
        <w:t xml:space="preserve"> </w:t>
      </w:r>
      <w:r>
        <w:t xml:space="preserve">an organized constituency, installed together, can stop the drift machine and run it backward — same state, same charter, same human nature, before and after. The variable that changed is the variable that decides. Every state that says</w:t>
      </w:r>
      <w:r>
        <w:t xml:space="preserve"> </w:t>
      </w:r>
      <w:r>
        <w:t xml:space="preserve">“</w:t>
      </w:r>
      <w:r>
        <w:t xml:space="preserve">our trust has dwindled and nothing can be done</w:t>
      </w:r>
      <w:r>
        <w:t xml:space="preserve">”</w:t>
      </w:r>
      <w:r>
        <w:t xml:space="preserve"> </w:t>
      </w:r>
      <w:r>
        <w:t xml:space="preserve">is contradicted by a working counterexample one time zone away. That is what an existence proof is.</w:t>
      </w:r>
    </w:p>
    <w:p>
      <w:pPr>
        <w:pStyle w:val="BodyText"/>
      </w:pPr>
      <w:r>
        <w:t xml:space="preserve">But Utah also proves a second thing, sterner than the first: the machine never turns off. As this book was being written, Utah itself supplied the reminder. In its 2025 session the legislature opened a path for trust lands to be sold directly to a state agency — the kind of state-to-itself transaction this book examined in Chapter 6 — and in 2026, under that authority, a block of more than 50,000 acres of school-trust land in the Book Cliffs was approved for sale to the state’s wildlife agency, with advocates for the trust contesting whether the process honored the trustee’s duty to obtain full value in an arm’s-length way [VERIFY the entire episode — bill number, acreage, parties, posture — against the Utah record before print; characterize only what the documents support]. The dispute is live and this book does not judge it. The point is simpler: it is happening in</w:t>
      </w:r>
      <w:r>
        <w:t xml:space="preserve"> </w:t>
      </w:r>
      <w:r>
        <w:rPr>
          <w:i/>
        </w:rPr>
        <w:t xml:space="preserve">Utah</w:t>
      </w:r>
      <w:r>
        <w:t xml:space="preserve"> </w:t>
      </w:r>
      <w:r>
        <w:t xml:space="preserve">— the best-defended trust in America — one generation after the reforms. The three forces of Chapter 8 did not retire when Title 53C passed. They never do. The pull of the present outlives every reform generation, which is why the watch can never stand down, and why the architecture itself must include the institutions that keep watching after the founders are gone.</w:t>
      </w:r>
    </w:p>
    <w:p>
      <w:pPr>
        <w:pStyle w:val="BodyText"/>
      </w:pPr>
      <w:r>
        <w:t xml:space="preserve">Utah built its architecture the hard way — a near miss, a raid, and a decade of coalition work, then thirty years of statutes refined one session at a time. The question this book exists to answer is whether the other states must each pay that tuition separately, or whether Utah’s forty-year curriculum can be written down once, as a single enforceable statute, and handed to any legislature willing to keep its promise. It can; the Uniform Public Trust Enforcement Act is that statute, and Part III walks through it.</w:t>
      </w:r>
    </w:p>
    <w:p>
      <w:pPr>
        <w:pStyle w:val="BodyText"/>
      </w:pPr>
      <w:r>
        <w:t xml:space="preserve">The promise held where the duties were written and the people kept watching. One state did both. The experiment worked. Now it needs replication.</w:t>
      </w:r>
    </w:p>
    <w:p>
      <w:pPr>
        <w:pStyle w:val="BodyText"/>
      </w:pPr>
      <w:r>
        <w:t xml:space="preserve">And replication starts where Utah started — not with a statute, but with people who decided to watch. They are the next chapter.</w:t>
      </w:r>
    </w:p>
    <w:p>
      <w:r>
        <w:pict>
          <v:rect style="width:0;height:1.5pt" o:hralign="center" o:hrstd="t" o:hr="t"/>
        </w:pict>
      </w:r>
    </w:p>
    <w:p>
      <w:pPr>
        <w:pStyle w:val="FirstParagraph"/>
      </w:pPr>
      <w:r>
        <w:rPr>
          <w:b/>
        </w:rPr>
        <w:t xml:space="preserve">Sources for this chapter.</w:t>
      </w:r>
      <w:r>
        <w:t xml:space="preserve"> </w:t>
      </w:r>
      <w:r>
        <w:t xml:space="preserve">The 1983 withdrawal: Utah State School Fund balances of $53,500,836 (1982) and $18,583,248 (1983), a $37.5 million withdrawal by ordinary statute [VERIFY against Utah fiscal records]; Utah Const. art. X (</w:t>
      </w:r>
      <w:r>
        <w:t xml:space="preserve">“</w:t>
      </w:r>
      <w:r>
        <w:t xml:space="preserve">guaranteed by the State against loss or diversion</w:t>
      </w:r>
      <w:r>
        <w:t xml:space="preserve">”</w:t>
      </w:r>
      <w:r>
        <w:t xml:space="preserve">) [VERIFY current article/section numbering]. Project Bold (1982–1984), Governor Scott Matheson, and the page-124 account: per Margaret Bird’s first-hand recollection (she served at the Utah State Office of Education in the period and later led its school-trust-lands program); presented as her account and flagged for her review. The recovery: coalition organizing 1989–1992 (Utah PTA, UEA, State Board of Education, school boards, principals’ associations); task force 1991–1992; School and Institutional Trust Lands Management Act (1994), Utah Code Title 53C, including § 53C-1-102 (</w:t>
      </w:r>
      <w:r>
        <w:t xml:space="preserve">“</w:t>
      </w:r>
      <w:r>
        <w:t xml:space="preserve">undivided loyalty</w:t>
      </w:r>
      <w:r>
        <w:t xml:space="preserve">”</w:t>
      </w:r>
      <w:r>
        <w:t xml:space="preserve">;</w:t>
      </w:r>
      <w:r>
        <w:t xml:space="preserve"> </w:t>
      </w:r>
      <w:r>
        <w:t xml:space="preserve">“</w:t>
      </w:r>
      <w:r>
        <w:t xml:space="preserve">exclusive benefit</w:t>
      </w:r>
      <w:r>
        <w:t xml:space="preserve">”</w:t>
      </w:r>
      <w:r>
        <w:t xml:space="preserve">); School LAND Trust Program (1999) with parent-majority school councils; Land Trusts Protection and Advocacy Office, Utah Code Title 53D [VERIFY statutory dates]; Schools and Lands Exchange Act (1998) following the Grand Staircase–Escalante designation [VERIFY terms]. Fund growth from ≈$50 million (early 1990s) to ≈$3.3–3.4 billion (2024) [VERIFY against Utah Trust Lands annual reports]. The Tim Dawson remark (2017) is preserved in Margaret Bird’s first-hand account. The 2025–2026 direct-sale controversy (Book Cliffs) is described from the public record and carries a blanket [VERIFY]; all characterizations of the live dispute await verification against primary documents. The Uniform Public Trust Enforcement Act (draft v1, June 5, 2026) is the subject of Part III.</w:t>
      </w:r>
    </w:p>
    <w:p>
      <w:r>
        <w:br w:type="page"/>
      </w:r>
    </w:p>
    <w:p>
      <w:pPr>
        <w:pStyle w:val="Heading1"/>
      </w:pPr>
      <w:bookmarkStart w:id="66" w:name="chapter-10-the-watchful-crew"/>
      <w:r>
        <w:t xml:space="preserve">Chapter 10 — The Watchful Crew</w:t>
      </w:r>
      <w:bookmarkEnd w:id="66"/>
    </w:p>
    <w:p>
      <w:pPr>
        <w:pStyle w:val="FirstParagraph"/>
      </w:pPr>
      <w:r>
        <w:t xml:space="preserve">[DRAFT v2.0 — AI first pass; awaiting Dave’s voice pass]</w:t>
      </w:r>
    </w:p>
    <w:p>
      <w:r>
        <w:pict>
          <v:rect style="width:0;height:1.5pt" o:hralign="center" o:hrstd="t" o:hr="t"/>
        </w:pict>
      </w:r>
    </w:p>
    <w:p>
      <w:pPr>
        <w:pStyle w:val="FirstParagraph"/>
      </w:pPr>
      <w:r>
        <w:t xml:space="preserve">Anchors do not set themselves.</w:t>
      </w:r>
    </w:p>
    <w:p>
      <w:pPr>
        <w:pStyle w:val="BodyText"/>
      </w:pPr>
      <w:r>
        <w:t xml:space="preserve">That is the whole of this chapter, and it is worth sitting with, because it is the part of the problem no statute can reach. You can write every duty from the last nine chapters into law. You can codify loyalty, require the accounting, open the courthouse, restore the remedies. And you will have built a beautiful set of anchors. An anchor that no one inspects, that no crew drops when the storm comes up, is at the next storm indistinguishable from no anchor at all.</w:t>
      </w:r>
    </w:p>
    <w:p>
      <w:pPr>
        <w:pStyle w:val="BodyText"/>
      </w:pPr>
      <w:r>
        <w:t xml:space="preserve">Margaret Bird — whom you met in Chapters 8 and 9 — puts the matter in one sentence: if nobody says</w:t>
      </w:r>
      <w:r>
        <w:t xml:space="preserve"> </w:t>
      </w:r>
      <w:r>
        <w:rPr>
          <w:i/>
        </w:rPr>
        <w:t xml:space="preserve">you can’t do that</w:t>
      </w:r>
      <w:r>
        <w:t xml:space="preserve">, then they just get to do it. [Quote in spirit, attributed to Margaret Bird, May 5, 2026; flagged for her review.]</w:t>
      </w:r>
    </w:p>
    <w:p>
      <w:pPr>
        <w:pStyle w:val="BodyText"/>
      </w:pPr>
      <w:r>
        <w:t xml:space="preserve">That sentence is the diagnosis of two centuries of drift, and it is a job description. This chapter is about the people who fill it.</w:t>
      </w:r>
    </w:p>
    <w:p>
      <w:pPr>
        <w:pStyle w:val="Heading2"/>
      </w:pPr>
      <w:bookmarkStart w:id="67" w:name="the-experiment-ran-both-ways"/>
      <w:r>
        <w:t xml:space="preserve">The experiment ran both ways</w:t>
      </w:r>
      <w:bookmarkEnd w:id="67"/>
    </w:p>
    <w:p>
      <w:pPr>
        <w:pStyle w:val="FirstParagraph"/>
      </w:pPr>
      <w:r>
        <w:t xml:space="preserve">The record makes the case better than any argument could, because it ran the experiment in both directions.</w:t>
      </w:r>
    </w:p>
    <w:p>
      <w:pPr>
        <w:pStyle w:val="BodyText"/>
      </w:pPr>
      <w:r>
        <w:t xml:space="preserve">Oregon, before 1990, had one of the stronger trust architectures in the country. The protections were on paper. The structure was sound for its century. And the trust drifted anyway — not because the law failed, but because the people who had kept the law honest in practice thinned out. The mission-minded state foresters who treated sustained yield as a duty. The school administrators who spoke for the beneficiary at every hearing. A legislative culture in which the trust’s status as a trust simply went unquestioned. That cohort dissipated faster than the paper architecture could compensate. The defenses held in the statute book and dissolved in the room where the decisions were made. Nobody, in enough numbers and for enough years, was there to say</w:t>
      </w:r>
      <w:r>
        <w:t xml:space="preserve"> </w:t>
      </w:r>
      <w:r>
        <w:rPr>
          <w:i/>
        </w:rPr>
        <w:t xml:space="preserve">you can’t do that</w:t>
      </w:r>
      <w:r>
        <w:t xml:space="preserve">. So, in the end, they did.</w:t>
      </w:r>
    </w:p>
    <w:p>
      <w:pPr>
        <w:pStyle w:val="BodyText"/>
      </w:pPr>
      <w:r>
        <w:t xml:space="preserve">Utah ran it the other way, and the last chapter told that story in full. What bears repeating here is the part that was never in the statute. Utah’s recovery is the joint product of architecture</w:t>
      </w:r>
      <w:r>
        <w:t xml:space="preserve"> </w:t>
      </w:r>
      <w:r>
        <w:rPr>
          <w:i/>
        </w:rPr>
        <w:t xml:space="preserve">and</w:t>
      </w:r>
      <w:r>
        <w:t xml:space="preserve"> </w:t>
      </w:r>
      <w:r>
        <w:t xml:space="preserve">a community that treated the architecture as binding: the parents on the school councils, the teachers, the advocacy office, the journalists who covered the fund as if it mattered, the legislators who learned that reaching for the trust meant answering to every school in the state. When the officer responsible for Utah’s permanent fund said, as Chapter 7 told, that his job was to defend the trust, he was not being brave in a vacuum. He was saying a line that a watching public expected him to say — and would have noticed if he hadn’t. [VERIFY: Tim Dawson account, Utah, 2017; per Margaret Bird’s first-hand recollection.]</w:t>
      </w:r>
    </w:p>
    <w:p>
      <w:pPr>
        <w:pStyle w:val="BodyText"/>
      </w:pPr>
      <w:r>
        <w:t xml:space="preserve">The difference between the two states was never a difference in their laws. It was a difference in their crews.</w:t>
      </w:r>
    </w:p>
    <w:p>
      <w:pPr>
        <w:pStyle w:val="BodyText"/>
      </w:pPr>
      <w:r>
        <w:t xml:space="preserve">There is one more thread in the record worth pulling, because it tells the crew something specific about its own shape. In the modern enforcement cases — the lawsuits that actually recovered ground for school trusts — there is a feature the successful ones share: an organized nonprofit at the center of the plaintiff team. [VERIFY: nonprofit-plaintiff finding across the modern enforcement cases.] Not a lone aggrieved citizen, and not the state suing itself. The reason is not mysterious. A child cannot sue. A school, in most states, hesitates to sue the hand that feeds it. Somebody has to be organized enough, and durable enough, to be the plaintiff — and to still be there for the appeal three years later. The crew is not decoration on the litigation. Case after case, it is the thing that made the litigation possible at all.</w:t>
      </w:r>
    </w:p>
    <w:p>
      <w:pPr>
        <w:pStyle w:val="Heading2"/>
      </w:pPr>
      <w:bookmarkStart w:id="68" w:name="a-craft-that-almost-died-and-didnt"/>
      <w:r>
        <w:t xml:space="preserve">A craft that almost died, and didn’t</w:t>
      </w:r>
      <w:bookmarkEnd w:id="68"/>
    </w:p>
    <w:p>
      <w:pPr>
        <w:pStyle w:val="FirstParagraph"/>
      </w:pPr>
      <w:r>
        <w:t xml:space="preserve">Watchfulness over a public trust is a civic craft, and civic crafts can be lost. They can also be deliberately revived. That is not a hope; it has been done in this country, within living memory, in a humbler trade.</w:t>
      </w:r>
    </w:p>
    <w:p>
      <w:pPr>
        <w:pStyle w:val="BodyText"/>
      </w:pPr>
      <w:r>
        <w:t xml:space="preserve">By the 1970s, the old craft of timber framing — the heavy joinery that holds up every eighteenth-century barn in New England — had very nearly disappeared from working memory. A handful of people refused to let it go. Jack Sobon walked the surviving barns and took their joinery apart in measured drawings, recovering the technique piece by piece. Tedd Benson built a company that trained the next generation of framers. In 1985 they and a few others founded the Timber Framers Guild — conferences, a journal, an apprenticeship culture — and the craft came back, carried now by far more hands than the few who rescued it. [VERIFY: Sobon; Benson; Timber Framers Guild founding, 1985.]</w:t>
      </w:r>
    </w:p>
    <w:p>
      <w:pPr>
        <w:pStyle w:val="BodyText"/>
      </w:pPr>
      <w:r>
        <w:t xml:space="preserve">The pattern was four steps. Recover the technique. Write it down in plain language so others can replicate it. Build the institution that holds it. Then run the workshops and the community that let the technique compound faster than any one practitioner could manage alone.</w:t>
      </w:r>
    </w:p>
    <w:p>
      <w:pPr>
        <w:pStyle w:val="BodyText"/>
      </w:pPr>
      <w:r>
        <w:t xml:space="preserve">That is the pattern the school-trust community is following now, on purpose. The technique — how a trust drifts, how a diversion is spotted, what a breach looks like in a board minute, which questions to ask at which hearing — was recovered the hard way, by the people whose work fills Part I of this book. It is being written down: in the litigation record, in the scholarship, in this book and its companion volume,</w:t>
      </w:r>
      <w:r>
        <w:t xml:space="preserve"> </w:t>
      </w:r>
      <w:r>
        <w:rPr>
          <w:i/>
        </w:rPr>
        <w:t xml:space="preserve">The Forgotten Forever Gift to Public Schools</w:t>
      </w:r>
      <w:r>
        <w:t xml:space="preserve"> </w:t>
      </w:r>
      <w:r>
        <w:t xml:space="preserve">(Volume 1 of this work) [VERIFY title at print], and in a public library of the evidence where anyone can check a claim against the source it came from. The institutions that hold it exist and are growing. What remains is the part no founder can do alone: the handoff, generation to generation, before the current hands tire.</w:t>
      </w:r>
    </w:p>
    <w:p>
      <w:pPr>
        <w:pStyle w:val="BodyText"/>
      </w:pPr>
      <w:r>
        <w:t xml:space="preserve">That last step is where the craft died the first time. The founders of 1785 assumed the next generation would absorb by osmosis what their own generation knew in its bones — why section sixteen was set aside, what the promise meant, who it belonged to. The country forgot. A crew that wants to outlast its founders has to refuse that assumption and build the handoff in.</w:t>
      </w:r>
    </w:p>
    <w:p>
      <w:pPr>
        <w:pStyle w:val="Heading2"/>
      </w:pPr>
      <w:bookmarkStart w:id="69" w:name="the-cost-that-fell"/>
      <w:r>
        <w:t xml:space="preserve">The cost that fell</w:t>
      </w:r>
      <w:bookmarkEnd w:id="69"/>
    </w:p>
    <w:p>
      <w:pPr>
        <w:pStyle w:val="FirstParagraph"/>
      </w:pPr>
      <w:r>
        <w:t xml:space="preserve">For most of the trust’s history, the crew stayed small for a reason that had nothing to do with caring. The knowledge needed to defend a school trust was simply too expensive to acquire.</w:t>
      </w:r>
    </w:p>
    <w:p>
      <w:pPr>
        <w:pStyle w:val="BodyText"/>
      </w:pPr>
      <w:r>
        <w:t xml:space="preserve">To stand up at a hearing and be useful, you needed the trust’s current and historical acreage, the revenue per acre, the comparable figures from neighboring states, the fiduciary doctrine, the legislative history of every diversion across decades, the old dollars restated in today’s money. Assembling that, a generation ago, took an archivist’s training and an archivist’s month. The children, who were the beneficiaries, had no archivists. So the knowledge sat with the agencies — including the ones doing the diverting — and the watchful crew stayed small enough that a single patient bureaucracy could outlast it.</w:t>
      </w:r>
    </w:p>
    <w:p>
      <w:pPr>
        <w:pStyle w:val="BodyText"/>
      </w:pPr>
      <w:r>
        <w:t xml:space="preserve">In the last few years that cost fell, hard — by something close to an order of magnitude. A retired tree farmer can now sit down for an afternoon and ask, and get usefully answered, the questions that used to take the month: what the trust holds, what it earns, what it should earn, what the doctrine says, where the money went. A new state chapter can hold its own trust up against the failures named in Part I and see, immediately, where the gaps are. An accounting that once required a specialist to assemble can be read by a citizen before supper.</w:t>
      </w:r>
    </w:p>
    <w:p>
      <w:pPr>
        <w:pStyle w:val="BodyText"/>
      </w:pPr>
      <w:r>
        <w:t xml:space="preserve">I want to describe the new tools honestly, because this is exactly the claim a book can ruin by overstating. The tools do not supply judgment. They do not know what is fair, what is worth fighting for, or which of a hundred true facts is the one that matters at a given hearing. A citizen still decides all of that, and the deciding is the hard part and the human part and it is not going anywhere. What the tools do is narrower and enormous: they remove the cost of entry. The crew was never short of motivated people. It was short of people who could afford the price of admission. The price just collapsed.</w:t>
      </w:r>
    </w:p>
    <w:p>
      <w:pPr>
        <w:pStyle w:val="BodyText"/>
      </w:pPr>
      <w:r>
        <w:t xml:space="preserve">And the work the crew does has a place to accumulate. The record — the primary sources, the state dossiers, the week-by-week watch on fifty legislatures — now lives in a shared, public, inspectable library rather than in any particular keeper’s head or any agency’s file cabinet. That matters because of how the first watch was lost. The Oregon drift was, at bottom, a forgetting: an institution that across forty years and a dozen turnovers lost track of why the corpus was protected, and a public that never had the record in front of it to object. Memory held in heads dies with the heads. Memory held in a public institution can outlive its keepers — and the keepers can hand it, intact, to the next set of hands.</w:t>
      </w:r>
    </w:p>
    <w:p>
      <w:pPr>
        <w:pStyle w:val="Heading2"/>
      </w:pPr>
      <w:bookmarkStart w:id="70" w:name="what-the-watch-actually-does"/>
      <w:r>
        <w:t xml:space="preserve">What the watch actually does</w:t>
      </w:r>
      <w:bookmarkEnd w:id="70"/>
    </w:p>
    <w:p>
      <w:pPr>
        <w:pStyle w:val="FirstParagraph"/>
      </w:pPr>
      <w:r>
        <w:t xml:space="preserve">It is worth being concrete about the work, because none of it requires heroism, and saying so is the best recruiting pitch there is.</w:t>
      </w:r>
    </w:p>
    <w:p>
      <w:pPr>
        <w:pStyle w:val="BodyText"/>
      </w:pPr>
      <w:r>
        <w:t xml:space="preserve">The watch reads the minutes no one else reads. It shows up at the hearings. It files the records requests. It notices the lease that runs ninety-nine years, the appraisal commissioned by the buyer, the transfer with no statutory authority cited. It writes the legislator. It runs the story. It keeps the dossier current so the next person doesn’t start from zero. And when it has to, it is the organized plaintiff with the staying power to see an appeal through — because somebody must be, and the beneficiaries cannot be.</w:t>
      </w:r>
    </w:p>
    <w:p>
      <w:pPr>
        <w:pStyle w:val="BodyText"/>
      </w:pPr>
      <w:r>
        <w:t xml:space="preserve">Most of the time, the watch never files anything. That is the part Margaret Bird insists on, and the record bears her out: a trustee who knows the decisions will be read, compared, and remembered behaves differently from one who assumes no one is keeping the record. The watch is not only the plaintiff of last resort. It is the reason the breach gets reconsidered before it happens. [Framing attributed to Margaret Bird; flagged for her review.]</w:t>
      </w:r>
    </w:p>
    <w:p>
      <w:pPr>
        <w:pStyle w:val="Heading2"/>
      </w:pPr>
      <w:bookmarkStart w:id="71" w:name="the-watch-and-the-law"/>
      <w:r>
        <w:t xml:space="preserve">The watch and the law</w:t>
      </w:r>
      <w:bookmarkEnd w:id="71"/>
    </w:p>
    <w:p>
      <w:pPr>
        <w:pStyle w:val="FirstParagraph"/>
      </w:pPr>
      <w:r>
        <w:t xml:space="preserve">Here is where this chapter joins the rest of the book.</w:t>
      </w:r>
    </w:p>
    <w:p>
      <w:pPr>
        <w:pStyle w:val="BodyText"/>
      </w:pPr>
      <w:r>
        <w:t xml:space="preserve">Part I showed six ways the promise fails, and every one of them is, at bottom, a watching failure that hardened into structure: no one allowed in the courthouse, no duties written where a judge could read them, no one across the table from the state’s lawyer, no statement sent, no remedy when the watch finally won, no one ever teaching the trustees what they were. Part III is about a law that repairs each of those — and the law was drafted by people who learned everything in this chapter first.</w:t>
      </w:r>
    </w:p>
    <w:p>
      <w:pPr>
        <w:pStyle w:val="BodyText"/>
      </w:pPr>
      <w:r>
        <w:t xml:space="preserve">So the relationship runs both ways, and the book needs both directions said plainly. Law without watchers fails: that is Oregon before 1990, strong text and an emptying room. Watchers without law lose: that is every citizen who ever spotted a diversion and discovered there was no standing to object, no accounting to point at, and no remedy at the end. The crew makes the law operate. The law makes the crew effective. Neither substitutes for the other.</w:t>
      </w:r>
    </w:p>
    <w:p>
      <w:pPr>
        <w:pStyle w:val="BodyText"/>
      </w:pPr>
      <w:r>
        <w:t xml:space="preserve">The drafters of the repair understood this well enough to write the watch itself into the statute — a mandatory education that tells every new trustee what the watch already knows, and a scheduled outside review so that drift gets examined in public even in the decades when the volunteer benches run thin. That provision is the subject of Chapter 15, and it exists because of the lesson this chapter carries: the most consequential defense of a forever promise is the one that does not appear in any state code, and the second-most consequential is the law that assumes the first will sometimes fail.</w:t>
      </w:r>
    </w:p>
    <w:p>
      <w:pPr>
        <w:pStyle w:val="BodyText"/>
      </w:pPr>
      <w:r>
        <w:t xml:space="preserve">The structures this book proposes are necessary. The watchful crew is what makes them mean something across the kind of time a forever promise is supposed to last. Utah proved the failures are choices. The crew is who keeps choosing.</w:t>
      </w:r>
    </w:p>
    <w:p>
      <w:pPr>
        <w:pStyle w:val="BodyText"/>
      </w:pPr>
      <w:r>
        <w:t xml:space="preserve">One more audience needs this record before the law itself — the architects of the forever promises now being chartered, who still have time to build the watch in from the start. They are the next chapter.</w:t>
      </w:r>
    </w:p>
    <w:p>
      <w:r>
        <w:pict>
          <v:rect style="width:0;height:1.5pt" o:hralign="center" o:hrstd="t" o:hr="t"/>
        </w:pict>
      </w:r>
    </w:p>
    <w:p>
      <w:pPr>
        <w:pStyle w:val="FirstParagraph"/>
      </w:pPr>
      <w:r>
        <w:rPr>
          <w:b/>
        </w:rPr>
        <w:t xml:space="preserve">Sources for this chapter.</w:t>
      </w:r>
      <w:r>
        <w:t xml:space="preserve"> </w:t>
      </w:r>
      <w:r>
        <w:t xml:space="preserve">Margaret Bird’s</w:t>
      </w:r>
      <w:r>
        <w:t xml:space="preserve"> </w:t>
      </w:r>
      <w:r>
        <w:t xml:space="preserve">“</w:t>
      </w:r>
      <w:r>
        <w:t xml:space="preserve">if nobody says you can’t do that</w:t>
      </w:r>
      <w:r>
        <w:t xml:space="preserve">”</w:t>
      </w:r>
      <w:r>
        <w:t xml:space="preserve"> </w:t>
      </w:r>
      <w:r>
        <w:t xml:space="preserve">framing and her account of the watch’s deterrent effect are attributed to her from working conversations (May 2026) and are flagged for her review; she is not presented as an endorser of this volume. The Oregon pre-1990 dissipation and Utah constituency contrast is carried from the project’s comparative state record and the companion volume,</w:t>
      </w:r>
      <w:r>
        <w:t xml:space="preserve"> </w:t>
      </w:r>
      <w:r>
        <w:rPr>
          <w:i/>
        </w:rPr>
        <w:t xml:space="preserve">The Forgotten Forever Gift to Public Schools</w:t>
      </w:r>
      <w:r>
        <w:t xml:space="preserve">; the Tim Dawson account (Utah, 2017) is per Margaret Bird’s first-hand recollection [VERIFY]. The nonprofit-plaintiff finding across modern enforcement cases carries [VERIFY] pending case-by-case pinning. Timber-framing revival: Jack Sobon (measured-drawing recovery of New England joinery), Tedd Benson (Bensonwood;</w:t>
      </w:r>
      <w:r>
        <w:t xml:space="preserve"> </w:t>
      </w:r>
      <w:r>
        <w:rPr>
          <w:i/>
        </w:rPr>
        <w:t xml:space="preserve">Building the Timber Frame House</w:t>
      </w:r>
      <w:r>
        <w:t xml:space="preserve">, Scribner, 1980), Sobon,</w:t>
      </w:r>
      <w:r>
        <w:t xml:space="preserve"> </w:t>
      </w:r>
      <w:r>
        <w:rPr>
          <w:i/>
        </w:rPr>
        <w:t xml:space="preserve">Build a Classic Timber-Framed House</w:t>
      </w:r>
      <w:r>
        <w:t xml:space="preserve"> </w:t>
      </w:r>
      <w:r>
        <w:t xml:space="preserve">(Storey, 1994), and the Timber Framers Guild (founded 1985) [VERIFY each before print]. The cost-collapse argument and the library-as-institutional-memory framing are carried from the May 2026 drafts; descriptions of the public library of the evidence reflect its state as of mid-2026 and should be re-verified at press time.</w:t>
      </w:r>
    </w:p>
    <w:p>
      <w:r>
        <w:br w:type="page"/>
      </w:r>
    </w:p>
    <w:p>
      <w:pPr>
        <w:pStyle w:val="Heading1"/>
      </w:pPr>
      <w:bookmarkStart w:id="72" w:name="chapter-11-the-trusts-now-arriving"/>
      <w:r>
        <w:t xml:space="preserve">Chapter 11 — The Trusts Now Arriving</w:t>
      </w:r>
      <w:bookmarkEnd w:id="72"/>
    </w:p>
    <w:p>
      <w:pPr>
        <w:pStyle w:val="FirstParagraph"/>
      </w:pPr>
      <w:r>
        <w:t xml:space="preserve">[DRAFT v2.0 — AI first pass; awaiting Dave’s voice pass]</w:t>
      </w:r>
    </w:p>
    <w:p>
      <w:r>
        <w:pict>
          <v:rect style="width:0;height:1.5pt" o:hralign="center" o:hrstd="t" o:hr="t"/>
        </w:pict>
      </w:r>
    </w:p>
    <w:p>
      <w:pPr>
        <w:pStyle w:val="FirstParagraph"/>
      </w:pPr>
      <w:r>
        <w:t xml:space="preserve">Somewhere right now, a lawyer is drafting a charter for an institution that is supposed to last forever.</w:t>
      </w:r>
    </w:p>
    <w:p>
      <w:pPr>
        <w:pStyle w:val="BodyText"/>
      </w:pPr>
      <w:r>
        <w:t xml:space="preserve">Maybe it is a sovereign wealth fund chartered for citizens not yet born. Maybe it is a perpetual climate trust, meant to bind tomorrow’s legislatures to today’s commitments. Maybe it is one of the new AI-era endowments — a body holding compute, capital, and data for the benefit of future people, on time horizons measured in centuries. Proposals of every one of these kinds are moving from white paper to charter in this decade. [VERIFY: characterizations of specific proposals and institutions before naming any in print.]</w:t>
      </w:r>
    </w:p>
    <w:p>
      <w:pPr>
        <w:pStyle w:val="BodyText"/>
      </w:pPr>
      <w:r>
        <w:t xml:space="preserve">The lawyer drafting that charter is working on the same problem a Congress without a constitution worked on in 1785: how do you bind the future to a promise the present can see but the future cannot yet defend?</w:t>
      </w:r>
    </w:p>
    <w:p>
      <w:pPr>
        <w:pStyle w:val="BodyText"/>
      </w:pPr>
      <w:r>
        <w:t xml:space="preserve">And here is the fact this whole book has been building toward. There is exactly one body of evidence on how that problem plays out over centuries — the 240-year record of America’s school trusts, fifty states, every kind of economy and politics a republic can produce, all administering the same forever promise. The experiment ran long enough to return results. The results fill Part I of this book.</w:t>
      </w:r>
    </w:p>
    <w:p>
      <w:pPr>
        <w:pStyle w:val="BodyText"/>
      </w:pPr>
      <w:r>
        <w:t xml:space="preserve">The lawyer drafting that charter has almost certainly never heard of it.</w:t>
      </w:r>
    </w:p>
    <w:p>
      <w:pPr>
        <w:pStyle w:val="Heading2"/>
      </w:pPr>
      <w:bookmarkStart w:id="73" w:name="the-same-beneficiary-the-same-disability"/>
      <w:r>
        <w:t xml:space="preserve">The same beneficiary, the same disability</w:t>
      </w:r>
      <w:bookmarkEnd w:id="73"/>
    </w:p>
    <w:p>
      <w:pPr>
        <w:pStyle w:val="FirstParagraph"/>
      </w:pPr>
      <w:r>
        <w:t xml:space="preserve">What makes the school-trust record transferable is not the land. It is the beneficiary.</w:t>
      </w:r>
    </w:p>
    <w:p>
      <w:pPr>
        <w:pStyle w:val="BodyText"/>
      </w:pPr>
      <w:r>
        <w:t xml:space="preserve">The schoolchildren of 1850 — and of 1950, and of 2050 — could not vote, could not lobby, could not sue, and the not-yet-born among them had no one at all. Every failure in Part I traces back to that one disability: an institution holding wealth for people who cannot complain when it is taken.</w:t>
      </w:r>
    </w:p>
    <w:p>
      <w:pPr>
        <w:pStyle w:val="BodyText"/>
      </w:pPr>
      <w:r>
        <w:t xml:space="preserve">Now look at who the new institutions serve. The future citizens of a sovereign fund cannot vote today. The beneficiaries of a climate trust are mostly not yet born. The future people in whose name an AI-era endowment holds its compute cannot sue, testify, or write a letter to the editor. Every one of them is what the schoolchildren were: politically silent, easy to discount, the perfect host for an institution that would like to spend their share on something nearer to hand.</w:t>
      </w:r>
    </w:p>
    <w:p>
      <w:pPr>
        <w:pStyle w:val="BodyText"/>
      </w:pPr>
      <w:r>
        <w:t xml:space="preserve">Chapter 8 named the three forces that make drift the default wherever that beneficiary appears: people discount the future steeply; the bureaucracy guarding the fund acquires a survival interest of its own; and the silent beneficiary generates no feedback to correct the drift. None of those forces is about land, or about 1785. They are about how any long-horizon institution behaves under pressure. The new trusts will face all three, on the same timeline and for the same reasons — unless their architects build against them on purpose, at the founding, while the founding generation is still in the room and still believes the founding matters.</w:t>
      </w:r>
    </w:p>
    <w:p>
      <w:pPr>
        <w:pStyle w:val="Heading2"/>
      </w:pPr>
      <w:bookmarkStart w:id="74" w:name="six-failures-available-for-rent"/>
      <w:r>
        <w:t xml:space="preserve">Six failures, available for rent</w:t>
      </w:r>
      <w:bookmarkEnd w:id="74"/>
    </w:p>
    <w:p>
      <w:pPr>
        <w:pStyle w:val="FirstParagraph"/>
      </w:pPr>
      <w:r>
        <w:t xml:space="preserve">Run the six failures of Part I past the charters now being drafted, and the exercise gets uncomfortable fast. Each failure is a question an architect can ask of any forever-institution, including one that holds no acre of land.</w:t>
      </w:r>
    </w:p>
    <w:p>
      <w:pPr>
        <w:pStyle w:val="BodyText"/>
      </w:pPr>
      <w:r>
        <w:rPr>
          <w:i/>
        </w:rPr>
        <w:t xml:space="preserve">Who can sue?</w:t>
      </w:r>
      <w:r>
        <w:t xml:space="preserve"> </w:t>
      </w:r>
      <w:r>
        <w:t xml:space="preserve">If the charter does not say, then the answer will be litigated for years while the merits wait — that is the locked courthouse door of Chapter 2, rebuilt in fresh concrete. Oregon’s advocates spent years establishing that anyone at all could be heard. A new fund whose charter is silent on standing has scheduled the same fight for its own beneficiaries, two or three decades out.</w:t>
      </w:r>
    </w:p>
    <w:p>
      <w:pPr>
        <w:pStyle w:val="BodyText"/>
      </w:pPr>
      <w:r>
        <w:rPr>
          <w:i/>
        </w:rPr>
        <w:t xml:space="preserve">Are the duties written where a judge can read them?</w:t>
      </w:r>
      <w:r>
        <w:t xml:space="preserve"> </w:t>
      </w:r>
      <w:r>
        <w:t xml:space="preserve">A charter full of mission language and empty of enforceable duty is Chapter 3 again: obligations everyone assumes and no one wrote down, leaving the institution free to argue, when it matters, that no enforceable duty exists at all.</w:t>
      </w:r>
    </w:p>
    <w:p>
      <w:pPr>
        <w:pStyle w:val="BodyText"/>
      </w:pPr>
      <w:r>
        <w:rPr>
          <w:i/>
        </w:rPr>
        <w:t xml:space="preserve">Who is the institution’s lawyer, and whose side is he on?</w:t>
      </w:r>
      <w:r>
        <w:t xml:space="preserve"> </w:t>
      </w:r>
      <w:r>
        <w:t xml:space="preserve">If the same counsel advises the fund and defends it against its beneficiaries — billing the defense to the fund — that is Chapter 4, and no one drafting today has any excuse for rebuilding it.</w:t>
      </w:r>
    </w:p>
    <w:p>
      <w:pPr>
        <w:pStyle w:val="BodyText"/>
      </w:pPr>
      <w:r>
        <w:rPr>
          <w:i/>
        </w:rPr>
        <w:t xml:space="preserve">Does anyone send a statement?</w:t>
      </w:r>
      <w:r>
        <w:t xml:space="preserve"> </w:t>
      </w:r>
      <w:r>
        <w:t xml:space="preserve">A fund that reports its own performance in summary metrics of its own choosing — so much disbursed, so many programs — is the trust that never sends a statement, Chapter 5’s failure with better graphic design. Invisibility is where drift lives. It will do for a compute endowment exactly what it did for the school sections.</w:t>
      </w:r>
    </w:p>
    <w:p>
      <w:pPr>
        <w:pStyle w:val="BodyText"/>
      </w:pPr>
      <w:r>
        <w:rPr>
          <w:i/>
        </w:rPr>
        <w:t xml:space="preserve">If the beneficiaries win, can they recover anything?</w:t>
      </w:r>
      <w:r>
        <w:t xml:space="preserve"> </w:t>
      </w:r>
      <w:r>
        <w:t xml:space="preserve">A charter without restoration machinery makes every future victory ceremonial — Chapter 6, where winning means nothing.</w:t>
      </w:r>
    </w:p>
    <w:p>
      <w:pPr>
        <w:pStyle w:val="BodyText"/>
      </w:pPr>
      <w:r>
        <w:rPr>
          <w:i/>
        </w:rPr>
        <w:t xml:space="preserve">Will anyone ever teach the trustees what they are?</w:t>
      </w:r>
      <w:r>
        <w:t xml:space="preserve"> </w:t>
      </w:r>
      <w:r>
        <w:t xml:space="preserve">Boards turn over. The founders’ conviction does not transfer by osmosis; the school-trust record proves it never does. A charter with no education requirement and no scheduled outside review is running Chapter 7’s experiment again, with the result already on file.</w:t>
      </w:r>
    </w:p>
    <w:p>
      <w:pPr>
        <w:pStyle w:val="BodyText"/>
      </w:pPr>
      <w:r>
        <w:t xml:space="preserve">Wherever a new charter leaves enforcement to good intentions, it is writing these six failures in — not by malice, but by the same path of least resistance that wrote them into fifty state governments. The school-trust record’s most useful gift to the new architects is that the checklist now exists, with two centuries of receipts behind every item.</w:t>
      </w:r>
    </w:p>
    <w:p>
      <w:pPr>
        <w:pStyle w:val="Heading2"/>
      </w:pPr>
      <w:bookmarkStart w:id="75" w:name="what-the-framers-lacked-and-you-have"/>
      <w:r>
        <w:t xml:space="preserve">What the framers lacked, and you have</w:t>
      </w:r>
      <w:bookmarkEnd w:id="75"/>
    </w:p>
    <w:p>
      <w:pPr>
        <w:pStyle w:val="FirstParagraph"/>
      </w:pPr>
      <w:r>
        <w:t xml:space="preserve">It would be easy to read Part I as a story about failure, and wrong. The honest reading is about tools.</w:t>
      </w:r>
    </w:p>
    <w:p>
      <w:pPr>
        <w:pStyle w:val="BodyText"/>
      </w:pPr>
      <w:r>
        <w:t xml:space="preserve">The framers of 1785 were working with quill, paper, the printed statute, mail moving by horse, and human memory in heads scattered across a continent. They could not engineer institutional memory, because every kind of memory their century possessed was fragile and expensive to move across generations. So they reached for the only substitute available: legal rigidity. Perpetual trusts. Irreducible funds. Compacts declared</w:t>
      </w:r>
      <w:r>
        <w:t xml:space="preserve"> </w:t>
      </w:r>
      <w:r>
        <w:t xml:space="preserve">“</w:t>
      </w:r>
      <w:r>
        <w:t xml:space="preserve">forever</w:t>
      </w:r>
      <w:r>
        <w:t xml:space="preserve">”</w:t>
      </w:r>
      <w:r>
        <w:t xml:space="preserve"> </w:t>
      </w:r>
      <w:r>
        <w:t xml:space="preserve">in their own terms. It was the best architecture the cognitive technology of the eighteenth century could support, and the parts of it that held — the grid, the section reservation, the compact form, the trust character of the grant itself — are remarkable for any institution at any scale.</w:t>
      </w:r>
    </w:p>
    <w:p>
      <w:pPr>
        <w:pStyle w:val="BodyText"/>
      </w:pPr>
      <w:r>
        <w:t xml:space="preserve">What they could not build was the watch. Sustained civic attention to a complex long-horizon asset cost more than any but a few citizens could pay, in 1785 or 1885 or 1985. The framers wrote language strong enough that a future generation could find its way back to the promise if it chose to. What they could not engineer was the choosing.</w:t>
      </w:r>
    </w:p>
    <w:p>
      <w:pPr>
        <w:pStyle w:val="BodyText"/>
      </w:pPr>
      <w:r>
        <w:t xml:space="preserve">The architects working today have everything the framers had, plus what the framers lacked: institutional memory that can actually be built, archives searchable at planet scale, monitoring cheap enough to sustain across generations, and — as the last chapter described — a collapse in the cost of citizen watchfulness itself. The new architects can put the standing constituency into the founding design as a structural feature rather than a hoped-for inheritance. They can build at the founding what the school trusts are retrofitting after two hundred and forty years.</w:t>
      </w:r>
    </w:p>
    <w:p>
      <w:pPr>
        <w:pStyle w:val="BodyText"/>
      </w:pPr>
      <w:r>
        <w:t xml:space="preserve">So the case this book makes to them is not</w:t>
      </w:r>
      <w:r>
        <w:t xml:space="preserve"> </w:t>
      </w:r>
      <w:r>
        <w:t xml:space="preserve">“</w:t>
      </w:r>
      <w:r>
        <w:t xml:space="preserve">learn from us; we failed.</w:t>
      </w:r>
      <w:r>
        <w:t xml:space="preserve">”</w:t>
      </w:r>
      <w:r>
        <w:t xml:space="preserve"> </w:t>
      </w:r>
      <w:r>
        <w:t xml:space="preserve">It is:</w:t>
      </w:r>
      <w:r>
        <w:t xml:space="preserve"> </w:t>
      </w:r>
      <w:r>
        <w:rPr>
          <w:i/>
        </w:rPr>
        <w:t xml:space="preserve">we did the best work our tools supported; you have better tools; here is what they let you build that we could not.</w:t>
      </w:r>
      <w:r>
        <w:t xml:space="preserve"> </w:t>
      </w:r>
      <w:r>
        <w:t xml:space="preserve">The lights have been on for two hundred and forty years. There is no longer any need to design in the dark.</w:t>
      </w:r>
    </w:p>
    <w:p>
      <w:pPr>
        <w:pStyle w:val="Heading2"/>
      </w:pPr>
      <w:bookmarkStart w:id="76" w:name="X9e93a8d893e6e159cf9e83dc2aae2f493767fa7"/>
      <w:r>
        <w:t xml:space="preserve">The one lesson, if there is only time for one</w:t>
      </w:r>
      <w:bookmarkEnd w:id="76"/>
    </w:p>
    <w:p>
      <w:pPr>
        <w:pStyle w:val="FirstParagraph"/>
      </w:pPr>
      <w:r>
        <w:t xml:space="preserve">If a charter architect takes a single sentence from the school-trust record, it should be this: write the enforcement teeth into the charter, because you cannot count on anyone to read them in later.</w:t>
      </w:r>
    </w:p>
    <w:p>
      <w:pPr>
        <w:pStyle w:val="BodyText"/>
      </w:pPr>
      <w:r>
        <w:t xml:space="preserve">The whole tragedy of the school trusts is the gap between a duty that existed and a duty that could be enforced. The duties were real the entire time — courts have said so for a century and a half. What was missing, almost everywhere, was machinery: standing stated in text, accounting required by text, an enforcer independent of the trustee, remedies that survive the state’s own immunity. Where the founding text supplied the machinery, beneficiaries could force performance. Where it was general and trusting, beneficiaries spent generations litigating for the right to be heard while the corpus drained. [VERIFY: comparative enabling-act enforcement record before citing specific states and provisions; the doctrinal detail lives in</w:t>
      </w:r>
      <w:r>
        <w:t xml:space="preserve"> </w:t>
      </w:r>
      <w:r>
        <w:rPr>
          <w:i/>
        </w:rPr>
        <w:t xml:space="preserve">The Forgotten Forever Gift to Public Schools</w:t>
      </w:r>
      <w:r>
        <w:t xml:space="preserve"> </w:t>
      </w:r>
      <w:r>
        <w:t xml:space="preserve">(Volume 1 of this work; VERIFY title at print).]</w:t>
      </w:r>
    </w:p>
    <w:p>
      <w:pPr>
        <w:pStyle w:val="BodyText"/>
      </w:pPr>
      <w:r>
        <w:t xml:space="preserve">A duty without an enforcer is a wish. Every chapter of Part I is the biography of such a wish. The repair this book carries in Part III — a model law, drafted and ready — is the school-trust community turning its own evidence into machinery for its own trust first. But the design is portable on purpose. Standing for the silent beneficiary. A representative for the unborn. A public accounting anyone can read. An advocate who answers to no one but the trust. Remedies that restore what was taken. Education that re-teaches the duty faster than turnover erodes it. Every one of those provisions answers a failure the new institutions have not suffered yet, and need never suffer.</w:t>
      </w:r>
    </w:p>
    <w:p>
      <w:pPr>
        <w:pStyle w:val="BodyText"/>
      </w:pPr>
      <w:r>
        <w:t xml:space="preserve">There is also a quieter lesson, and the last chapter carried it: build the memory institution and the rails for the constituency</w:t>
      </w:r>
      <w:r>
        <w:t xml:space="preserve"> </w:t>
      </w:r>
      <w:r>
        <w:rPr>
          <w:i/>
        </w:rPr>
        <w:t xml:space="preserve">before</w:t>
      </w:r>
      <w:r>
        <w:t xml:space="preserve"> </w:t>
      </w:r>
      <w:r>
        <w:t xml:space="preserve">you need them. The school trusts drifted for two centuries before their watchful crew assembled. The new funds do not have two centuries. They have a charter window of a few years before they harden into the form they will keep — and the record is brutal about how much harder it is to assemble a watch in arrears, after the drift has begun and the diversions have grown their own defenders.</w:t>
      </w:r>
    </w:p>
    <w:p>
      <w:pPr>
        <w:pStyle w:val="Heading2"/>
      </w:pPr>
      <w:bookmarkStart w:id="77" w:name="offered-as-evidence"/>
      <w:r>
        <w:t xml:space="preserve">Offered as evidence</w:t>
      </w:r>
      <w:bookmarkEnd w:id="77"/>
    </w:p>
    <w:p>
      <w:pPr>
        <w:pStyle w:val="FirstParagraph"/>
      </w:pPr>
      <w:r>
        <w:t xml:space="preserve">I want to be plain about the spirit of this chapter, because the spirit is the difference between a gift and a lecture.</w:t>
      </w:r>
    </w:p>
    <w:p>
      <w:pPr>
        <w:pStyle w:val="BodyText"/>
      </w:pPr>
      <w:r>
        <w:t xml:space="preserve">The school-trust community is not the consultant to the AI age. We have our hands full at home: the corpus is not restored, most states still lack most of the machinery, the cases are still in court. We are not done with our own house, and we have no standing to instruct anyone from a position of success.</w:t>
      </w:r>
    </w:p>
    <w:p>
      <w:pPr>
        <w:pStyle w:val="BodyText"/>
      </w:pPr>
      <w:r>
        <w:t xml:space="preserve">What we have is a record — the only one of its kind, the failures and the recoveries documented and laid out where anyone can read them — and now a law distilled from it. Both are public. Both are free. If the architects of the next century’s forever promises want to spend an afternoon learning what two hundred and forty years of the oldest such promise can teach, the door is open, and the cost of entry has collapsed for them the same way it collapsed for the rest of the watch.</w:t>
      </w:r>
    </w:p>
    <w:p>
      <w:pPr>
        <w:pStyle w:val="BodyText"/>
      </w:pPr>
      <w:r>
        <w:t xml:space="preserve">There is a symmetry in that the framers would have recognized. They made a forever gift to children they would never meet. The community defending that gift can make a smaller one to architects it will never meet: the hard-won knowledge of how a forever promise holds, and how it fails, and what the repair looks like written down as law.</w:t>
      </w:r>
    </w:p>
    <w:p>
      <w:pPr>
        <w:pStyle w:val="BodyText"/>
      </w:pPr>
      <w:r>
        <w:t xml:space="preserve">The next four chapters are that law, in plain English.</w:t>
      </w:r>
    </w:p>
    <w:p>
      <w:r>
        <w:pict>
          <v:rect style="width:0;height:1.5pt" o:hralign="center" o:hrstd="t" o:hr="t"/>
        </w:pict>
      </w:r>
    </w:p>
    <w:p>
      <w:pPr>
        <w:pStyle w:val="FirstParagraph"/>
      </w:pPr>
      <w:r>
        <w:rPr>
          <w:b/>
        </w:rPr>
        <w:t xml:space="preserve">Sources for this chapter.</w:t>
      </w:r>
      <w:r>
        <w:t xml:space="preserve"> </w:t>
      </w:r>
      <w:r>
        <w:t xml:space="preserve">The inventory of arriving institutions (sovereign wealth funds for future citizens, perpetual climate trusts, AI-era endowments and related proposals) is carried from the May 2026 working drafts and carries [VERIFY] for each characterization before any institution or proposal is named in print. The three-forces drift model is Chapter 8’s, from the project’s pattern findings. The cognitive-technology framing (legal rigidity as the eighteenth century’s only memory technology) is carried from the earlier full draft of May 10, 2026. The comparative claim that enforcement-bearing founding text outperformed general text rests on the enabling-act record developed at length in</w:t>
      </w:r>
      <w:r>
        <w:t xml:space="preserve"> </w:t>
      </w:r>
      <w:r>
        <w:rPr>
          <w:i/>
        </w:rPr>
        <w:t xml:space="preserve">The Forgotten Forever Gift to Public Schools</w:t>
      </w:r>
      <w:r>
        <w:t xml:space="preserve"> </w:t>
      </w:r>
      <w:r>
        <w:t xml:space="preserve">(Volume 1 of this work) and carries [VERIFY] here for any specific state, statute, or case before print. The model act referenced in closing is the Uniform Public Trust Enforcement Act (working draft, June 2026), which does not circulate externally until counsel review is complete.</w:t>
      </w:r>
    </w:p>
    <w:p>
      <w:r>
        <w:br w:type="page"/>
      </w:r>
    </w:p>
    <w:p>
      <w:pPr>
        <w:pStyle w:val="Heading1"/>
      </w:pPr>
      <w:bookmarkStart w:id="78" w:name="chapter-12-a-law-that-says-nothing-new"/>
      <w:r>
        <w:t xml:space="preserve">Chapter 12 — A Law That Says Nothing New</w:t>
      </w:r>
      <w:bookmarkEnd w:id="78"/>
    </w:p>
    <w:p>
      <w:pPr>
        <w:pStyle w:val="FirstParagraph"/>
      </w:pPr>
      <w:r>
        <w:t xml:space="preserve">[DRAFT v2.0 — AI first pass; awaiting Dave’s voice pass]</w:t>
      </w:r>
    </w:p>
    <w:p>
      <w:r>
        <w:pict>
          <v:rect style="width:0;height:1.5pt" o:hralign="center" o:hrstd="t" o:hr="t"/>
        </w:pict>
      </w:r>
    </w:p>
    <w:p>
      <w:pPr>
        <w:pStyle w:val="FirstParagraph"/>
      </w:pPr>
      <w:r>
        <w:t xml:space="preserve">Imagine a legislature, persuaded by everything in Part I, that sits down to fix it. The obvious move is to pass a law:</w:t>
      </w:r>
      <w:r>
        <w:t xml:space="preserve"> </w:t>
      </w:r>
      <w:r>
        <w:rPr>
          <w:i/>
        </w:rPr>
        <w:t xml:space="preserve">trustees of the school trust shall owe a duty of loyalty to the beneficiaries.</w:t>
      </w:r>
      <w:r>
        <w:t xml:space="preserve"> </w:t>
      </w:r>
      <w:r>
        <w:t xml:space="preserve">Done.</w:t>
      </w:r>
    </w:p>
    <w:p>
      <w:pPr>
        <w:pStyle w:val="BodyText"/>
      </w:pPr>
      <w:r>
        <w:t xml:space="preserve">Now watch what happens in the courtroom. The state’s lawyer stands up and says: thank you. The legislature created that duty on the day it passed the bill. Everything we did before that day — the cut-rate sales, the diverted revenue, the self-dealing transfers — happened when no such duty existed. You have just forgiven us a century and a half.</w:t>
      </w:r>
    </w:p>
    <w:p>
      <w:pPr>
        <w:pStyle w:val="BodyText"/>
      </w:pPr>
      <w:r>
        <w:t xml:space="preserve">That trap is real, and it is the first thing to understand about the repair this book proposes, because the repair is built to refuse it. The Uniform Public Trust Enforcement Act — a model law, drafted in 2026 and ready for any state legislature to take up — has one design choice at its center, and everything else in it hangs from that choice:</w:t>
      </w:r>
      <w:r>
        <w:t xml:space="preserve"> </w:t>
      </w:r>
      <w:r>
        <w:rPr>
          <w:b/>
        </w:rPr>
        <w:t xml:space="preserve">every duty in the act is declared to be existing law, restated. Not one of them is new.</w:t>
      </w:r>
    </w:p>
    <w:p>
      <w:pPr>
        <w:pStyle w:val="BodyText"/>
      </w:pPr>
      <w:r>
        <w:t xml:space="preserve">The act says so three times, in three different ways. Its findings say the duties have existed continuously since the trusts were created — they arise from the granting instruments, from the state constitution, and from the common law of trusts, which is the centuries-old body of judge-made law governing anyone who holds property for someone else. Its purpose section says the duties</w:t>
      </w:r>
      <w:r>
        <w:t xml:space="preserve"> </w:t>
      </w:r>
      <w:r>
        <w:t xml:space="preserve">“</w:t>
      </w:r>
      <w:r>
        <w:t xml:space="preserve">are declaratory of existing law</w:t>
      </w:r>
      <w:r>
        <w:t xml:space="preserve">”</w:t>
      </w:r>
      <w:r>
        <w:t xml:space="preserve"> </w:t>
      </w:r>
      <w:r>
        <w:t xml:space="preserve">and are enforceable with or without the act. And then it slams the door: nothing about the act, and nothing in its legislative history, may be read as evidence that any duty did not exist before, or that anything done earlier was lawful.</w:t>
      </w:r>
    </w:p>
    <w:p>
      <w:pPr>
        <w:pStyle w:val="BodyText"/>
      </w:pPr>
      <w:r>
        <w:t xml:space="preserve">This is not a lawyer’s trick. It is the truth, written down defensively. The duties genuinely are old. Courts have treated the school land grants as binding obligations for more than a century and a half. What has been missing — the act’s findings put it exactly — are</w:t>
      </w:r>
      <w:r>
        <w:t xml:space="preserve"> </w:t>
      </w:r>
      <w:r>
        <w:rPr>
          <w:i/>
        </w:rPr>
        <w:t xml:space="preserve">procedures, transparency, and remedy</w:t>
      </w:r>
      <w:r>
        <w:t xml:space="preserve">. The duties exist; the machinery to enforce them does not. Enforcement, the findings observe,</w:t>
      </w:r>
      <w:r>
        <w:t xml:space="preserve"> </w:t>
      </w:r>
      <w:r>
        <w:t xml:space="preserve">“</w:t>
      </w:r>
      <w:r>
        <w:t xml:space="preserve">has been impaired by recurring structural failures</w:t>
      </w:r>
      <w:r>
        <w:t xml:space="preserve">”</w:t>
      </w:r>
      <w:r>
        <w:t xml:space="preserve"> </w:t>
      </w:r>
      <w:r>
        <w:t xml:space="preserve">— uncertainty over who may sue, missing accountings, conflicted lawyers, immunity raised against the very remedies that make a trust a trust.</w:t>
      </w:r>
    </w:p>
    <w:p>
      <w:pPr>
        <w:pStyle w:val="BodyText"/>
      </w:pPr>
      <w:r>
        <w:t xml:space="preserve">So the act creates no duties. It creates enforcement. That is why a law that says nothing new changes everything.</w:t>
      </w:r>
    </w:p>
    <w:p>
      <w:pPr>
        <w:pStyle w:val="Heading2"/>
      </w:pPr>
      <w:bookmarkStart w:id="79" w:name="the-two-shelves-the-act-stands-on"/>
      <w:r>
        <w:t xml:space="preserve">The two shelves the act stands on</w:t>
      </w:r>
      <w:bookmarkEnd w:id="79"/>
    </w:p>
    <w:p>
      <w:pPr>
        <w:pStyle w:val="FirstParagraph"/>
      </w:pPr>
      <w:r>
        <w:t xml:space="preserve">A claim that confident —</w:t>
      </w:r>
      <w:r>
        <w:t xml:space="preserve"> </w:t>
      </w:r>
      <w:r>
        <w:rPr>
          <w:i/>
        </w:rPr>
        <w:t xml:space="preserve">every duty in this act is existing law, restated</w:t>
      </w:r>
      <w:r>
        <w:t xml:space="preserve"> </w:t>
      </w:r>
      <w:r>
        <w:t xml:space="preserve">— does not get to rest on say-so. It stands on two bodies of work, two shelves of the same library, and it is worth pausing to look at what is on them, because the act’s honesty depends on both.</w:t>
      </w:r>
    </w:p>
    <w:p>
      <w:pPr>
        <w:pStyle w:val="BodyText"/>
      </w:pPr>
      <w:r>
        <w:t xml:space="preserve">The first shelf holds the law. A hornbook of school-trust law now exists in complete first draft — nineteen chapters and a state-by-state appendix covering all twenty trust-land states — organizing two hundred and forty years of granting acts, state constitutions, and case law into a single working reference. Its first ten chapters establish, citation by citation, the point this chapter has been asserting: the duties — loyalty, prudence, impartiality between the generations, full value on disposition, the duty to account — are not aspirations or a reformer’s wish list. They are existing, enforceable law, found in the granting instruments, in the constitutions, and in the common law of trusts, and courts have said so whenever anyone managed to ask them. The hornbook’s later chapters document the other half of the story: who may sue, the attorney-general problem, what remedies actually run against a sovereign — the places where the enforcement machinery thins out and fails. The same shelf that proves the duties exist maps, chapter by chapter, exactly where their enforcement does not.</w:t>
      </w:r>
    </w:p>
    <w:p>
      <w:pPr>
        <w:pStyle w:val="BodyText"/>
      </w:pPr>
      <w:r>
        <w:t xml:space="preserve">The second shelf holds the record.</w:t>
      </w:r>
      <w:r>
        <w:t xml:space="preserve"> </w:t>
      </w:r>
      <w:r>
        <w:rPr>
          <w:i/>
        </w:rPr>
        <w:t xml:space="preserve">The Forgotten Forever Gift to Public Schools</w:t>
      </w:r>
      <w:r>
        <w:t xml:space="preserve"> </w:t>
      </w:r>
      <w:r>
        <w:t xml:space="preserve">[VERIFY title at print] — Volume 1 of this work — assembles the two-hundred-and-forty-year record of those same duties failing in practice, state after state. And the record is remarkably consistent about</w:t>
      </w:r>
      <w:r>
        <w:t xml:space="preserve"> </w:t>
      </w:r>
      <w:r>
        <w:rPr>
          <w:i/>
        </w:rPr>
        <w:t xml:space="preserve">why</w:t>
      </w:r>
      <w:r>
        <w:t xml:space="preserve"> </w:t>
      </w:r>
      <w:r>
        <w:t xml:space="preserve">they failed. Not because the law was unclear; the first shelf shows it was not. They failed because no one could get into court, because no one could see the books, and because the state’s own lawyer stood on both sides of every dispute. The duties were on the shelf the whole time. The beneficiaries could not reach them.</w:t>
      </w:r>
    </w:p>
    <w:p>
      <w:pPr>
        <w:pStyle w:val="BodyText"/>
      </w:pPr>
      <w:r>
        <w:t xml:space="preserve">Put the two shelves together and they force a conclusion that neither one forces alone. The first shelf, standing by itself, might suggest that nothing needs doing — the law is already there, so why legislate? The second, standing by itself, might suggest that everything needs doing — the duties failed, so write new and stronger ones. Read together, they say something more precise than either: the duties are sufficient and always were; the machinery is missing and always was. So the act adds no duties. It adds the machinery the duties always needed — the standing, the statement, the independent enforcer, the remedies that survive a sovereign defendant. That is why it can honestly call itself declaratory. The word is not a modesty pose, and it is not a litigation tactic dressed up as principle. It is what two hundred and forty years of law and two hundred and forty years of record, laid side by side, actually show.</w:t>
      </w:r>
    </w:p>
    <w:p>
      <w:pPr>
        <w:pStyle w:val="Heading2"/>
      </w:pPr>
      <w:bookmarkStart w:id="80" w:name="why-a-uniform-act"/>
      <w:r>
        <w:t xml:space="preserve">Why a uniform act</w:t>
      </w:r>
      <w:bookmarkEnd w:id="80"/>
    </w:p>
    <w:p>
      <w:pPr>
        <w:pStyle w:val="FirstParagraph"/>
      </w:pPr>
      <w:r>
        <w:t xml:space="preserve">One more design choice before the walkthrough: the act is written as a</w:t>
      </w:r>
      <w:r>
        <w:t xml:space="preserve"> </w:t>
      </w:r>
      <w:r>
        <w:rPr>
          <w:i/>
        </w:rPr>
        <w:t xml:space="preserve">uniform</w:t>
      </w:r>
      <w:r>
        <w:t xml:space="preserve"> </w:t>
      </w:r>
      <w:r>
        <w:t xml:space="preserve">law — a model text any state can enact, with blanks for each state’s particulars — rather than as a single state’s bill.</w:t>
      </w:r>
    </w:p>
    <w:p>
      <w:pPr>
        <w:pStyle w:val="BodyText"/>
      </w:pPr>
      <w:r>
        <w:t xml:space="preserve">The reason is in the arithmetic of Part I. Roughly twenty states hold school trust lands, and far more hold other perpetual public trusts; the six failures repeat across all of them with minor local variation, because the failures are structural, not local. A problem that is national in shape wants a repair that is national in shape: a shared text, so that a court construing the act in one state builds precedent the next state can use, and a legislator in any capital can begin from a draft instead of a blank page. How a model act travels — the long road through test cases, legislatures, and the institutions that bless uniform laws — is Chapter 16’s story. This chapter and the next three are about what the act actually says.</w:t>
      </w:r>
    </w:p>
    <w:p>
      <w:pPr>
        <w:pStyle w:val="BodyText"/>
      </w:pPr>
      <w:r>
        <w:t xml:space="preserve">The act runs ten articles. This chapter walks the first two: who the act covers, and what the duties are. The next chapter opens the books, the courthouse, and the enforcer’s office (Articles 3 through 5). Chapter 14 is the teeth (Articles 6 and 7). Chapter 15 is the act’s answer to its own future (Articles 8 and 9 — Article 10 is the standard closing machinery of rules, transition, and severability).</w:t>
      </w:r>
    </w:p>
    <w:p>
      <w:pPr>
        <w:pStyle w:val="Heading2"/>
      </w:pPr>
      <w:bookmarkStart w:id="81" w:name="article-1-naming-the-thing"/>
      <w:r>
        <w:t xml:space="preserve">Article 1: naming the thing</w:t>
      </w:r>
      <w:bookmarkEnd w:id="81"/>
    </w:p>
    <w:p>
      <w:pPr>
        <w:pStyle w:val="FirstParagraph"/>
      </w:pPr>
      <w:r>
        <w:t xml:space="preserve">The quietest part of any statute is the definitions, and in this act the definitions do load-bearing work, because the school-trust wars have been fought over definitions all along.</w:t>
      </w:r>
    </w:p>
    <w:p>
      <w:pPr>
        <w:pStyle w:val="BodyText"/>
      </w:pPr>
      <w:r>
        <w:t xml:space="preserve">Start with the oldest dodge in the record. The original grants gave land</w:t>
      </w:r>
      <w:r>
        <w:t xml:space="preserve"> </w:t>
      </w:r>
      <w:r>
        <w:t xml:space="preserve">“</w:t>
      </w:r>
      <w:r>
        <w:t xml:space="preserve">for the use of schools</w:t>
      </w:r>
      <w:r>
        <w:t xml:space="preserve">”</w:t>
      </w:r>
      <w:r>
        <w:t xml:space="preserve"> </w:t>
      </w:r>
      <w:r>
        <w:t xml:space="preserve">— and states have argued, sometimes successfully, that because the word</w:t>
      </w:r>
      <w:r>
        <w:t xml:space="preserve"> </w:t>
      </w:r>
      <w:r>
        <w:t xml:space="preserve">“</w:t>
      </w:r>
      <w:r>
        <w:t xml:space="preserve">trust</w:t>
      </w:r>
      <w:r>
        <w:t xml:space="preserve">”</w:t>
      </w:r>
      <w:r>
        <w:t xml:space="preserve"> </w:t>
      </w:r>
      <w:r>
        <w:t xml:space="preserve">never appears, no trust was ever created. The act’s definitions end that argument: a</w:t>
      </w:r>
      <w:r>
        <w:t xml:space="preserve"> </w:t>
      </w:r>
      <w:r>
        <w:t xml:space="preserve">“</w:t>
      </w:r>
      <w:r>
        <w:t xml:space="preserve">trust instrument</w:t>
      </w:r>
      <w:r>
        <w:t xml:space="preserve">”</w:t>
      </w:r>
      <w:r>
        <w:t xml:space="preserve"> </w:t>
      </w:r>
      <w:r>
        <w:t xml:space="preserve">is any source — an admission act, an enabling act, a constitution, a federal grant, a compact, a statute, a patent, a deed, a common-law rule, a judicial decree —</w:t>
      </w:r>
      <w:r>
        <w:t xml:space="preserve"> </w:t>
      </w:r>
      <w:r>
        <w:t xml:space="preserve">“</w:t>
      </w:r>
      <w:r>
        <w:t xml:space="preserve">that establishes, identifies, limits, or governs a public educational trust.</w:t>
      </w:r>
      <w:r>
        <w:t xml:space="preserve">”</w:t>
      </w:r>
      <w:r>
        <w:t xml:space="preserve"> </w:t>
      </w:r>
      <w:r>
        <w:t xml:space="preserve">[CONFORM: v1’s</w:t>
      </w:r>
      <w:r>
        <w:t xml:space="preserve"> </w:t>
      </w:r>
      <w:r>
        <w:t xml:space="preserve">“</w:t>
      </w:r>
      <w:r>
        <w:t xml:space="preserve">regardless of whether the instrument creating it uses the word</w:t>
      </w:r>
      <w:r>
        <w:t xml:space="preserve"> </w:t>
      </w:r>
      <w:r>
        <w:t xml:space="preserve">‘</w:t>
      </w:r>
      <w:r>
        <w:t xml:space="preserve">trust</w:t>
      </w:r>
      <w:r>
        <w:t xml:space="preserve">’</w:t>
      </w:r>
      <w:r>
        <w:t xml:space="preserve">”</w:t>
      </w:r>
      <w:r>
        <w:t xml:space="preserve"> </w:t>
      </w:r>
      <w:r>
        <w:t xml:space="preserve">sentence does not appear in the merged act; confirm this definitional route carries the same point or restore the v1 sentence at counsel review.] What a thing is depends on what was done, not on which word the eighteenth century happened to write down.</w:t>
      </w:r>
    </w:p>
    <w:p>
      <w:pPr>
        <w:pStyle w:val="BodyText"/>
      </w:pPr>
      <w:r>
        <w:t xml:space="preserve">Three more definitions carry Part I on their backs:</w:t>
      </w:r>
    </w:p>
    <w:p>
      <w:pPr>
        <w:pStyle w:val="BodyText"/>
      </w:pPr>
      <w:r>
        <w:rPr>
          <w:b/>
        </w:rPr>
        <w:t xml:space="preserve">“</w:t>
      </w:r>
      <w:r>
        <w:rPr>
          <w:b/>
        </w:rPr>
        <w:t xml:space="preserve">Beneficiary</w:t>
      </w:r>
      <w:r>
        <w:rPr>
          <w:b/>
        </w:rPr>
        <w:t xml:space="preserve">”</w:t>
      </w:r>
      <w:r>
        <w:rPr>
          <w:b/>
        </w:rPr>
        <w:t xml:space="preserve"> </w:t>
      </w:r>
      <w:r>
        <w:rPr>
          <w:b/>
        </w:rPr>
        <w:t xml:space="preserve">includes the unborn.</w:t>
      </w:r>
      <w:r>
        <w:t xml:space="preserve"> </w:t>
      </w:r>
      <w:r>
        <w:t xml:space="preserve">For a school trust, the beneficiaries are the schools, the children enrolled in them, and — the act defines the term expressly — the</w:t>
      </w:r>
      <w:r>
        <w:t xml:space="preserve"> </w:t>
      </w:r>
      <w:r>
        <w:t xml:space="preserve">“</w:t>
      </w:r>
      <w:r>
        <w:t xml:space="preserve">future beneficiaries</w:t>
      </w:r>
      <w:r>
        <w:t xml:space="preserve">”</w:t>
      </w:r>
      <w:r>
        <w:t xml:space="preserve"> </w:t>
      </w:r>
      <w:r>
        <w:t xml:space="preserve">for whom trust property must be preserved, administered, or made productive. The people with the largest stake in a perpetual trust have never before been named in the statute books as parties in interest. Now they are, and Chapter 13 gives them a voice in court.</w:t>
      </w:r>
    </w:p>
    <w:p>
      <w:pPr>
        <w:pStyle w:val="BodyText"/>
      </w:pPr>
      <w:r>
        <w:rPr>
          <w:b/>
        </w:rPr>
        <w:t xml:space="preserve">“</w:t>
      </w:r>
      <w:r>
        <w:rPr>
          <w:b/>
        </w:rPr>
        <w:t xml:space="preserve">Trustee</w:t>
      </w:r>
      <w:r>
        <w:rPr>
          <w:b/>
        </w:rPr>
        <w:t xml:space="preserve">”</w:t>
      </w:r>
      <w:r>
        <w:rPr>
          <w:b/>
        </w:rPr>
        <w:t xml:space="preserve"> </w:t>
      </w:r>
      <w:r>
        <w:rPr>
          <w:b/>
        </w:rPr>
        <w:t xml:space="preserve">reaches the people, not just the institution.</w:t>
      </w:r>
      <w:r>
        <w:t xml:space="preserve"> </w:t>
      </w:r>
      <w:r>
        <w:t xml:space="preserve">The trustee is the state board or agency</w:t>
      </w:r>
      <w:r>
        <w:t xml:space="preserve"> </w:t>
      </w:r>
      <w:r>
        <w:rPr>
          <w:i/>
        </w:rPr>
        <w:t xml:space="preserve">and</w:t>
      </w:r>
      <w:r>
        <w:t xml:space="preserve"> </w:t>
      </w:r>
      <w:r>
        <w:t xml:space="preserve">every</w:t>
      </w:r>
      <w:r>
        <w:t xml:space="preserve"> </w:t>
      </w:r>
      <w:r>
        <w:t xml:space="preserve">“</w:t>
      </w:r>
      <w:r>
        <w:t xml:space="preserve">board member, officer, employee, agent</w:t>
      </w:r>
      <w:r>
        <w:t xml:space="preserve">”</w:t>
      </w:r>
      <w:r>
        <w:t xml:space="preserve"> </w:t>
      </w:r>
      <w:r>
        <w:t xml:space="preserve">or other person who holds, manages, controls, invests, disposes of, accounts for, or distributes trust property. A board cannot dissolve responsibility into the institution, and the institution cannot dissolve it into the board members. Both are named.</w:t>
      </w:r>
    </w:p>
    <w:p>
      <w:pPr>
        <w:pStyle w:val="BodyText"/>
      </w:pPr>
      <w:r>
        <w:rPr>
          <w:b/>
        </w:rPr>
        <w:t xml:space="preserve">“</w:t>
      </w:r>
      <w:r>
        <w:rPr>
          <w:b/>
        </w:rPr>
        <w:t xml:space="preserve">Disposition</w:t>
      </w:r>
      <w:r>
        <w:rPr>
          <w:b/>
        </w:rPr>
        <w:t xml:space="preserve">”</w:t>
      </w:r>
      <w:r>
        <w:rPr>
          <w:b/>
        </w:rPr>
        <w:t xml:space="preserve"> </w:t>
      </w:r>
      <w:r>
        <w:rPr>
          <w:b/>
        </w:rPr>
        <w:t xml:space="preserve">sweeps in the quiet transactions.</w:t>
      </w:r>
      <w:r>
        <w:t xml:space="preserve"> </w:t>
      </w:r>
      <w:r>
        <w:t xml:space="preserve">Trust value rarely leaves by outright sale anymore. It leaves by the ninety-nine-year lease, the perpetual easement, the encumbrance — transactions that transfer the substance of an asset while the title stays put. The act defines disposition to cover all of them, so the protections of later articles cannot be evaded by relabeling the deal.</w:t>
      </w:r>
    </w:p>
    <w:p>
      <w:pPr>
        <w:pStyle w:val="BodyText"/>
      </w:pPr>
      <w:r>
        <w:t xml:space="preserve">Article 1 closes with a savings clause that matters more than it looks: the act</w:t>
      </w:r>
      <w:r>
        <w:t xml:space="preserve"> </w:t>
      </w:r>
      <w:r>
        <w:rPr>
          <w:i/>
        </w:rPr>
        <w:t xml:space="preserve">supplements</w:t>
      </w:r>
      <w:r>
        <w:t xml:space="preserve"> </w:t>
      </w:r>
      <w:r>
        <w:t xml:space="preserve">the constitution, the granting acts, and the common law — it never limits them. Some codifications quietly become ceilings: whatever the statute lists is all the beneficiary gets. This one is built to be a floor. Anything the old law gave the beneficiaries, they keep; the act only adds.</w:t>
      </w:r>
    </w:p>
    <w:p>
      <w:pPr>
        <w:pStyle w:val="Heading2"/>
      </w:pPr>
      <w:bookmarkStart w:id="82" w:name="article-2-the-five-duties"/>
      <w:r>
        <w:t xml:space="preserve">Article 2: the five duties</w:t>
      </w:r>
      <w:bookmarkEnd w:id="82"/>
    </w:p>
    <w:p>
      <w:pPr>
        <w:pStyle w:val="FirstParagraph"/>
      </w:pPr>
      <w:r>
        <w:t xml:space="preserve">Then the act states the duties — the ones that were real all along. There are five, and each one answers a failure from Part I.</w:t>
      </w:r>
    </w:p>
    <w:p>
      <w:pPr>
        <w:pStyle w:val="BodyText"/>
      </w:pPr>
      <w:r>
        <w:t xml:space="preserve">Before listing them, Article 2 makes the single most clarifying move in the whole act. When the state administers trust assets, the act says, it acts</w:t>
      </w:r>
      <w:r>
        <w:t xml:space="preserve"> </w:t>
      </w:r>
      <w:r>
        <w:rPr>
          <w:i/>
        </w:rPr>
        <w:t xml:space="preserve">as a fiduciary, not as a sovereign</w:t>
      </w:r>
      <w:r>
        <w:t xml:space="preserve"> </w:t>
      </w:r>
      <w:r>
        <w:t xml:space="preserve">— and the interests of the state as state</w:t>
      </w:r>
      <w:r>
        <w:t xml:space="preserve"> </w:t>
      </w:r>
      <w:r>
        <w:t xml:space="preserve">“</w:t>
      </w:r>
      <w:r>
        <w:t xml:space="preserve">are not interests of the beneficiaries</w:t>
      </w:r>
      <w:r>
        <w:t xml:space="preserve">”</w:t>
      </w:r>
      <w:r>
        <w:t xml:space="preserve"> </w:t>
      </w:r>
      <w:r>
        <w:t xml:space="preserve">and may not be preferred to the trust. Most of what Part I documented flows from one confusion: a state wearing two hats and forgetting which one it had on. The general fund needs money; the trustee has money; the trustee is the state; surely the state may consider the general fund. No. With trust assets in its hands, the state is a trustee, full stop, and its other interests are someone else’s interests. The act makes the two-hats rule statutory, and adds that a trustee cannot contract away, waive, or be exempted from the duties — and that wherever another law protects the trust more strongly, the stronger law controls. [CONFORM: v1’s express-diminishment rule — a future statute could weaken the duties only by naming them — does not appear in the merged act; decide whether to restore it or let the savings clause carry the point.]</w:t>
      </w:r>
    </w:p>
    <w:p>
      <w:pPr>
        <w:pStyle w:val="BodyText"/>
      </w:pPr>
      <w:r>
        <w:rPr>
          <w:b/>
        </w:rPr>
        <w:t xml:space="preserve">Loyalty.</w:t>
      </w:r>
      <w:r>
        <w:t xml:space="preserve"> </w:t>
      </w:r>
      <w:r>
        <w:t xml:space="preserve">The trustee administers the trust</w:t>
      </w:r>
      <w:r>
        <w:t xml:space="preserve"> </w:t>
      </w:r>
      <w:r>
        <w:t xml:space="preserve">“</w:t>
      </w:r>
      <w:r>
        <w:t xml:space="preserve">solely in the interest of the beneficiaries.</w:t>
      </w:r>
      <w:r>
        <w:t xml:space="preserve">”</w:t>
      </w:r>
      <w:r>
        <w:t xml:space="preserve"> </w:t>
      </w:r>
      <w:r>
        <w:t xml:space="preserve">Not the general fund, not another agency, not a worthy public purpose down the road — solely. And when one arm of the state wants to acquire trust assets from another arm, the act calls that transaction what private trust law has always called it: self-dealing, subject to the special scrutiny of Chapter 14.</w:t>
      </w:r>
    </w:p>
    <w:p>
      <w:pPr>
        <w:pStyle w:val="BodyText"/>
      </w:pPr>
      <w:r>
        <w:rPr>
          <w:b/>
        </w:rPr>
        <w:t xml:space="preserve">Prudence.</w:t>
      </w:r>
      <w:r>
        <w:t xml:space="preserve"> </w:t>
      </w:r>
      <w:r>
        <w:t xml:space="preserve">The trustee manages as a careful person would, and manages revenue-producing lands to obtain</w:t>
      </w:r>
      <w:r>
        <w:t xml:space="preserve"> </w:t>
      </w:r>
      <w:r>
        <w:t xml:space="preserve">“</w:t>
      </w:r>
      <w:r>
        <w:t xml:space="preserve">the greatest fiduciary value over time</w:t>
      </w:r>
      <w:r>
        <w:t xml:space="preserve">”</w:t>
      </w:r>
      <w:r>
        <w:t xml:space="preserve"> </w:t>
      </w:r>
      <w:r>
        <w:t xml:space="preserve">consistent with the long-term preservation, productivity, and lawful administration of the trust. The act draws the line that decades of argument have circled: sustained-yield forestry and conservation practices that keep the asset productive are prudent; sacrificing trust revenue to serve purposes that belong to someone other than the beneficiaries is not. Conservation is not the enemy of the trust. Subordination is.</w:t>
      </w:r>
    </w:p>
    <w:p>
      <w:pPr>
        <w:pStyle w:val="BodyText"/>
      </w:pPr>
      <w:r>
        <w:rPr>
          <w:b/>
        </w:rPr>
        <w:t xml:space="preserve">Impartiality between generations.</w:t>
      </w:r>
      <w:r>
        <w:t xml:space="preserve"> </w:t>
      </w:r>
      <w:r>
        <w:t xml:space="preserve">This is the duty the political process is structurally incapable of honoring on its own, because one side of the scale votes and the other side has not been born. The trustee may not benefit today’s beneficiaries by depleting or undercompensating the corpus at the expense of tomorrow’s — and, in the other direction, may not hoard the corpus and distribute nothing, starving the present to flatter the balance sheet. A perpetual trust serves a procession, and the trustee owes the whole line.</w:t>
      </w:r>
    </w:p>
    <w:p>
      <w:pPr>
        <w:pStyle w:val="BodyText"/>
      </w:pPr>
      <w:r>
        <w:rPr>
          <w:b/>
        </w:rPr>
        <w:t xml:space="preserve">Full value on disposition.</w:t>
      </w:r>
      <w:r>
        <w:t xml:space="preserve"> </w:t>
      </w:r>
      <w:r>
        <w:t xml:space="preserve">When a trust asset is sold, leased, or transferred, the trust receives no less than fair market value — and the default way to find fair market value is to expose the asset to the market: public auction, competitive bid, open listing, after real public notice. A trustee who wants to skip the competitive process must publish a written explanation</w:t>
      </w:r>
      <w:r>
        <w:t xml:space="preserve"> </w:t>
      </w:r>
      <w:r>
        <w:rPr>
          <w:i/>
        </w:rPr>
        <w:t xml:space="preserve">before</w:t>
      </w:r>
      <w:r>
        <w:t xml:space="preserve"> </w:t>
      </w:r>
      <w:r>
        <w:t xml:space="preserve">the deal, with an independent appraisal attached. And the act adds a bluntly practical sentence learned from hard experience: the consideration must actually be</w:t>
      </w:r>
      <w:r>
        <w:t xml:space="preserve"> </w:t>
      </w:r>
      <w:r>
        <w:rPr>
          <w:i/>
        </w:rPr>
        <w:t xml:space="preserve">paid to the trust</w:t>
      </w:r>
      <w:r>
        <w:t xml:space="preserve">. A legislature that</w:t>
      </w:r>
      <w:r>
        <w:t xml:space="preserve"> </w:t>
      </w:r>
      <w:r>
        <w:t xml:space="preserve">“</w:t>
      </w:r>
      <w:r>
        <w:t xml:space="preserve">buys</w:t>
      </w:r>
      <w:r>
        <w:t xml:space="preserve">”</w:t>
      </w:r>
      <w:r>
        <w:t xml:space="preserve"> </w:t>
      </w:r>
      <w:r>
        <w:t xml:space="preserve">trust land with an appropriation that never reaches the trust, or nets the price against the trust’s supposed debts, has not paid; the act says so in terms. The schools’ wallet must come back with the money still inside.</w:t>
      </w:r>
    </w:p>
    <w:p>
      <w:pPr>
        <w:pStyle w:val="BodyText"/>
      </w:pPr>
      <w:r>
        <w:rPr>
          <w:b/>
        </w:rPr>
        <w:t xml:space="preserve">Accounting.</w:t>
      </w:r>
      <w:r>
        <w:t xml:space="preserve"> </w:t>
      </w:r>
      <w:r>
        <w:t xml:space="preserve">The trustee keeps complete records of every asset, every revenue, every expense, every disposition — and renders the annual public accounting that the next chapter describes. Record-keeping sounds like the dullest duty of the five. It is the one all the others stand on: a trustee who keeps no records cannot be audited, cannot be surcharged, cannot even be meaningfully accused. Which, the record suggests, is sometimes the point.</w:t>
      </w:r>
    </w:p>
    <w:p>
      <w:pPr>
        <w:pStyle w:val="Heading2"/>
      </w:pPr>
      <w:bookmarkStart w:id="83" w:name="X1dadf8787421eaa1a4bc51a1b62abf7ab74695a"/>
      <w:r>
        <w:t xml:space="preserve">What the legislature would actually be saying</w:t>
      </w:r>
      <w:bookmarkEnd w:id="83"/>
    </w:p>
    <w:p>
      <w:pPr>
        <w:pStyle w:val="FirstParagraph"/>
      </w:pPr>
      <w:r>
        <w:t xml:space="preserve">Step back from the sections and notice what a legislature enacting this article would — and would not — be doing.</w:t>
      </w:r>
    </w:p>
    <w:p>
      <w:pPr>
        <w:pStyle w:val="BodyText"/>
      </w:pPr>
      <w:r>
        <w:t xml:space="preserve">It would not be confessing anything. The findings name deficiencies of procedure, not villains; the act is drafted so a legislature can adopt it without convicting its predecessors. It would not be inventing anything: every one of the five duties can be found, by a patient lawyer, in the granting acts, the constitutions, and two centuries of trust law. What the legislature would be doing is ending a long and expensive ambiguity — moving the duties from the place where only patient lawyers can find them to a place where every trustee, every parent, and every judge can read them in an afternoon.</w:t>
      </w:r>
    </w:p>
    <w:p>
      <w:pPr>
        <w:pStyle w:val="BodyText"/>
      </w:pPr>
      <w:r>
        <w:t xml:space="preserve">That is the act’s first half: the duties, stated. But Part I taught that stating duties has never been the problem. The problem is the locked courthouse, the missing statement, the lawyer on both sides, the verdict no one can collect. The act’s answer to those occupies the next two chapters — first the doors, then the teeth.</w:t>
      </w:r>
    </w:p>
    <w:p>
      <w:r>
        <w:pict>
          <v:rect style="width:0;height:1.5pt" o:hralign="center" o:hrstd="t" o:hr="t"/>
        </w:pict>
      </w:r>
    </w:p>
    <w:p>
      <w:pPr>
        <w:pStyle w:val="FirstParagraph"/>
      </w:pPr>
      <w:r>
        <w:rPr>
          <w:b/>
        </w:rPr>
        <w:t xml:space="preserve">Sources for this chapter.</w:t>
      </w:r>
      <w:r>
        <w:t xml:space="preserve"> </w:t>
      </w:r>
      <w:r>
        <w:t xml:space="preserve">The chapter restates Articles 1 and 2 of the Uniform Public Trust Enforcement Act (Converged Packet v2.0, June 2026) and its drafting commentary; the act is an internal working draft and does not circulate externally until counsel review is complete. Quoted phrases (</w:t>
      </w:r>
      <w:r>
        <w:t xml:space="preserve">“</w:t>
      </w:r>
      <w:r>
        <w:t xml:space="preserve">declaratory of existing law,</w:t>
      </w:r>
      <w:r>
        <w:t xml:space="preserve">”</w:t>
      </w:r>
      <w:r>
        <w:t xml:space="preserve"> </w:t>
      </w:r>
      <w:r>
        <w:t xml:space="preserve">“</w:t>
      </w:r>
      <w:r>
        <w:t xml:space="preserve">solely in the interest of the beneficiaries,</w:t>
      </w:r>
      <w:r>
        <w:t xml:space="preserve">”</w:t>
      </w:r>
      <w:r>
        <w:t xml:space="preserve"> </w:t>
      </w:r>
      <w:r>
        <w:t xml:space="preserve">“</w:t>
      </w:r>
      <w:r>
        <w:t xml:space="preserve">the greatest fiduciary value over time,</w:t>
      </w:r>
      <w:r>
        <w:t xml:space="preserve">”</w:t>
      </w:r>
      <w:r>
        <w:t xml:space="preserve"> </w:t>
      </w:r>
      <w:r>
        <w:t xml:space="preserve">“</w:t>
      </w:r>
      <w:r>
        <w:t xml:space="preserve">are not interests of the beneficiaries,</w:t>
      </w:r>
      <w:r>
        <w:t xml:space="preserve">”</w:t>
      </w:r>
      <w:r>
        <w:t xml:space="preserve"> </w:t>
      </w:r>
      <w:r>
        <w:t xml:space="preserve">“</w:t>
      </w:r>
      <w:r>
        <w:t xml:space="preserve">has been impaired by recurring structural failures,</w:t>
      </w:r>
      <w:r>
        <w:t xml:space="preserve">”</w:t>
      </w:r>
      <w:r>
        <w:t xml:space="preserve"> </w:t>
      </w:r>
      <w:r>
        <w:t xml:space="preserve">“</w:t>
      </w:r>
      <w:r>
        <w:t xml:space="preserve">that establishes, identifies, limits, or governs a public educational trust</w:t>
      </w:r>
      <w:r>
        <w:t xml:space="preserve">”</w:t>
      </w:r>
      <w:r>
        <w:t xml:space="preserve">) are verbatim from that draft; two v1 formulations the merged act dropped are flagged [CONFORM] in the body above. The characterization of judicial treatment of the school grants as binding obligations is developed with full citations in</w:t>
      </w:r>
      <w:r>
        <w:t xml:space="preserve"> </w:t>
      </w:r>
      <w:r>
        <w:rPr>
          <w:i/>
        </w:rPr>
        <w:t xml:space="preserve">The Forgotten Forever Gift to Public Schools</w:t>
      </w:r>
      <w:r>
        <w:t xml:space="preserve"> </w:t>
      </w:r>
      <w:r>
        <w:t xml:space="preserve">(Volume 1 of this work) and carries [VERIFY] here for any specific case named in a later pass. The hornbook of school-trust law described in this chapter is complete in first draft (nineteen chapters plus a state-by-state appendix for the twenty trust-land states) and its characterizations carry [VERIFY status at print]. The count of states holding school trust lands is approximately twenty [VERIFY against the fifty-state research]. Nothing in this chapter characterizes the conduct of any party to pending litigation; descriptions of recurring transaction patterns are drawn from the act’s legislative findings, which speak generally. This chapter is gated on counsel review of the act itself before any external use.</w:t>
      </w:r>
    </w:p>
    <w:p>
      <w:r>
        <w:br w:type="page"/>
      </w:r>
    </w:p>
    <w:p>
      <w:pPr>
        <w:pStyle w:val="Heading1"/>
      </w:pPr>
      <w:bookmarkStart w:id="84" w:name="X06b2382344c7e63e31dc4ad49f2bd71bbfe85d7"/>
      <w:r>
        <w:t xml:space="preserve">Chapter 13 — Opening the Books and the Courthouse</w:t>
      </w:r>
      <w:bookmarkEnd w:id="84"/>
    </w:p>
    <w:p>
      <w:pPr>
        <w:pStyle w:val="FirstParagraph"/>
      </w:pPr>
      <w:r>
        <w:t xml:space="preserve">[DRAFT v2.0 — AI first pass; awaiting Dave’s voice pass]</w:t>
      </w:r>
    </w:p>
    <w:p>
      <w:r>
        <w:pict>
          <v:rect style="width:0;height:1.5pt" o:hralign="center" o:hrstd="t" o:hr="t"/>
        </w:pict>
      </w:r>
    </w:p>
    <w:p>
      <w:pPr>
        <w:pStyle w:val="FirstParagraph"/>
      </w:pPr>
      <w:r>
        <w:t xml:space="preserve">Chapter 2 told the story of beneficiaries who tried to ask a court one question — is the trustee keeping the trust? — and spent years litigating a different question instead: whether they were allowed to ask. In Oregon, it took a ruling from the state’s Court of Appeals, in January 2026, before anyone definitively had the right to be heard. [VERIFY: date, citation, and disposition against the opinion itself before print.] Years of motion practice, briefing, and appeals, all consumed before the merits could begin — not because the question was hard, but because no statute had ever said who may ask it.</w:t>
      </w:r>
    </w:p>
    <w:p>
      <w:pPr>
        <w:pStyle w:val="BodyText"/>
      </w:pPr>
      <w:r>
        <w:t xml:space="preserve">And Chapter 5 told the stranger story underneath: even a beneficiary with a lawyer and a theory could not find out the condition of the trust, because no law required the trustee to ever produce a statement. The two failures compound each other. You cannot prove what you cannot see, and you cannot be heard about what you cannot prove.</w:t>
      </w:r>
    </w:p>
    <w:p>
      <w:pPr>
        <w:pStyle w:val="BodyText"/>
      </w:pPr>
      <w:r>
        <w:t xml:space="preserve">Articles 3, 4, and 5 of the act answer both, and they are best understood as two doors being unlocked — first the books, then the courthouse — with a full-time doorkeeper hired to watch them both.</w:t>
      </w:r>
    </w:p>
    <w:p>
      <w:pPr>
        <w:pStyle w:val="Heading2"/>
      </w:pPr>
      <w:bookmarkStart w:id="85" w:name="article-3-the-annual-statement"/>
      <w:r>
        <w:t xml:space="preserve">Article 3: the annual statement</w:t>
      </w:r>
      <w:bookmarkEnd w:id="85"/>
    </w:p>
    <w:p>
      <w:pPr>
        <w:pStyle w:val="FirstParagraph"/>
      </w:pPr>
      <w:r>
        <w:t xml:space="preserve">Start with what any private citizen already takes for granted. If a bank holds your retirement account in trust, it sends you a statement. It must. A bank trustee that refused to tell its beneficiaries what the trust holds, what it earned, and where the money went would lose its license, and quickly. Yet many trust-land states do not publish a single beneficiary-facing annual statement that consolidates the trust’s corpus, land inventory, receipts, expenses, asset dispositions, and distributions to beneficiaries [a reproducible fifty-state accounting is in progress; no count is asserted until it exists].</w:t>
      </w:r>
    </w:p>
    <w:p>
      <w:pPr>
        <w:pStyle w:val="BodyText"/>
      </w:pPr>
      <w:r>
        <w:t xml:space="preserve">The act’s Article 3 imposes the obligation a bank examiner would consider table stakes: every public trust covered by the act produces a uniform annual accounting, published free on a public website, within about four months of the close of each fiscal year.</w:t>
      </w:r>
    </w:p>
    <w:p>
      <w:pPr>
        <w:pStyle w:val="BodyText"/>
      </w:pPr>
      <w:r>
        <w:t xml:space="preserve">What must be in it is the heart of the provision, and the list was not invented at a desk. It was reverse-engineered from the questions beneficiaries have had to</w:t>
      </w:r>
      <w:r>
        <w:t xml:space="preserve"> </w:t>
      </w:r>
      <w:r>
        <w:rPr>
          <w:i/>
        </w:rPr>
        <w:t xml:space="preserve">litigate</w:t>
      </w:r>
      <w:r>
        <w:t xml:space="preserve"> </w:t>
      </w:r>
      <w:r>
        <w:t xml:space="preserve">to get answered. Sixteen required elements; grouped in plain terms, they come to seven questions:</w:t>
      </w:r>
    </w:p>
    <w:p>
      <w:pPr>
        <w:numPr>
          <w:ilvl w:val="0"/>
          <w:numId w:val="1002"/>
        </w:numPr>
        <w:pStyle w:val="Compact"/>
      </w:pPr>
      <w:r>
        <w:rPr>
          <w:b/>
        </w:rPr>
        <w:t xml:space="preserve">What the trust holds</w:t>
      </w:r>
      <w:r>
        <w:t xml:space="preserve"> </w:t>
      </w:r>
      <w:r>
        <w:t xml:space="preserve">— the corpus, opening and closing, with land stated by acreage and use, funds at market value, and the trustee’s estimate of land value with the date and method shown.</w:t>
      </w:r>
    </w:p>
    <w:p>
      <w:pPr>
        <w:numPr>
          <w:ilvl w:val="0"/>
          <w:numId w:val="1002"/>
        </w:numPr>
        <w:pStyle w:val="Compact"/>
      </w:pPr>
      <w:r>
        <w:rPr>
          <w:b/>
        </w:rPr>
        <w:t xml:space="preserve">What came in</w:t>
      </w:r>
      <w:r>
        <w:t xml:space="preserve"> </w:t>
      </w:r>
      <w:r>
        <w:t xml:space="preserve">— every revenue source: sales, royalties, rents, timber receipts, interest, gains.</w:t>
      </w:r>
    </w:p>
    <w:p>
      <w:pPr>
        <w:numPr>
          <w:ilvl w:val="0"/>
          <w:numId w:val="1002"/>
        </w:numPr>
        <w:pStyle w:val="Compact"/>
      </w:pPr>
      <w:r>
        <w:rPr>
          <w:b/>
        </w:rPr>
        <w:t xml:space="preserve">What went out</w:t>
      </w:r>
      <w:r>
        <w:t xml:space="preserve"> </w:t>
      </w:r>
      <w:r>
        <w:t xml:space="preserve">— every expenditure, by category, with the legal authority for each category cited.</w:t>
      </w:r>
    </w:p>
    <w:p>
      <w:pPr>
        <w:numPr>
          <w:ilvl w:val="0"/>
          <w:numId w:val="1002"/>
        </w:numPr>
        <w:pStyle w:val="Compact"/>
      </w:pPr>
      <w:r>
        <w:rPr>
          <w:b/>
        </w:rPr>
        <w:t xml:space="preserve">What left the trust for somewhere else</w:t>
      </w:r>
      <w:r>
        <w:t xml:space="preserve"> </w:t>
      </w:r>
      <w:r>
        <w:t xml:space="preserve">— every transfer out of the trust, to the state, an agency, a local government, or any non-trust account, with the legal authority for each category of charge cited — and, remarkably,</w:t>
      </w:r>
      <w:r>
        <w:t xml:space="preserve"> </w:t>
      </w:r>
      <w:r>
        <w:rPr>
          <w:i/>
        </w:rPr>
        <w:t xml:space="preserve">a statement of all known missing, disputed, commingled, or unreconciled trust property</w:t>
      </w:r>
      <w:r>
        <w:t xml:space="preserve">. The trustee must certify its own loose ends.</w:t>
      </w:r>
    </w:p>
    <w:p>
      <w:pPr>
        <w:numPr>
          <w:ilvl w:val="0"/>
          <w:numId w:val="1002"/>
        </w:numPr>
        <w:pStyle w:val="Compact"/>
      </w:pPr>
      <w:r>
        <w:rPr>
          <w:b/>
        </w:rPr>
        <w:t xml:space="preserve">What the beneficiaries received</w:t>
      </w:r>
      <w:r>
        <w:t xml:space="preserve"> </w:t>
      </w:r>
      <w:r>
        <w:t xml:space="preserve">— every distribution to beneficiary institutions and funds, with the formula shown and any amounts withheld, delayed, redirected, or offset stated. [CONFORM: v1 required distributions stated per district and per student; the merged act requires the formula and any withheld amounts but drops the per-student line — consider restoring it as a state add-on or in the commentary.]</w:t>
      </w:r>
    </w:p>
    <w:p>
      <w:pPr>
        <w:numPr>
          <w:ilvl w:val="0"/>
          <w:numId w:val="1002"/>
        </w:numPr>
        <w:pStyle w:val="Compact"/>
      </w:pPr>
      <w:r>
        <w:rPr>
          <w:b/>
        </w:rPr>
        <w:t xml:space="preserve">What was sold</w:t>
      </w:r>
      <w:r>
        <w:t xml:space="preserve"> </w:t>
      </w:r>
      <w:r>
        <w:t xml:space="preserve">— each disposition: the asset, the buyer, the price, the method, and the written justification for any deal that skipped the competitive process.</w:t>
      </w:r>
    </w:p>
    <w:p>
      <w:pPr>
        <w:numPr>
          <w:ilvl w:val="0"/>
          <w:numId w:val="1002"/>
        </w:numPr>
        <w:pStyle w:val="Compact"/>
      </w:pPr>
      <w:r>
        <w:rPr>
          <w:b/>
        </w:rPr>
        <w:t xml:space="preserve">What is pending</w:t>
      </w:r>
      <w:r>
        <w:t xml:space="preserve"> </w:t>
      </w:r>
      <w:r>
        <w:t xml:space="preserve">— litigation, claims, and any known condition impairing a trust asset.</w:t>
      </w:r>
    </w:p>
    <w:p>
      <w:pPr>
        <w:pStyle w:val="FirstParagraph"/>
      </w:pPr>
      <w:r>
        <w:t xml:space="preserve">Each item carries five years of comparative figures, so a trend is visible on the page without research. The board’s presiding officer and the agency’s chief fiscal officer must each certify the accounting is complete and accurate — signatures, not an anonymous agency product, because signatures change behavior. And the act anticipates the oldest evasion in public finance: the accounting requirement is</w:t>
      </w:r>
      <w:r>
        <w:t xml:space="preserve"> </w:t>
      </w:r>
      <w:r>
        <w:rPr>
          <w:i/>
        </w:rPr>
        <w:t xml:space="preserve">not</w:t>
      </w:r>
      <w:r>
        <w:t xml:space="preserve"> </w:t>
      </w:r>
      <w:r>
        <w:t xml:space="preserve">satisfied by pointing to the state’s general financial reports, budget documents, or audit footnotes scattered across a dozen publications. One trust, one document, everything in it.</w:t>
      </w:r>
    </w:p>
    <w:p>
      <w:pPr>
        <w:pStyle w:val="BodyText"/>
      </w:pPr>
      <w:r>
        <w:t xml:space="preserve">Two further provisions show the drafters were paying attention to how information actually gets used — and buried. The underlying data must be published in machine-readable form: a structured format a spreadsheet can open, not a scanned image of a paper table. That single requirement multiplies the watchful crew of Chapter 10 at no cost to the state, because it lets every school district, journalist, researcher, and watchdog do its own arithmetic. And each year’s accounting must stay publicly available for at least twenty years — no quiet removal of embarrassing history.</w:t>
      </w:r>
    </w:p>
    <w:p>
      <w:pPr>
        <w:pStyle w:val="BodyText"/>
      </w:pPr>
      <w:r>
        <w:t xml:space="preserve">Then comes the tooth, because a reporting mandate without consequences is a press release. If the trustee fails to account, any person with standing may object and seek a judicial accounting. But the deeper consequence is this: in any later proceeding about a period for which the trustee failed to render a materially complete accounting,</w:t>
      </w:r>
      <w:r>
        <w:t xml:space="preserve"> </w:t>
      </w:r>
      <w:r>
        <w:rPr>
          <w:i/>
        </w:rPr>
        <w:t xml:space="preserve">the burden of proof flips</w:t>
      </w:r>
      <w:r>
        <w:t xml:space="preserve"> </w:t>
      </w:r>
      <w:r>
        <w:t xml:space="preserve">— the trustee must prove the challenged transactions were lawful and faithful to the trust. And the limitations clock does not start running against a trust claim until the trustee has disclosed enough to put a beneficiary on reasonable notice of it. That is not an innovation; it is the settled rule for private fiduciaries, applied at last to public ones. A trustee who keeps the beneficiaries in the dark does not get to profit from the darkness.</w:t>
      </w:r>
    </w:p>
    <w:p>
      <w:pPr>
        <w:pStyle w:val="Heading2"/>
      </w:pPr>
      <w:bookmarkStart w:id="86" w:name="article-4-the-courthouse-door"/>
      <w:r>
        <w:t xml:space="preserve">Article 4: the courthouse door</w:t>
      </w:r>
      <w:bookmarkEnd w:id="86"/>
    </w:p>
    <w:p>
      <w:pPr>
        <w:pStyle w:val="FirstParagraph"/>
      </w:pPr>
      <w:r>
        <w:t xml:space="preserve">Now the second door.</w:t>
      </w:r>
    </w:p>
    <w:p>
      <w:pPr>
        <w:pStyle w:val="BodyText"/>
      </w:pPr>
      <w:r>
        <w:t xml:space="preserve">Article 4 begins by doing, in one paragraph, what consumed years of appellate litigation in Oregon: it says who may sue. A beneficiary institution. A parent or guardian of a current student, suing for the trust. A school district, or an association of districts. A membership organization whose members include any of these — so an advocacy organization can carry the case without parading individual children as named plaintiffs. A court-appointed representative for future beneficiaries. The independent enforcer described below; the attorney general, when unconflicted; the state auditor. And, at each state’s option, any taxpayer, with a good-faith screen so the option cannot be abused.</w:t>
      </w:r>
    </w:p>
    <w:p>
      <w:pPr>
        <w:pStyle w:val="BodyText"/>
      </w:pPr>
      <w:r>
        <w:t xml:space="preserve">Just as important is what the act forecloses. Standing does not require an injury distinct from the harm to the trust itself. It is not defeated because someone else might have sued instead, or because the plaintiff’s individual share of the trust is small. Those three arguments — you weren’t hurt specially, someone else should sue, your stake is too little — are the standard toolkit for keeping trust cases out of court, and the act retires all three. Whoever sues, sues</w:t>
      </w:r>
      <w:r>
        <w:t xml:space="preserve"> </w:t>
      </w:r>
      <w:r>
        <w:rPr>
          <w:i/>
        </w:rPr>
        <w:t xml:space="preserve">for the trust</w:t>
      </w:r>
      <w:r>
        <w:t xml:space="preserve">: any recovery goes to the trust, not to the plaintiff. This is not a bounty system. It is a key to a door.</w:t>
      </w:r>
    </w:p>
    <w:p>
      <w:pPr>
        <w:pStyle w:val="BodyText"/>
      </w:pPr>
      <w:r>
        <w:t xml:space="preserve">Then the act does something no school-trust statute has done before: it gives the unborn a voice. In any proceeding under the act, the court must ask whether future beneficiaries are adequately represented, and must appoint a representative for them when they are not — the same device, borrowed from guardian-ad-litem practice, that courts already use for children in custody cases and unborn heirs in private trust disputes. And no settlement, release, or consent decree that materially affects future beneficiaries can bind them unless the court finds they were genuinely represented and the deal is fair, reasonable, and faithful to the trust.</w:t>
      </w:r>
    </w:p>
    <w:p>
      <w:pPr>
        <w:pStyle w:val="Heading2"/>
      </w:pPr>
      <w:bookmarkStart w:id="87" w:name="the-enforcer-with-one-client"/>
      <w:r>
        <w:t xml:space="preserve">The enforcer with one client</w:t>
      </w:r>
      <w:bookmarkEnd w:id="87"/>
    </w:p>
    <w:p>
      <w:pPr>
        <w:pStyle w:val="FirstParagraph"/>
      </w:pPr>
      <w:r>
        <w:t xml:space="preserve">The deepest fix — Article 5, the act’s own article for it — answers Chapter 4: the lawyer on both sides.</w:t>
      </w:r>
    </w:p>
    <w:p>
      <w:pPr>
        <w:pStyle w:val="BodyText"/>
      </w:pPr>
      <w:r>
        <w:t xml:space="preserve">Recall the structure of that failure: in most states, the officer charged with enforcing public trusts is the attorney general, and the attorney general simultaneously serves as defense counsel to the very trustee whose administration is in question — with the trustee’s legal bills payable from the trust itself. The beneficiaries finance both sides of their own lawsuit, and the public’s trust enforcer never, ever sues.</w:t>
      </w:r>
    </w:p>
    <w:p>
      <w:pPr>
        <w:pStyle w:val="BodyText"/>
      </w:pPr>
      <w:r>
        <w:t xml:space="preserve">The act offers each state two ways out.</w:t>
      </w:r>
    </w:p>
    <w:p>
      <w:pPr>
        <w:pStyle w:val="BodyText"/>
      </w:pPr>
      <w:r>
        <w:rPr>
          <w:b/>
        </w:rPr>
        <w:t xml:space="preserve">The first is a standing office: the Office of Public Trust Enforcement, headed by an Independent Enforcement Officer.</w:t>
      </w:r>
      <w:r>
        <w:t xml:space="preserve"> </w:t>
      </w:r>
      <w:r>
        <w:t xml:space="preserve">An independent office of state government, answerable to no trustee whose conduct it may have to question, whose entire job is the welfare of the trusts and their beneficiaries. The officer monitors every annual accounting, investigates with real powers — subpoenas where state law allows, a thirty-day deadline on any demand for trust records — sues when warranted, intervenes in cases that affect the trusts, seeks representatives for future beneficiaries, reviews major dispositions and settlement proposals, and reports to the legislature and the public every year.</w:t>
      </w:r>
    </w:p>
    <w:p>
      <w:pPr>
        <w:pStyle w:val="BodyText"/>
      </w:pPr>
      <w:r>
        <w:t xml:space="preserve">Independence is engineered, not assumed, and the act’s drafting commentary is blunt that these features are the whole ballgame: a fixed term; removal only for cause; insulation from any trustee’s supervision, direction, budget control, or litigation control; and funding from non-trust sources — because an enforcer paid out of the trust would re-create the very conflict the office exists to cure. Weaken these and the office becomes one more agency; keep them and the trust has, for the first time, an enforcer with one client.</w:t>
      </w:r>
    </w:p>
    <w:p>
      <w:pPr>
        <w:pStyle w:val="BodyText"/>
      </w:pPr>
      <w:r>
        <w:rPr>
          <w:b/>
        </w:rPr>
        <w:t xml:space="preserve">The second is the lighter version: special counsel on demand.</w:t>
      </w:r>
      <w:r>
        <w:t xml:space="preserve"> </w:t>
      </w:r>
      <w:r>
        <w:t xml:space="preserve">For states unwilling to fund a standing office, a court appoints independent special counsel or a special fiduciary whenever ordinary public enforcement is unavailable, conflicted, inadequate, or materially delayed. The act’s own commentary is honest that this is second-best — episodic counsel cannot monitor, accumulate expertise, or deter — but it puts independence within reach of a small state with a modest trust.</w:t>
      </w:r>
    </w:p>
    <w:p>
      <w:pPr>
        <w:pStyle w:val="BodyText"/>
      </w:pPr>
      <w:r>
        <w:t xml:space="preserve">Either way, the act closes the conflict at its source. Whenever the attorney general represents or defends the trustee on the conduct in question, helped approve the challenged transaction, or is paid from trust property to defend it, the attorney general is</w:t>
      </w:r>
      <w:r>
        <w:t xml:space="preserve"> </w:t>
      </w:r>
      <w:r>
        <w:rPr>
          <w:i/>
        </w:rPr>
        <w:t xml:space="preserve">conflicted out</w:t>
      </w:r>
      <w:r>
        <w:t xml:space="preserve"> </w:t>
      </w:r>
      <w:r>
        <w:t xml:space="preserve">of the enforcement role for that trust: the attorney general may still defend the state, but may not represent the trust, control its claims, or settle them — that authority vests in the enforcement officer or special counsel. No case-by-case recusal fights; no spectacle of the attorney general ruling on the attorney general’s own conflict. The conflict turns on objective facts, because it is structural, not personal — it does not depend on any individual’s bad faith, and no individual’s good faith cures it.</w:t>
      </w:r>
    </w:p>
    <w:p>
      <w:pPr>
        <w:pStyle w:val="BodyText"/>
      </w:pPr>
      <w:r>
        <w:t xml:space="preserve">And one sentence with a long history behind it: the cost of defending a trustee against a breach-of-trust claim shall not be paid from the trust. If the trustee is finally vindicated, the court may allow reimbursement from a non-trust source — fair enough. But win or lose, the children’s money no longer pays the lawyers arguing against the children.</w:t>
      </w:r>
    </w:p>
    <w:p>
      <w:pPr>
        <w:pStyle w:val="Heading2"/>
      </w:pPr>
      <w:bookmarkStart w:id="88" w:name="what-the-three-articles-do-together"/>
      <w:r>
        <w:t xml:space="preserve">What the three articles do together</w:t>
      </w:r>
      <w:bookmarkEnd w:id="88"/>
    </w:p>
    <w:p>
      <w:pPr>
        <w:pStyle w:val="FirstParagraph"/>
      </w:pPr>
      <w:r>
        <w:t xml:space="preserve">Open books and an open courthouse reinforce each other in a way neither achieves alone.</w:t>
      </w:r>
    </w:p>
    <w:p>
      <w:pPr>
        <w:pStyle w:val="BodyText"/>
      </w:pPr>
      <w:r>
        <w:t xml:space="preserve">The accounting makes problems visible while they are still small — the transfer with no authority cited, the disposition with no appraisal published, the distribution that quietly shrank. Standing means visibility can become action without a years-long detour through threshold questions. The enforcement officer means action does not depend on a volunteer plaintiff happening to exist in the right decade with the right resources. And the burden-shift means that even silence has consequences: a trustee can no longer make enforcement impossible by keeping the records bad.</w:t>
      </w:r>
    </w:p>
    <w:p>
      <w:pPr>
        <w:pStyle w:val="BodyText"/>
      </w:pPr>
      <w:r>
        <w:t xml:space="preserve">Notice the spirit of all of it. Nothing in these three articles punishes anyone. A trustee administering the trust faithfully experiences Article 3 as a reporting routine and Articles 4 and 5 not at all. The articles only bite where there is something to hide or something to answer for. That is the test of well-made fiduciary law: invisible to the honest, expensive to the unfaithful.</w:t>
      </w:r>
    </w:p>
    <w:p>
      <w:pPr>
        <w:pStyle w:val="BodyText"/>
      </w:pPr>
      <w:r>
        <w:t xml:space="preserve">But two open doors are still not enough, and Part I says why. Beneficiaries have occasionally gotten through both doors before — seen the breach, won the case — and walked out with a declaration suitable for framing while the money stayed gone. A right to be heard, without a remedy at the end of it, is theater with better seating. What happens after the beneficiaries win is the subject of the next chapter, and it is where the act grows teeth.</w:t>
      </w:r>
    </w:p>
    <w:p>
      <w:r>
        <w:pict>
          <v:rect style="width:0;height:1.5pt" o:hralign="center" o:hrstd="t" o:hr="t"/>
        </w:pict>
      </w:r>
    </w:p>
    <w:p>
      <w:pPr>
        <w:pStyle w:val="FirstParagraph"/>
      </w:pPr>
      <w:r>
        <w:rPr>
          <w:b/>
        </w:rPr>
        <w:t xml:space="preserve">Sources for this chapter.</w:t>
      </w:r>
      <w:r>
        <w:t xml:space="preserve"> </w:t>
      </w:r>
      <w:r>
        <w:t xml:space="preserve">The chapter restates Articles 3 through 5 of the Uniform Public Trust Enforcement Act (Converged Packet v2.0, June 2026) and its drafting commentary; the act is an internal working draft and does not circulate externally until counsel review is complete; quoted and paraphrased provisions must be conformed to the final text before print. The Oregon standing episode is described from the public appellate record; the January 2026 Court of Appeals ruling is</w:t>
      </w:r>
      <w:r>
        <w:t xml:space="preserve"> </w:t>
      </w:r>
      <w:r>
        <w:rPr>
          <w:i/>
        </w:rPr>
        <w:t xml:space="preserve">Advocates for School Trust Lands v. State</w:t>
      </w:r>
      <w:r>
        <w:t xml:space="preserve">, 346 Or App 668 (2026) (decided January 28, 2026; reversed and remanded; on appeal from the earlier case, Coos County Circuit Court No. 23CV39056) [verified against the published opinion 2026-06-06] and any fuller treatment is gated on counsel review under the project’s litigation-sequencing rule (the live trial case,</w:t>
      </w:r>
      <w:r>
        <w:t xml:space="preserve"> </w:t>
      </w:r>
      <w:r>
        <w:rPr>
          <w:i/>
        </w:rPr>
        <w:t xml:space="preserve">Siuslaw School District 97J v. State of Oregon</w:t>
      </w:r>
      <w:r>
        <w:t xml:space="preserve">, Coos County Circuit Court No. 24CV38372, is set for trial August 18–28, 2026; nothing here characterizes contested conduct or predicts any outcome). No count of states lacking a complete school-trust accounting is asserted in this chapter; a reproducible fifty-state accounting is in progress, and the qualitative formulation in the text stands until that count exists. The burden-shift rule’s grounding in settled private-fiduciary doctrine and the associational-standing pattern are per the act’s commentary; supporting citations to be supplied in the verification pass.</w:t>
      </w:r>
    </w:p>
    <w:p>
      <w:r>
        <w:br w:type="page"/>
      </w:r>
    </w:p>
    <w:p>
      <w:pPr>
        <w:pStyle w:val="Heading1"/>
      </w:pPr>
      <w:bookmarkStart w:id="89" w:name="chapter-14-teeth"/>
      <w:r>
        <w:t xml:space="preserve">Chapter 14 — Teeth</w:t>
      </w:r>
      <w:bookmarkEnd w:id="89"/>
    </w:p>
    <w:p>
      <w:pPr>
        <w:pStyle w:val="FirstParagraph"/>
      </w:pPr>
      <w:r>
        <w:t xml:space="preserve">[DRAFT v2.0 — AI first pass; awaiting Dave’s voice pass]</w:t>
      </w:r>
    </w:p>
    <w:p>
      <w:r>
        <w:pict>
          <v:rect style="width:0;height:1.5pt" o:hralign="center" o:hrstd="t" o:hr="t"/>
        </w:pict>
      </w:r>
    </w:p>
    <w:p>
      <w:pPr>
        <w:pStyle w:val="FirstParagraph"/>
      </w:pPr>
      <w:r>
        <w:t xml:space="preserve">Remember where Chapter 6 left us. A court can look straight at a broken promise and find that its hands are empty. The duties were real. The breach was provable. And then the oldest remedies in the law — give an account, restore what was taken, give back what you gained — died at the courthouse door, blocked by doctrines built for car-crash claims against the state. Winning meant nothing.</w:t>
      </w:r>
    </w:p>
    <w:p>
      <w:pPr>
        <w:pStyle w:val="BodyText"/>
      </w:pPr>
      <w:r>
        <w:t xml:space="preserve">This chapter is about the part of the law that fixes that. Articles 6 and 7 of the Uniform Public Trust Enforcement Act are the teeth. Article 6 polices the deals before they close — the sales, trades, and transfers by which trust value most often walks away. Article 7 restores what courts of equity could always do to a private trustee, and makes the state hold still for it.</w:t>
      </w:r>
    </w:p>
    <w:p>
      <w:pPr>
        <w:pStyle w:val="BodyText"/>
      </w:pPr>
      <w:r>
        <w:t xml:space="preserve">Everything before this point in the act is daylight and standing room. This is the part that bites. So it is worth saying at the start what the teeth are for. They are not for punishing anyone. There are no jail terms in this law, no personal damages, no punitive awards. Every remedy in it points one direction: back into the trust, for the children it belongs to.</w:t>
      </w:r>
    </w:p>
    <w:p>
      <w:pPr>
        <w:pStyle w:val="Heading2"/>
      </w:pPr>
      <w:bookmarkStart w:id="90" w:name="article-6-policing-the-deals"/>
      <w:r>
        <w:t xml:space="preserve">Article 6 — Policing the deals</w:t>
      </w:r>
      <w:bookmarkEnd w:id="90"/>
    </w:p>
    <w:p>
      <w:pPr>
        <w:pStyle w:val="Heading3"/>
      </w:pPr>
      <w:bookmarkStart w:id="91" w:name="Xa3b53b77bbaa3f50b00677cf8181055ebc0db4a"/>
      <w:r>
        <w:t xml:space="preserve">Section 604: The state cannot quietly buy from itself</w:t>
      </w:r>
      <w:bookmarkEnd w:id="91"/>
    </w:p>
    <w:p>
      <w:pPr>
        <w:pStyle w:val="FirstParagraph"/>
      </w:pPr>
      <w:r>
        <w:t xml:space="preserve">Here is what the section does. It puts a name on a particular kind of transaction. When a trust asset is sold or transferred to the trustee wearing its other hat — to a state agency that is not a beneficiary, to a member or employee of the trustee board, or to anyone fronting for them — the act calls that a</w:t>
      </w:r>
      <w:r>
        <w:t xml:space="preserve"> </w:t>
      </w:r>
      <w:r>
        <w:rPr>
          <w:i/>
        </w:rPr>
        <w:t xml:space="preserve">self-interested transaction</w:t>
      </w:r>
      <w:r>
        <w:t xml:space="preserve">. A self-interested transaction can be undone by the courts unless the trustee proves two things: that it followed every safeguard in the act, and that the deal was fair to the beneficiaries when it was made. The burden of proof sits on the trustee. Not on the schoolchildren. On the trustee.</w:t>
      </w:r>
    </w:p>
    <w:p>
      <w:pPr>
        <w:pStyle w:val="BodyText"/>
      </w:pPr>
      <w:r>
        <w:t xml:space="preserve">Here is why that matters. In a private trust, this is the oldest rule there is. A trustee who sells trust property to himself has to prove the sale was clean, because he stood on both sides of it. But when a state is the trustee, the same transaction wears a disguise. One arm of the state sells; another arm of the state buys; and the state, in effect, sets the price it pays itself. No outside bidder tests the number. No beneficiary signs off. The paperwork looks like government business as usual, because it is.</w:t>
      </w:r>
    </w:p>
    <w:p>
      <w:pPr>
        <w:pStyle w:val="BodyText"/>
      </w:pPr>
      <w:r>
        <w:t xml:space="preserve">And here is what it would have prevented — or at least forced into the open. You read in Chapter 6 about the Elliott State Forest: trust land decoupled from the Common School Fund in a transfer between arms of the same state, presented as a compensated buyout, with the adequacy of that compensation now contested in active litigation [VERIFY current litigation posture and all figures against public filings before print; describe only as contested]. Other states have run the same play: Utah’s recent sale of school-trust land directly to the state’s wildlife agency — the episode that closed Chapter 9 — ran without competitive exposure, under legislation written for the purpose [VERIFY Utah H.B. 262 details against primary sources before print]. The act does not forbid the state from acquiring trust land. Sometimes the state really is the best buyer. The act says: fine — prove it. Prove the price. Prove the process. In writing, in public, in advance.</w:t>
      </w:r>
    </w:p>
    <w:p>
      <w:pPr>
        <w:pStyle w:val="Heading3"/>
      </w:pPr>
      <w:bookmarkStart w:id="92" w:name="X5b591a3cb35df4c49c5d8983bb0e71012eefbca"/>
      <w:r>
        <w:t xml:space="preserve">Section 602: The buyer does not get to write the appraisal</w:t>
      </w:r>
      <w:bookmarkEnd w:id="92"/>
    </w:p>
    <w:p>
      <w:pPr>
        <w:pStyle w:val="FirstParagraph"/>
      </w:pPr>
      <w:r>
        <w:t xml:space="preserve">What it does: for any major disposition — the act leaves the dollar threshold to each state — the trustee must get an independent appraisal from a professional it selects itself, who has no financial stake in the deal and is paid through the trustee or a neutral process, never directly by the buyer. An appraisal procured or controlled by the buyer can never be the sole or controlling basis for the price. For a self-interested transaction, the trustee needs two independent appraisals. Every appraisal must disclose its methods, assumptions, conflicts review, and market data. And the trustee may not sell below fair market value without written findings, backed by independent valuation, that the trust is receiving an equivalent value the trust instrument actually authorizes.</w:t>
      </w:r>
    </w:p>
    <w:p>
      <w:pPr>
        <w:pStyle w:val="BodyText"/>
      </w:pPr>
      <w:r>
        <w:t xml:space="preserve">Why it matters: a valuation bought by the buyer is not a valuation. It is an opening offer wearing a credential. In private fiduciary work, pricing trust property off the acquirer’s own appraisal would be malpractice. In public trusts it has been routine, because nobody was positioned to object.</w:t>
      </w:r>
    </w:p>
    <w:p>
      <w:pPr>
        <w:pStyle w:val="BodyText"/>
      </w:pPr>
      <w:r>
        <w:t xml:space="preserve">What it would have prevented: the quiet kind of loss — not theft, just a soft number, accepted because checking it was nobody’s job. Pair it with the published fiduciary findings the act requires before any major disposition is approved, and valuation fights happen</w:t>
      </w:r>
      <w:r>
        <w:t xml:space="preserve"> </w:t>
      </w:r>
      <w:r>
        <w:rPr>
          <w:i/>
        </w:rPr>
        <w:t xml:space="preserve">before</w:t>
      </w:r>
      <w:r>
        <w:t xml:space="preserve"> </w:t>
      </w:r>
      <w:r>
        <w:t xml:space="preserve">closing, when they can still change the price, instead of years later in a courtroom, when the land is gone and the argument is academic.</w:t>
      </w:r>
    </w:p>
    <w:p>
      <w:pPr>
        <w:pStyle w:val="Heading3"/>
      </w:pPr>
      <w:bookmarkStart w:id="93" w:name="Xc27535d22d9ba7feefa2bb10ca31e4e03a06ec6"/>
      <w:r>
        <w:t xml:space="preserve">Section 603: Sunlight is the default way to sell</w:t>
      </w:r>
      <w:bookmarkEnd w:id="93"/>
    </w:p>
    <w:p>
      <w:pPr>
        <w:pStyle w:val="FirstParagraph"/>
      </w:pPr>
      <w:r>
        <w:t xml:space="preserve">What it does: every disposition of trust property happens by competitive public process — auction, sealed bids, proposals, or open listing — unless the trustee publishes, in advance, written findings naming one of the act’s listed exceptions and explaining why competition would serve the trust worse. A noncompetitive deal must be published at least thirty days before final approval. A deal that materially violates these rules is voidable in equity — and even where an innocent third-party buyer keeps the land, the act preserves every remedy against the breaching trustee, against knowing participants, and against the proceeds. [CONFORM: v1 charged a state-agency acquirer with notice of the act, foreclosing the innocent-buyer defense in terms; the merged act leaves bona fide purchaser rights to state law while preserving relief against the trustee, participants, and proceeds — confirm the prose claims no more than v2 supports.]</w:t>
      </w:r>
    </w:p>
    <w:p>
      <w:pPr>
        <w:pStyle w:val="BodyText"/>
      </w:pPr>
      <w:r>
        <w:t xml:space="preserve">Why it matters: market exposure is the cheapest, most reliable price-check humanity has invented. The competitive default flips the old arrangement on its head. The insider deal used to be the silent rule and the public sale the occasional gesture. Under the act, the public sale is the rule, and the negotiated exception has to explain itself in writing, in public, before the ink dries.</w:t>
      </w:r>
    </w:p>
    <w:p>
      <w:pPr>
        <w:pStyle w:val="Heading2"/>
      </w:pPr>
      <w:bookmarkStart w:id="94" w:name="article-7-restoring-the-cure"/>
      <w:r>
        <w:t xml:space="preserve">Article 7 — Restoring the cure</w:t>
      </w:r>
      <w:bookmarkEnd w:id="94"/>
    </w:p>
    <w:p>
      <w:pPr>
        <w:pStyle w:val="FirstParagraph"/>
      </w:pPr>
      <w:r>
        <w:t xml:space="preserve">Article 6 is prevention. Article 7 is cure. It answers the failure that gave Chapter 6 its title: a beneficiary who wins on the merits and recovers nothing has not enforced a trust. They have written an essay.</w:t>
      </w:r>
    </w:p>
    <w:p>
      <w:pPr>
        <w:pStyle w:val="Heading3"/>
      </w:pPr>
      <w:bookmarkStart w:id="95" w:name="X4127d9022cb38d7522701a89a0aa7dfbfce445a"/>
      <w:r>
        <w:t xml:space="preserve">Section 704: The whole toolkit, back on the table</w:t>
      </w:r>
      <w:bookmarkEnd w:id="95"/>
    </w:p>
    <w:p>
      <w:pPr>
        <w:pStyle w:val="FirstParagraph"/>
      </w:pPr>
      <w:r>
        <w:t xml:space="preserve">What it does: it lists, in statute, every remedy a court of equity has used against trustees for centuries, and says plainly that all of them are available here. A declaration of what the trust is and what the trustee owes. Injunctions — stop a threatened breach, halt a disposition until the safeguards are met. A full accounting for any period, not just the years the annual reports cover.</w:t>
      </w:r>
      <w:r>
        <w:t xml:space="preserve"> </w:t>
      </w:r>
      <w:r>
        <w:rPr>
          <w:i/>
        </w:rPr>
        <w:t xml:space="preserve">Surcharge</w:t>
      </w:r>
      <w:r>
        <w:t xml:space="preserve"> </w:t>
      </w:r>
      <w:r>
        <w:t xml:space="preserve">and</w:t>
      </w:r>
      <w:r>
        <w:t xml:space="preserve"> </w:t>
      </w:r>
      <w:r>
        <w:rPr>
          <w:i/>
        </w:rPr>
        <w:t xml:space="preserve">restoration</w:t>
      </w:r>
      <w:r>
        <w:t xml:space="preserve"> </w:t>
      </w:r>
      <w:r>
        <w:t xml:space="preserve">— the old words for making the trust whole: the trustee restores the trust to the value it would have held, corpus and income, if the breach had never happened.</w:t>
      </w:r>
      <w:r>
        <w:t xml:space="preserve"> </w:t>
      </w:r>
      <w:r>
        <w:rPr>
          <w:i/>
        </w:rPr>
        <w:t xml:space="preserve">Disgorgement</w:t>
      </w:r>
      <w:r>
        <w:t xml:space="preserve"> </w:t>
      </w:r>
      <w:r>
        <w:t xml:space="preserve">— whoever profited from the breach, including the state in its non-trustee capacity, gives the profit back to the trust. Rescission and reformation — unwinding or repairing the voidable deals of Article 6, with bona fide purchaser rights left to state law. Appointment of a special fiduciary, receiver, monitor, or master to run specified pieces of trust administration until the trustee complies. And the grant is open-ended on purpose: the court may order</w:t>
      </w:r>
      <w:r>
        <w:t xml:space="preserve"> </w:t>
      </w:r>
      <w:r>
        <w:rPr>
          <w:i/>
        </w:rPr>
        <w:t xml:space="preserve">any</w:t>
      </w:r>
      <w:r>
        <w:t xml:space="preserve"> </w:t>
      </w:r>
      <w:r>
        <w:t xml:space="preserve">equitable remedy necessary to enforce the trust. [CONFORM: v1’s explicit catch-all — anything a court of equity could do to a private trustee in like circumstances — does not appear in the merged act; the open-ended grant in Section 704(a) is the v2 equivalent.]</w:t>
      </w:r>
    </w:p>
    <w:p>
      <w:pPr>
        <w:pStyle w:val="BodyText"/>
      </w:pPr>
      <w:r>
        <w:t xml:space="preserve">One honest limit. Where the trustees hold constitutional offices — in Oregon, the State Land Board is the Governor, the Secretary of State, and the State Treasurer — a statute cannot remove them, and this one does not pretend to: removal under the act runs only</w:t>
      </w:r>
      <w:r>
        <w:t xml:space="preserve"> </w:t>
      </w:r>
      <w:r>
        <w:t xml:space="preserve">“</w:t>
      </w:r>
      <w:r>
        <w:t xml:space="preserve">to the extent permitted by</w:t>
      </w:r>
      <w:r>
        <w:t xml:space="preserve">”</w:t>
      </w:r>
      <w:r>
        <w:t xml:space="preserve"> </w:t>
      </w:r>
      <w:r>
        <w:t xml:space="preserve">the state constitution. But the court can forbid specific conduct, and it can put a special fiduciary in charge of specific functions. Between those two, the purpose of removal is mostly served without the constitutional fight.</w:t>
      </w:r>
    </w:p>
    <w:p>
      <w:pPr>
        <w:pStyle w:val="BodyText"/>
      </w:pPr>
      <w:r>
        <w:t xml:space="preserve">Why it matters, and what it would have prevented: every story in Part I ends the same way — with a wrong that had no rescue. This section is the rescue, restated where no one can claim it doesn’t exist.</w:t>
      </w:r>
    </w:p>
    <w:p>
      <w:pPr>
        <w:pStyle w:val="Heading3"/>
      </w:pPr>
      <w:bookmarkStart w:id="96" w:name="X08a480a6e315e07495632453bbeafae99ff5350"/>
      <w:r>
        <w:t xml:space="preserve">Sections 704 and 705: Restoration that actually restores</w:t>
      </w:r>
      <w:bookmarkEnd w:id="96"/>
    </w:p>
    <w:p>
      <w:pPr>
        <w:pStyle w:val="FirstParagraph"/>
      </w:pPr>
      <w:r>
        <w:t xml:space="preserve">What it does: when a court orders the trust made whole, the restoration expressly reaches lost income and lost appreciation, not just the original sum. And every recovery belongs to the trust: the court directs it back into corpus, income, or a distribution account as the trust instrument requires, and no plaintiff, lawyer, or agency may take a percentage of it without express statutory authority and court approval. [CONFORM: v1 fixed the interest measure at the greater of the trust’s actual return or the statutory judgment rate, and expressly barred re-appropriation of restored funds; the merged act names lost income and appreciation as restorable and routes recoveries to the trust, but leaves the rate measure to equity — decide whether the v1 measure returns as a state option.]</w:t>
      </w:r>
    </w:p>
    <w:p>
      <w:pPr>
        <w:pStyle w:val="BodyText"/>
      </w:pPr>
      <w:r>
        <w:t xml:space="preserve">Why it matters: pay attention to where the money lands, because it closes a loop a clever reader has already spotted. If a court orders the state to restore money to a fund the state controls, and the legislature can then appropriate that money right back out, the restoration is a circle. Money in the front door, money out the back. Section 705 sends recoveries to the trust’s own accounts, under court order — and the [CONFORM] note above flags the v1 anti-re-appropriation clause for counsel. And because lost income and lost appreciation are expressly recoverable, the oldest defense strategy in trust litigation — delay — loses its arithmetic. Under the old arrangements, every year of stalling made the eventual judgment cheaper in real terms. Under this act, stalling adds to what must be restored. Delay stops being a strategy.</w:t>
      </w:r>
    </w:p>
    <w:p>
      <w:pPr>
        <w:pStyle w:val="Heading3"/>
      </w:pPr>
      <w:bookmarkStart w:id="97" w:name="Xfbc81600227d3fae55cec8ec501be021ff0e9d8"/>
      <w:r>
        <w:t xml:space="preserve">Section 706: The economics of suing your own trustee</w:t>
      </w:r>
      <w:bookmarkEnd w:id="97"/>
    </w:p>
    <w:p>
      <w:pPr>
        <w:pStyle w:val="FirstParagraph"/>
      </w:pPr>
      <w:r>
        <w:t xml:space="preserve">What it does, in three rules. First: no court may shift the state’s costs or fees onto a beneficiary institution, a beneficiary representative, or a member organization that sued in good faith — win or lose — unless the case was frivolous or brought in bad faith. Second: a plaintiff whose action confers a substantial benefit on the trust may be awarded reasonable attorney fees, expert fees, and costs — paid first by the breaching fiduciary, or from a non-trust public source, or from the recovery itself only where the court finds that will not gut the remedy. Third: no bond may be demanded of a good-faith beneficiary as the price of getting into court or holding a transaction still while the case is heard.</w:t>
      </w:r>
    </w:p>
    <w:p>
      <w:pPr>
        <w:pStyle w:val="BodyText"/>
      </w:pPr>
      <w:r>
        <w:t xml:space="preserve">Why it matters: think back to Chapter 2 and Chapter 4, and do the arithmetic a school board faces. On the other side: the state, defended for free — sometimes, as you saw, billed to the trust itself. On your side: years of fees, the risk of paying the state’s costs if you lose, and a bond requirement that can price you out of even pausing a sale long enough to argue about it. Any responsible board declines that bet. The merits never matter, because the economics decide first. Section 706 re-levels the table. A good-faith beneficiary risks nothing but effort; a winning one is made whole; and the trust never pays for its own rescue twice.</w:t>
      </w:r>
    </w:p>
    <w:p>
      <w:pPr>
        <w:pStyle w:val="Heading3"/>
      </w:pPr>
      <w:bookmarkStart w:id="98" w:name="Xf6ff2529babc14eadab490bece02c0fe0b3e3af"/>
      <w:r>
        <w:t xml:space="preserve">Sections 702 and 703: The immunity waiver, narrow on purpose</w:t>
      </w:r>
      <w:bookmarkEnd w:id="98"/>
    </w:p>
    <w:p>
      <w:pPr>
        <w:pStyle w:val="FirstParagraph"/>
      </w:pPr>
      <w:r>
        <w:t xml:space="preserve">What it does: the state waives its immunity under this act — but only so a court can grant the equitable remedies that run</w:t>
      </w:r>
      <w:r>
        <w:t xml:space="preserve"> </w:t>
      </w:r>
      <w:r>
        <w:rPr>
          <w:i/>
        </w:rPr>
        <w:t xml:space="preserve">to the trust</w:t>
      </w:r>
      <w:r>
        <w:t xml:space="preserve">: surcharge, restoration, disgorgement, and the rest of Section 704’s list. No tort damages. No punitive damages. No money to any plaintiff personally, beyond the fee awards of Section 706. Section 703 then says, in so many words, that these proceedings are not</w:t>
      </w:r>
      <w:r>
        <w:t xml:space="preserve"> </w:t>
      </w:r>
      <w:r>
        <w:t xml:space="preserve">“</w:t>
      </w:r>
      <w:r>
        <w:t xml:space="preserve">tort</w:t>
      </w:r>
      <w:r>
        <w:t xml:space="preserve">”</w:t>
      </w:r>
      <w:r>
        <w:t xml:space="preserve"> </w:t>
      </w:r>
      <w:r>
        <w:t xml:space="preserve">cases — so the tort claims act’s notice deadlines, presentment rituals, and damage caps simply do not apply to them. And the clock is fixed back in the accounting article: no limitation period or laches defense starts to run against a trust claim until the trustee has made disclosure complete enough to put a beneficiary on reasonable notice of it. [CONFORM: v1’s six-year discovery period and its no-time-bar rule for trust assets still identifiable in the state’s hands do not appear in the merged act; the accounting-triggered tolling rule in Section 305(b) is the v2 mechanism — counsel to decide whether the v1 rules return as state options.]</w:t>
      </w:r>
    </w:p>
    <w:p>
      <w:pPr>
        <w:pStyle w:val="BodyText"/>
      </w:pPr>
      <w:r>
        <w:t xml:space="preserve">Why it matters: this is the section that answers Chapter 6 head-on. The machinery that blocked the old cases — immunity, notice traps, caps written for slip-and-fall claims — was never built for trusts, and this section says so. Notice how modest the waiver actually is. The state is not exposed to a single dollar it was ever entitled to keep. Surcharge restores trust money to the trust. Disgorgement returns profits that were never the state’s. A legislator can vote for this waiver and tell every constituent, accurately: the only money at stake is money that already belongs to the schoolchildren.</w:t>
      </w:r>
    </w:p>
    <w:p>
      <w:pPr>
        <w:pStyle w:val="BodyText"/>
      </w:pPr>
      <w:r>
        <w:t xml:space="preserve">What it would have prevented: the spectacle, documented in Part I, of a perpetual trust whose oldest claims expired before its youngest beneficiaries were born — a clock that ran against children who could not read it.</w:t>
      </w:r>
    </w:p>
    <w:p>
      <w:pPr>
        <w:pStyle w:val="Heading3"/>
      </w:pPr>
      <w:bookmarkStart w:id="99" w:name="section-701-local-courts"/>
      <w:r>
        <w:t xml:space="preserve">Section 701: Local courts</w:t>
      </w:r>
      <w:bookmarkEnd w:id="99"/>
    </w:p>
    <w:p>
      <w:pPr>
        <w:pStyle w:val="FirstParagraph"/>
      </w:pPr>
      <w:r>
        <w:t xml:space="preserve">A short section, kept short here. Suits go to the courts where the trust land lies, where a beneficiary school sits, or in the capital county — so trust litigation stays visible to the communities it affects — and the court hearing them holds every equitable power the act restores. [CONFORM: v1 invited assignment to judges with fiduciary experience; the merged act leaves docket assignment to state practice.]</w:t>
      </w:r>
    </w:p>
    <w:p>
      <w:pPr>
        <w:pStyle w:val="Heading2"/>
      </w:pPr>
      <w:bookmarkStart w:id="100" w:name="what-the-teeth-are-for"/>
      <w:r>
        <w:t xml:space="preserve">What the teeth are for</w:t>
      </w:r>
      <w:bookmarkEnd w:id="100"/>
    </w:p>
    <w:p>
      <w:pPr>
        <w:pStyle w:val="FirstParagraph"/>
      </w:pPr>
      <w:r>
        <w:t xml:space="preserve">Step back and look at the two articles together. An honest trustee feels almost none of this. The appraisals are appraisals it should already be getting. The competitive sales are how it should already be selling. The remedies never reach administration that was faithful, and the fee rules cost the state nothing unless it loses to its own beneficiaries in court.</w:t>
      </w:r>
    </w:p>
    <w:p>
      <w:pPr>
        <w:pStyle w:val="BodyText"/>
      </w:pPr>
      <w:r>
        <w:t xml:space="preserve">The teeth exist for the other days. The act’s bet — the bet of all trust law, going back centuries — is that teeth that are visible rarely have to be used. A trustee who knows the deal will be appraised, published, exposed to bidders, and reversible in court prices the trust honestly the first time. The beneficiaries of that discipline will mostly never know it worked. That is what working looks like.</w:t>
      </w:r>
    </w:p>
    <w:p>
      <w:pPr>
        <w:pStyle w:val="BodyText"/>
      </w:pPr>
      <w:r>
        <w:t xml:space="preserve">One question remains, and the act saves it for last: who keeps all of this alive in forty years, when everyone who fought for it is gone? The act’s last two working articles are the answer, and they are the next chapter.</w:t>
      </w:r>
    </w:p>
    <w:p>
      <w:r>
        <w:pict>
          <v:rect style="width:0;height:1.5pt" o:hralign="center" o:hrstd="t" o:hr="t"/>
        </w:pict>
      </w:r>
    </w:p>
    <w:p>
      <w:pPr>
        <w:pStyle w:val="FirstParagraph"/>
      </w:pPr>
      <w:r>
        <w:rPr>
          <w:i/>
        </w:rPr>
        <w:t xml:space="preserve">Sources for this chapter.</w:t>
      </w:r>
      <w:r>
        <w:t xml:space="preserve"> </w:t>
      </w:r>
      <w:r>
        <w:t xml:space="preserve">Uniform Public Trust Enforcement Act, Converged Packet v2.0 (June 2026), Articles 6 and 7 (Sections 601–605 and 701–707), with the section-by-section commentary in</w:t>
      </w:r>
      <w:r>
        <w:t xml:space="preserve"> </w:t>
      </w:r>
      <w:r>
        <w:rPr>
          <w:i/>
        </w:rPr>
        <w:t xml:space="preserve">UPTEA Commentary and Oregon Annex</w:t>
      </w:r>
      <w:r>
        <w:t xml:space="preserve"> </w:t>
      </w:r>
      <w:r>
        <w:t xml:space="preserve">v1, Part I [CONFORM commentary citations to the v2 numbering]. The Elliott State Forest episode is told, with sources, in Chapter 6; its characterization here is limited to matters of public record, and the adequacy of the consideration is contested in active litigation (</w:t>
      </w:r>
      <w:r>
        <w:rPr>
          <w:i/>
        </w:rPr>
        <w:t xml:space="preserve">Siuslaw School District 97J v. State of Oregon</w:t>
      </w:r>
      <w:r>
        <w:t xml:space="preserve">, Coos County Circuit Court No. 24CV38372) [VERIFY posture against public filings before print; counsel review required]. The direct-to-agency sale referenced under Section 604 is the Utah episode told in Chapter 9; it requires verification against primary sources before print [VERIFY]. Dollar thresholds and day counts are bracketed state variables in the merged act; enacting states set them.</w:t>
      </w:r>
    </w:p>
    <w:p>
      <w:r>
        <w:br w:type="page"/>
      </w:r>
    </w:p>
    <w:p>
      <w:pPr>
        <w:pStyle w:val="Heading1"/>
      </w:pPr>
      <w:bookmarkStart w:id="101" w:name="chapter-15-a-law-that-maintains-itself"/>
      <w:r>
        <w:t xml:space="preserve">Chapter 15 — A Law That Maintains Itself</w:t>
      </w:r>
      <w:bookmarkEnd w:id="101"/>
    </w:p>
    <w:p>
      <w:pPr>
        <w:pStyle w:val="FirstParagraph"/>
      </w:pPr>
      <w:r>
        <w:t xml:space="preserve">[DRAFT v2.0 — AI first pass; awaiting Dave’s voice pass]</w:t>
      </w:r>
    </w:p>
    <w:p>
      <w:r>
        <w:pict>
          <v:rect style="width:0;height:1.5pt" o:hralign="center" o:hrstd="t" o:hr="t"/>
        </w:pict>
      </w:r>
    </w:p>
    <w:p>
      <w:pPr>
        <w:pStyle w:val="FirstParagraph"/>
      </w:pPr>
      <w:r>
        <w:t xml:space="preserve">Every law has a hidden assumption, and the assumption is almost always the same: someone will be paying attention.</w:t>
      </w:r>
    </w:p>
    <w:p>
      <w:pPr>
        <w:pStyle w:val="BodyText"/>
      </w:pPr>
      <w:r>
        <w:t xml:space="preserve">The speed limit assumes a patrol car. The building code assumes an inspector. And every trust statute ever written assumes that somebody — a beneficiary, a judge, an honest officeholder — will notice when the trustee drifts, and care enough to act. Take the watcher away and the law is still on the books, still technically in force, and slowly, politely, dead.</w:t>
      </w:r>
    </w:p>
    <w:p>
      <w:pPr>
        <w:pStyle w:val="BodyText"/>
      </w:pPr>
      <w:r>
        <w:t xml:space="preserve">This book has spent a lot of pages on what happens when the watcher goes away. Chapter 7 told the quietest version of the story: board members cycling through their terms without ever being told they were fiduciaries, no statute requiring anyone to teach them, no review ever scheduled to check the drift. Forty years of well-meaning turnover doing what no raid ever could. Nobody stole anything. Everybody simply forgot, one retirement at a time, what the institution was for.</w:t>
      </w:r>
    </w:p>
    <w:p>
      <w:pPr>
        <w:pStyle w:val="BodyText"/>
      </w:pPr>
      <w:r>
        <w:t xml:space="preserve">So the drafters of the Uniform Public Trust Enforcement Act faced an uncomfortable question at the end of their own work. Everything in Articles 1 through 7 — the declared duties, the annual accounting, the standing rules, the independent enforcement officer, the disposition safeguards, the restored remedies — assumes enforcement. And enforcement assumes attention. What happens to this law in forty years, when everyone who fought for it is gone and the people administering it have never heard the stories in this book?</w:t>
      </w:r>
    </w:p>
    <w:p>
      <w:pPr>
        <w:pStyle w:val="BodyText"/>
      </w:pPr>
      <w:r>
        <w:t xml:space="preserve">Articles 8 and 9 are the answer. Together they do something statutes almost never do. They schedule the act’s own remembering.</w:t>
      </w:r>
    </w:p>
    <w:p>
      <w:pPr>
        <w:pStyle w:val="Heading2"/>
      </w:pPr>
      <w:bookmarkStart w:id="102" w:name="section-801-nobody-serves-untaught"/>
      <w:r>
        <w:t xml:space="preserve">Section 801: Nobody serves untaught</w:t>
      </w:r>
      <w:bookmarkEnd w:id="102"/>
    </w:p>
    <w:p>
      <w:pPr>
        <w:pStyle w:val="FirstParagraph"/>
      </w:pPr>
      <w:r>
        <w:t xml:space="preserve">Here is what the section does. Every person who exercises a trustee’s authority over a public trust — every member of the board or commission, every senior manager of the administering agency — must complete instruction in the job. Within ninety days of taking office or employment: at least six hours of initial instruction in the fiduciary duties declared in Article 2, the history and legal sources of the trusts they administer, and the requirements of the act itself. After that: at least two hours of continuing instruction every year, for as long as they serve.</w:t>
      </w:r>
    </w:p>
    <w:p>
      <w:pPr>
        <w:pStyle w:val="BodyText"/>
      </w:pPr>
      <w:r>
        <w:t xml:space="preserve">Three details carry the weight, and each one answers a failure documented earlier in this book.</w:t>
      </w:r>
    </w:p>
    <w:p>
      <w:pPr>
        <w:pStyle w:val="BodyText"/>
      </w:pPr>
      <w:r>
        <w:t xml:space="preserve">First,</w:t>
      </w:r>
      <w:r>
        <w:t xml:space="preserve"> </w:t>
      </w:r>
      <w:r>
        <w:rPr>
          <w:i/>
        </w:rPr>
        <w:t xml:space="preserve">who writes the curriculum</w:t>
      </w:r>
      <w:r>
        <w:t xml:space="preserve">. Not the agency alone. Curriculum standards and providers are approved by the Independent Enforcement Officer — the independent enforcement office you met in Chapter 13 — in consultation with the state auditor, the ethics commission, the beneficiary institutions, and qualified fiduciary-law educators. And completion records are published with the annual accounting. Why does that matter? Because an agency that teaches its own trustees gets to teach its own litigating positions as if they were settled law. You saw in Chapter 4 what happens when the same institution controls both sides of a question. A trustee who learns the trust only from the people defending the trustee has not been educated. He has been briefed.</w:t>
      </w:r>
    </w:p>
    <w:p>
      <w:pPr>
        <w:pStyle w:val="BodyText"/>
      </w:pPr>
      <w:r>
        <w:t xml:space="preserve">Second,</w:t>
      </w:r>
      <w:r>
        <w:t xml:space="preserve"> </w:t>
      </w:r>
      <w:r>
        <w:rPr>
          <w:i/>
        </w:rPr>
        <w:t xml:space="preserve">what the curriculum must include</w:t>
      </w:r>
      <w:r>
        <w:t xml:space="preserve">: the whole office — the history and legal sources of the trust, all the duties, the accounting and disposition safeguards, conflicts and recusal, the separation of trust money from state money, and the remedies for breach. [CONFORM: v1 required teaching the school-trust law</w:t>
      </w:r>
      <w:r>
        <w:t xml:space="preserve"> </w:t>
      </w:r>
      <w:r>
        <w:t xml:space="preserve">“</w:t>
      </w:r>
      <w:r>
        <w:t xml:space="preserve">as declared by the state’s courts</w:t>
      </w:r>
      <w:r>
        <w:t xml:space="preserve">”</w:t>
      </w:r>
      <w:r>
        <w:t xml:space="preserve">; the merged act lists the curriculum by subject instead — consider restoring the as-declared-by-courts line.]</w:t>
      </w:r>
    </w:p>
    <w:p>
      <w:pPr>
        <w:pStyle w:val="BodyText"/>
      </w:pPr>
      <w:r>
        <w:t xml:space="preserve">Third,</w:t>
      </w:r>
      <w:r>
        <w:t xml:space="preserve"> </w:t>
      </w:r>
      <w:r>
        <w:rPr>
          <w:i/>
        </w:rPr>
        <w:t xml:space="preserve">the sanction</w:t>
      </w:r>
      <w:r>
        <w:t xml:space="preserve"> </w:t>
      </w:r>
      <w:r>
        <w:t xml:space="preserve">— and here the merged act is tougher than an earlier draft was. Completion records are published with the annual accounting, name by name, so daylight still does its work: few public officials care to be the line item explaining why they declined to learn their own duties. But the act adds weight. A person who has not completed the required instruction may not vote on, approve, or materially participate in a major disposition until it is done — and an action taken with the decisive participation of someone barred by that rule is voidable, if the missing education materially affected the process. The untrained hand is lifted from the largest levers. The act’s own counsel notes concede the remedy is strong and offer states softer settings — a cure period, a recusal rule, public notice — but the default is plain: learn the office before exercising its biggest powers.</w:t>
      </w:r>
    </w:p>
    <w:p>
      <w:pPr>
        <w:pStyle w:val="BodyText"/>
      </w:pPr>
      <w:r>
        <w:t xml:space="preserve">Now, why does any of this matter? Because of what Section 801 quietly takes off the table. After it, no trustee can say — to a court, to a legislature, to a reporter, to himself —</w:t>
      </w:r>
      <w:r>
        <w:t xml:space="preserve"> </w:t>
      </w:r>
      <w:r>
        <w:rPr>
          <w:i/>
        </w:rPr>
        <w:t xml:space="preserve">I did not understand the trust.</w:t>
      </w:r>
      <w:r>
        <w:t xml:space="preserve"> </w:t>
      </w:r>
      <w:r>
        <w:t xml:space="preserve">For two hundred years that sentence, spoken or unspoken, has been the all-purpose solvent of fiduciary responsibility in public trusts. It was usually even true. The land board member arrived knowing roads, or timber, or politics, served honorably by his own lights, and left without ever learning that the law held him to the same standard as a bank officer holding a widow’s estate. Chapter 7 showed you what that ignorance cost, compounding silently across generations of turnover. Section 801 makes the ignorance impossible to acquire honestly. The duties get handed to every trustee, in plain terms, within ninety days — and refreshed every year, so that the institution’s memory no longer depends on any individual’s tenure.</w:t>
      </w:r>
    </w:p>
    <w:p>
      <w:pPr>
        <w:pStyle w:val="BodyText"/>
      </w:pPr>
      <w:r>
        <w:t xml:space="preserve">And consider what it would have prevented. Not the raids — education does not stop a determined taking; Articles 6 and 7 exist for that. What it would have prevented is the slower loss: the board that approved below-market leases for decades because below-market leases were the custom it inherited. The trustees who treated trust revenue as agency revenue because no one had ever drawn them the line. The managers who genuinely believed</w:t>
      </w:r>
      <w:r>
        <w:t xml:space="preserve"> </w:t>
      </w:r>
      <w:r>
        <w:t xml:space="preserve">“</w:t>
      </w:r>
      <w:r>
        <w:t xml:space="preserve">greatest benefit for the people</w:t>
      </w:r>
      <w:r>
        <w:t xml:space="preserve">”</w:t>
      </w:r>
      <w:r>
        <w:t xml:space="preserve"> </w:t>
      </w:r>
      <w:r>
        <w:t xml:space="preserve">meant the general public rather than the beneficiaries, because no one had ever shown them the case law saying otherwise. None of those people needed suing. They needed a class. The act finally requires one.</w:t>
      </w:r>
    </w:p>
    <w:p>
      <w:pPr>
        <w:pStyle w:val="Heading2"/>
      </w:pPr>
      <w:bookmarkStart w:id="103" w:name="article-9-on-a-schedule-an-outside-look"/>
      <w:r>
        <w:t xml:space="preserve">Article 9: On a schedule, an outside look</w:t>
      </w:r>
      <w:bookmarkEnd w:id="103"/>
    </w:p>
    <w:p>
      <w:pPr>
        <w:pStyle w:val="FirstParagraph"/>
      </w:pPr>
      <w:r>
        <w:t xml:space="preserve">The second section addresses the other half of forgetting. Education keeps individual trustees informed. It does not tell anyone whether the institution itself is still on course. For that, the act borrows the oldest tool of accountability there is: periodically, someone from outside walks through and checks.</w:t>
      </w:r>
    </w:p>
    <w:p>
      <w:pPr>
        <w:pStyle w:val="BodyText"/>
      </w:pPr>
      <w:r>
        <w:t xml:space="preserve">Here is what the article does. At least once in every review period — the act brackets the choice at five or ten years — each public trust must undergo an independent fiduciary review. The reviewer must be qualified and genuinely independent of the trustee — the state auditor, or an independent reviewer chosen through a public procurement the trustee does not control. The review must evaluate, across fifteen named areas: whether the accountings are complete and accurate; whether corpus, income, and expenses are kept separate; whether dispositions met the valuation and competitive-sale safeguards; whether investment and land-management practices and expenses serve the trust; whether the trust’s claims are being enforced; how present and future beneficiaries are treated; and whether prior corrective-action plans were honored. [CONFORM: v1 put the word</w:t>
      </w:r>
      <w:r>
        <w:t xml:space="preserve"> </w:t>
      </w:r>
      <w:r>
        <w:t xml:space="preserve">“</w:t>
      </w:r>
      <w:r>
        <w:t xml:space="preserve">drift</w:t>
      </w:r>
      <w:r>
        <w:t xml:space="preserve">”</w:t>
      </w:r>
      <w:r>
        <w:t xml:space="preserve"> </w:t>
      </w:r>
      <w:r>
        <w:t xml:space="preserve">in the statute and required benchmarking against peers; the merged act’s fifteen-item scope covers the substance without either phrase.]</w:t>
      </w:r>
    </w:p>
    <w:p>
      <w:pPr>
        <w:pStyle w:val="BodyText"/>
      </w:pPr>
      <w:r>
        <w:t xml:space="preserve">Then comes the part that gives the review consequences. The report is public, and goes to the trustee, the enforcement officer, the attorney general, the governor, the legislature, and the beneficiary institutions. Within ninety days, the trustee must publish a written response and a corrective-action plan. Within six months, the legislature must hold a public hearing on both — on the record, where the next decade’s readers can find it. And the enforcement officer may treat the report as the opening of a case.</w:t>
      </w:r>
    </w:p>
    <w:p>
      <w:pPr>
        <w:pStyle w:val="BodyText"/>
      </w:pPr>
      <w:r>
        <w:t xml:space="preserve">Why five or ten years? The act brackets both choices and its own notes state the trade plainly: five is stronger, ten is easier to defend fiscally. But the rhythm matters more than the interval. Drift, as Chapter 8 showed, is not an event. It is a rate. No single year’s deviation is alarming; that is precisely what makes it fatal over fifty. An institution reviewed only by itself will report, every single year, that everything is fine — and will believe it, because each year’s small departure really was reasonable in the light of the year before. The scheduled review breaks that chain of self-reference. It compares the institution not to its own recent habits but to its founding purpose and to its peers — the comparison, as one of the act’s commentators dryly notes, that trust administrators least enjoy and most need.</w:t>
      </w:r>
    </w:p>
    <w:p>
      <w:pPr>
        <w:pStyle w:val="BodyText"/>
      </w:pPr>
      <w:r>
        <w:t xml:space="preserve">And who pays? Preferably not the trust. The act’s bracketed choices run from a general-fund appropriation to a dedicated oversight fund, with trust funds allowed only to the extent the trust instrument itself permits. The principle is the one running through the whole statute: the beneficiaries should not be billed for their own protection.</w:t>
      </w:r>
    </w:p>
    <w:p>
      <w:pPr>
        <w:pStyle w:val="BodyText"/>
      </w:pPr>
      <w:r>
        <w:t xml:space="preserve">What would it have prevented? Run the test against the stories you already know. The Elliott State Forest did not lose its connection to Oregon’s schoolchildren in a year; the estrangement built across decades of management decisions, each defensible, none reviewed against the trust’s purpose by anyone outside the institutions making them [VERIFY characterization against the Part I chapter as finally drafted; litigation-sensitive]. The accounting failures of Chapter 5 persisted because no scheduled moment ever arrived when someone with subpoena-grade independence asked: where, exactly, is the money? Even Utah — the success story of Chapter 9 — teaches the same lesson from the other direction: its recovery began when outsiders examined the trust and published what they found, and its recent stresses show the examination can never safely stop. Article 9 makes sure it never does. The next hard look is always on the calendar. No one has to be a hero to trigger it.</w:t>
      </w:r>
    </w:p>
    <w:p>
      <w:pPr>
        <w:pStyle w:val="Heading2"/>
      </w:pPr>
      <w:bookmarkStart w:id="104" w:name="the-crew-written-into-law"/>
      <w:r>
        <w:t xml:space="preserve">The crew, written into law</w:t>
      </w:r>
      <w:bookmarkEnd w:id="104"/>
    </w:p>
    <w:p>
      <w:pPr>
        <w:pStyle w:val="FirstParagraph"/>
      </w:pPr>
      <w:r>
        <w:t xml:space="preserve">Step back, and you can see what Articles 8 and 9 actually are.</w:t>
      </w:r>
    </w:p>
    <w:p>
      <w:pPr>
        <w:pStyle w:val="BodyText"/>
      </w:pPr>
      <w:r>
        <w:t xml:space="preserve">Chapter 10 argued that no trust in the 240-year record survived on parchment alone. Every kept promise had people watching — a crew on deck, checking the anchors. The trouble with crews is that they are mortal. They retire. They lose funding. Their founding generation dies and the next one inherits the institution without the alarm that built it. The watchfulness this book celebrates is, historically, a perishable good.</w:t>
      </w:r>
    </w:p>
    <w:p>
      <w:pPr>
        <w:pStyle w:val="BodyText"/>
      </w:pPr>
      <w:r>
        <w:t xml:space="preserve">Articles 8 and 9 are the attempt to make it less perishable — to move the watch from volunteers to structure. Section 801 ensures that every incoming trustee receives the institution’s memory as a condition of holding its power: here is what this is, here is whom it serves, here is what the law requires. Article 9 ensures that on a fixed schedule, the institution must stand still while someone from outside compares what it has become to what it was for — in public, with a hearing, with a written reply.</w:t>
      </w:r>
    </w:p>
    <w:p>
      <w:pPr>
        <w:pStyle w:val="BodyText"/>
      </w:pPr>
      <w:r>
        <w:t xml:space="preserve">Neither section depends on anyone’s zeal. That is the design. The education happens because the statute schedules it. The review happens because the statute schedules it. The findings surface because publication is mandatory, and the legislature looks at them because the hearing is mandatory. The act does not assume the next generation will care as much as this one. It assumes they will be busy, distracted, and ordinary — and it builds the remembering into the machine anyway.</w:t>
      </w:r>
    </w:p>
    <w:p>
      <w:pPr>
        <w:pStyle w:val="BodyText"/>
      </w:pPr>
      <w:r>
        <w:t xml:space="preserve">A law that says nothing new, Chapter 12 called this act. Here at its close, it does one thing that may actually be new: it refuses to rely on the vigilance of the people who passed it. The watchful crew, written into law — standing watch on a schedule, for beneficiaries who have not yet been born and will never know the watchers’ names.</w:t>
      </w:r>
    </w:p>
    <w:p>
      <w:pPr>
        <w:pStyle w:val="BodyText"/>
      </w:pPr>
      <w:r>
        <w:t xml:space="preserve">That is the whole statute. What remains is the question every model act faces the morning after it is drafted: who carries it? That is the next chapter.</w:t>
      </w:r>
    </w:p>
    <w:p>
      <w:r>
        <w:pict>
          <v:rect style="width:0;height:1.5pt" o:hralign="center" o:hrstd="t" o:hr="t"/>
        </w:pict>
      </w:r>
    </w:p>
    <w:p>
      <w:pPr>
        <w:pStyle w:val="FirstParagraph"/>
      </w:pPr>
      <w:r>
        <w:rPr>
          <w:i/>
        </w:rPr>
        <w:t xml:space="preserve">Sources for this chapter.</w:t>
      </w:r>
      <w:r>
        <w:t xml:space="preserve"> </w:t>
      </w:r>
      <w:r>
        <w:t xml:space="preserve">Uniform Public Trust Enforcement Act, Converged Packet v2.0 (June 2026), Articles 8 and 9 (Sections 801 and 901–904), with the section-by-section commentary in</w:t>
      </w:r>
      <w:r>
        <w:t xml:space="preserve"> </w:t>
      </w:r>
      <w:r>
        <w:rPr>
          <w:i/>
        </w:rPr>
        <w:t xml:space="preserve">UPTEA Commentary and Oregon Annex</w:t>
      </w:r>
      <w:r>
        <w:t xml:space="preserve"> </w:t>
      </w:r>
      <w:r>
        <w:t xml:space="preserve">v1, Part I [CONFORM commentary citations to the v2 numbering]. The trustee-education failure and the drift-by-turnover pattern are documented in Chapter 7; the drift analysis in Chapter 8; the accounting failures in Chapter 5; the Utah recovery and its recent stresses in Chapter 9 [VERIFY all cross-chapter references against final chapter drafts]. The characterization of the Elliott State Forest episode is limited to matters of public record and remains contested in active litigation; counsel review required before print [VERIFY]. Time intervals (ninety days, six initial hours, two hours yearly, the five-or-ten-year review) are the merged act’s bracketed figures; enacting states set them.</w:t>
      </w:r>
    </w:p>
    <w:p>
      <w:r>
        <w:br w:type="page"/>
      </w:r>
    </w:p>
    <w:p>
      <w:pPr>
        <w:pStyle w:val="Heading1"/>
      </w:pPr>
      <w:bookmarkStart w:id="105" w:name="chapter-16-the-movement"/>
      <w:r>
        <w:t xml:space="preserve">Chapter 16 — The Movement</w:t>
      </w:r>
      <w:bookmarkEnd w:id="105"/>
    </w:p>
    <w:p>
      <w:pPr>
        <w:pStyle w:val="FirstParagraph"/>
      </w:pPr>
      <w:r>
        <w:t xml:space="preserve">[DRAFT v2.0 — AI first pass; awaiting Dave’s voice pass. Litigation-sensitive: every passage describing the Oregon case is gated on counsel sign-off before any external use.]</w:t>
      </w:r>
    </w:p>
    <w:p>
      <w:r>
        <w:pict>
          <v:rect style="width:0;height:1.5pt" o:hralign="center" o:hrstd="t" o:hr="t"/>
        </w:pict>
      </w:r>
    </w:p>
    <w:p>
      <w:pPr>
        <w:pStyle w:val="FirstParagraph"/>
      </w:pPr>
      <w:r>
        <w:t xml:space="preserve">A model act, by itself, is a stack of paper. The history of American law is littered with well-drafted statutes that no legislature ever passed, because drafting turns out to be the easy part. The hard part is the carrying — the slow, unglamorous work of putting a law into the hands of people positioned to make it real, in enough places, for long enough, that it stops being a proposal and becomes the way things are done.</w:t>
      </w:r>
    </w:p>
    <w:p>
      <w:pPr>
        <w:pStyle w:val="BodyText"/>
      </w:pPr>
      <w:r>
        <w:t xml:space="preserve">There is a known path for this. The commercial codes that govern every checking account and car loan in America began as model acts, drafted by scholars, adopted state by state over decades, carried by lawyers and law professors and legislative champions until uniformity emerged from repetition. Nobody federalized commercial law. It was</w:t>
      </w:r>
      <w:r>
        <w:t xml:space="preserve"> </w:t>
      </w:r>
      <w:r>
        <w:rPr>
          <w:i/>
        </w:rPr>
        <w:t xml:space="preserve">moved</w:t>
      </w:r>
      <w:r>
        <w:t xml:space="preserve">, one statehouse at a time, by people who organized for the duration.</w:t>
      </w:r>
    </w:p>
    <w:p>
      <w:pPr>
        <w:pStyle w:val="BodyText"/>
      </w:pPr>
      <w:r>
        <w:t xml:space="preserve">The Uniform Public Trust Enforcement Act needs the same carrying. This chapter describes the movement built to carry it — four workstreams, deliberately interlocked, already underway as this book goes to press. I should say plainly that I am not a neutral observer of this movement; I helped build it. What follows is a description of the machine from inside the machine.</w:t>
      </w:r>
    </w:p>
    <w:p>
      <w:pPr>
        <w:pStyle w:val="Heading2"/>
      </w:pPr>
      <w:bookmarkStart w:id="106" w:name="first-workstream-the-scholarship"/>
      <w:r>
        <w:t xml:space="preserve">First workstream: the scholarship</w:t>
      </w:r>
      <w:bookmarkEnd w:id="106"/>
    </w:p>
    <w:p>
      <w:pPr>
        <w:pStyle w:val="FirstParagraph"/>
      </w:pPr>
      <w:r>
        <w:t xml:space="preserve">Every durable legal reform rides on a body of scholarship, because courts and legislators do not adopt ideas — they adopt</w:t>
      </w:r>
      <w:r>
        <w:t xml:space="preserve"> </w:t>
      </w:r>
      <w:r>
        <w:rPr>
          <w:i/>
        </w:rPr>
        <w:t xml:space="preserve">authorities</w:t>
      </w:r>
      <w:r>
        <w:t xml:space="preserve">. A judge wants a treatise to cite. A legislative counsel wants commentary explaining what each section means. A skeptical academic wants to find the weak joints before lending a name.</w:t>
      </w:r>
    </w:p>
    <w:p>
      <w:pPr>
        <w:pStyle w:val="BodyText"/>
      </w:pPr>
      <w:r>
        <w:t xml:space="preserve">So the movement’s foundation is paper of a particular kind. A hornbook of school-trust law — the working reference for the whole field, gathering 240 years of granting acts, constitutions, and case law into one place — now exists in complete first draft: nineteen chapters and appendices for all twenty trust-land states, published as a living draft in the Library’s Writing Room, where any reader can check every source [VERIFY status at print]. The model act itself travels with section-by-section commentary: for every section, the structural failure it cures and the drafting choices behind it, so that no legislature has to take anything on faith. And this book is the argument in long form — the case for why the repair matters, written for the general reader, because legislators answer to general readers.</w:t>
      </w:r>
    </w:p>
    <w:p>
      <w:pPr>
        <w:pStyle w:val="BodyText"/>
      </w:pPr>
      <w:r>
        <w:t xml:space="preserve">The scholarship comes first in every sense. Before the act is introduced anywhere, it goes quietly to trust-law academics — not for endorsement, but for criticism. An academic who finds a weak joint before a hostile committee witness does is worth ten who write blurbs. The movement treats its scholarly critics as quality control, which is what they are for.</w:t>
      </w:r>
    </w:p>
    <w:p>
      <w:pPr>
        <w:pStyle w:val="Heading2"/>
      </w:pPr>
      <w:bookmarkStart w:id="107" w:name="second-workstream-the-lawyers"/>
      <w:r>
        <w:t xml:space="preserve">Second workstream: the lawyers</w:t>
      </w:r>
      <w:bookmarkEnd w:id="107"/>
    </w:p>
    <w:p>
      <w:pPr>
        <w:pStyle w:val="FirstParagraph"/>
      </w:pPr>
      <w:r>
        <w:t xml:space="preserve">The standing problem you read about in Chapter 2 has a twin that no statute can fix: even where beneficiaries may sue, almost no lawyers know this field. School-trust law sits at the intersection of trust doctrine, public-lands law, and state constitutional history — a corner of the law with no casebook, no CLE circuit, no bar section, and, until recently, no community. A school district that wants to enforce its trust has nowhere to look for counsel who has done it before. The expertise that does exist lives in a handful of heads scattered across the country.</w:t>
      </w:r>
    </w:p>
    <w:p>
      <w:pPr>
        <w:pStyle w:val="BodyText"/>
      </w:pPr>
      <w:r>
        <w:t xml:space="preserve">The movement’s answer is a panel — a standing roster of trial counsel, appellate counsel, researchers, and supervised law students, organized under the program’s nonprofit. Members get the tools the field never had: the hornbook; a staffed research desk backed by the America’s School Trust Library, the documentary archive you met in Chapter 10 — questions in, sourced memos out; model pleadings adapted from live cases, so no lawyer in a new state starts from a blank page; and one another — a roster of peers, working calls, an annual convening. The thing that turns a scattered handful of practitioners into a bar.</w:t>
      </w:r>
    </w:p>
    <w:p>
      <w:pPr>
        <w:pStyle w:val="BodyText"/>
      </w:pPr>
      <w:r>
        <w:t xml:space="preserve">Two design rules keep the panel honest, and they are worth a paragraph each, because each one answers a way such things go wrong.</w:t>
      </w:r>
    </w:p>
    <w:p>
      <w:pPr>
        <w:pStyle w:val="BodyText"/>
      </w:pPr>
      <w:r>
        <w:t xml:space="preserve">The first rule:</w:t>
      </w:r>
      <w:r>
        <w:t xml:space="preserve"> </w:t>
      </w:r>
      <w:r>
        <w:rPr>
          <w:i/>
        </w:rPr>
        <w:t xml:space="preserve">members appear as independent counsel, and the organization does not practice law.</w:t>
      </w:r>
      <w:r>
        <w:t xml:space="preserve"> </w:t>
      </w:r>
      <w:r>
        <w:t xml:space="preserve">Panel lawyers are engaged by their own clients, under their own professional responsibility, owing their duties to their clients and their courts — never to the panel, the program, or its founders. Where a client’s interest and the movement’s interest diverge, the client wins, every time, and the panel’s charter says so out loud. The organization itself takes no clients, charges no fees for legal services, and gives no legal advice to the public. It publishes scholarship, maintains the Library, and supports its members. The line is bright on purpose. A movement that blurred it would deserve the trouble it got.</w:t>
      </w:r>
    </w:p>
    <w:p>
      <w:pPr>
        <w:pStyle w:val="BodyText"/>
      </w:pPr>
      <w:r>
        <w:t xml:space="preserve">The second rule:</w:t>
      </w:r>
      <w:r>
        <w:t xml:space="preserve"> </w:t>
      </w:r>
      <w:r>
        <w:rPr>
          <w:i/>
        </w:rPr>
        <w:t xml:space="preserve">no bar association owns it.</w:t>
      </w:r>
      <w:r>
        <w:t xml:space="preserve"> </w:t>
      </w:r>
      <w:r>
        <w:t xml:space="preserve">The panel is governed solely by the program’s nonprofit board. Bar associations and CLE providers may distribute its educational materials, but none may control its content, its admissions, or its roster, and no panel activity may be structured to generate continuing-education fees for a partner. This rule exists because of a pattern the founders had watched elsewhere: a young field gets adopted by an institution that needs revenue, and within a decade the field’s energy is being run through a fee-generating conference machine. The panel is built to be hard to capture.</w:t>
      </w:r>
    </w:p>
    <w:p>
      <w:pPr>
        <w:pStyle w:val="BodyText"/>
      </w:pPr>
      <w:r>
        <w:t xml:space="preserve">As this book goes to press, the panel has its first prospective founding member firm — a firm with a working relationship with the program, whose name awaits the written consent of its principals before it appears in any public document [FOUNDING FIRM — name pending consent]. That reticence is itself a sample of the movement’s manners: nobody’s name gets used until they say so.</w:t>
      </w:r>
    </w:p>
    <w:p>
      <w:pPr>
        <w:pStyle w:val="Heading2"/>
      </w:pPr>
      <w:bookmarkStart w:id="108" w:name="third-workstream-the-docket"/>
      <w:r>
        <w:t xml:space="preserve">Third workstream: the docket</w:t>
      </w:r>
      <w:bookmarkEnd w:id="108"/>
    </w:p>
    <w:p>
      <w:pPr>
        <w:pStyle w:val="FirstParagraph"/>
      </w:pPr>
      <w:r>
        <w:t xml:space="preserve">Statutes declare law; cases make it real. The movement maintains a test-case docket — a small number of carefully chosen enforcement cases, run by independent counsel, that turn the act’s propositions into precedent.</w:t>
      </w:r>
    </w:p>
    <w:p>
      <w:pPr>
        <w:pStyle w:val="BodyText"/>
      </w:pPr>
      <w:r>
        <w:t xml:space="preserve">The first case is in Oregon, and readers of this book already know its bones.</w:t>
      </w:r>
      <w:r>
        <w:t xml:space="preserve"> </w:t>
      </w:r>
      <w:r>
        <w:rPr>
          <w:i/>
        </w:rPr>
        <w:t xml:space="preserve">Siuslaw School District 97J v. State of Oregon</w:t>
      </w:r>
      <w:r>
        <w:t xml:space="preserve">, in the Coos County Circuit Court, case number 24CV38372: a coastal school district suing its own trustee state over the administration of the school trust. Chapter 2 told the standing fight that unlocked the courthouse for it [relationship verified 2026-06-06: the appellate standing ruling,</w:t>
      </w:r>
      <w:r>
        <w:t xml:space="preserve"> </w:t>
      </w:r>
      <w:r>
        <w:rPr>
          <w:i/>
        </w:rPr>
        <w:t xml:space="preserve">Advocates for School Trust Lands v. State</w:t>
      </w:r>
      <w:r>
        <w:t xml:space="preserve">, 346 Or App 668 (2026), arose from the earlier companion case, No. 23CV39056; in 24CV38372 itself, the March 6, 2025 letter opinion found standing for the school districts and students]. And in 2025 a ruling in the case held that claims about the Common School Fund are governed by common-law trust principles — the proposition the act’s declaratory design rests on [VERIFY against the September 5, 2025 letter opinion as a public filing]. Trial was set for August 18 through 28, 2026 [VERIFY against the current public docket].</w:t>
      </w:r>
    </w:p>
    <w:p>
      <w:pPr>
        <w:pStyle w:val="BodyText"/>
      </w:pPr>
      <w:r>
        <w:t xml:space="preserve">[TRIAL OUTCOME SECTION — HOLE. To be written after the August 2026 trial from the public record, reviewed and approved by lead counsel before publication. Per the program’s standing analysis, either outcome serves the chapter’s argument: a verdict for the district shows the duties are real and enforceable; a verdict for the state shows the enforcement machinery is missing. Neither is predicted here, and nothing in this book handicaps a pending case.]</w:t>
      </w:r>
    </w:p>
    <w:p>
      <w:pPr>
        <w:pStyle w:val="BodyText"/>
      </w:pPr>
      <w:r>
        <w:t xml:space="preserve">Two disciplines govern everything the movement does near this case, and I state them because they explain this chapter’s silences. First: counsel of record controls. Strategy, filings, timing, and every public word touching the case belong to the lawyer responsible to the court — not to the program, and not to this author. Second: the case outranks the movement. Nothing — not the act, not the panel launch, not this book — moves externally on any schedule that could complicate the litigation. The act itself did not circulate beyond the working group until counsel cleared it [VERIFY status at print]. A movement built to enforce fiduciary duty had better be able to subordinate its own publicity to its beneficiaries’ actual case. This one can.</w:t>
      </w:r>
    </w:p>
    <w:p>
      <w:pPr>
        <w:pStyle w:val="BodyText"/>
      </w:pPr>
      <w:r>
        <w:t xml:space="preserve">Future cases will be added the way good test cases always are: chosen for clean facts and good law, in consultation with panel counsel, in states where a ruling will travel.</w:t>
      </w:r>
    </w:p>
    <w:p>
      <w:pPr>
        <w:pStyle w:val="Heading2"/>
      </w:pPr>
      <w:bookmarkStart w:id="109" w:name="fourth-workstream-the-legislatures"/>
      <w:r>
        <w:t xml:space="preserve">Fourth workstream: the legislatures</w:t>
      </w:r>
      <w:bookmarkEnd w:id="109"/>
    </w:p>
    <w:p>
      <w:pPr>
        <w:pStyle w:val="FirstParagraph"/>
      </w:pPr>
      <w:r>
        <w:t xml:space="preserve">And then the statehouses, where the act stops being a draft.</w:t>
      </w:r>
    </w:p>
    <w:p>
      <w:pPr>
        <w:pStyle w:val="BodyText"/>
      </w:pPr>
      <w:r>
        <w:t xml:space="preserve">Oregon goes first, in the legislature’s 2027 long session [VERIFY convening date]. The groundwork is the ordinary, patient kind: an Oregon-specific bill draft prepared from the model act and its Oregon annex; informational presentations to interim committees in the fall of 2026 — educational posture, no bill number, no ask beyond attention; sponsor recruitment aimed squarely at both parties, because fiduciary duty is not a partisan idea and the bill must never be allowed to become one; and endorsements built outward from the beneficiaries themselves — school boards and superintendents first, then education associations, then the national school-trust community, then the good-government groups who will recognize the accounting article as their own cause.</w:t>
      </w:r>
    </w:p>
    <w:p>
      <w:pPr>
        <w:pStyle w:val="BodyText"/>
      </w:pPr>
      <w:r>
        <w:t xml:space="preserve">The campaign’s one-sentence case is the act’s own design, and you have heard it through three chapters now:</w:t>
      </w:r>
      <w:r>
        <w:t xml:space="preserve"> </w:t>
      </w:r>
      <w:r>
        <w:rPr>
          <w:i/>
        </w:rPr>
        <w:t xml:space="preserve">this bill codifies duties the courts already recognize; it creates no new obligations — it adds procedure, daylight, and remedies.</w:t>
      </w:r>
      <w:r>
        <w:t xml:space="preserve"> </w:t>
      </w:r>
      <w:r>
        <w:t xml:space="preserve">Every witness, every one-pager, every floor speech leads with that sentence, because it is true and because it disarms the two reflexive objections — that the bill invents liabilities, and that it indicts anyone. It does neither. It is a repair manual, not an accusation.</w:t>
      </w:r>
    </w:p>
    <w:p>
      <w:pPr>
        <w:pStyle w:val="BodyText"/>
      </w:pPr>
      <w:r>
        <w:t xml:space="preserve">The opposition is predictable, and the movement’s answers are already drafted. The state’s lawyers will resist the independent-enforcement sections; the answer is Chapter 13’s: the attorney general keeps every other function — the act only ends the arrangement where the trustee’s defense lawyer is also the trust’s enforcement officer. The land agencies will call the accounting burdensome; the answer is that the data already sits in their books, and a trustee who cannot produce an accounting is the problem the act exists to solve. The fiscal hawks will ask what the immunity waiver costs; the answer is Chapter 14’s: the only money at stake is money that already belongs to the trust. Some amendments would be acceptable — phasing the accounting in, starting with special counsel instead of a standing enforcement office. Two would gut the bill, and the movement knows its red lines: the immunity waiver stays, and the attorney general’s exclusivity ends.</w:t>
      </w:r>
    </w:p>
    <w:p>
      <w:pPr>
        <w:pStyle w:val="BodyText"/>
      </w:pPr>
      <w:r>
        <w:t xml:space="preserve">After Oregon, the act travels. The natural next states pick themselves by the logic of the problem: states with live controversies that make the need vivid; states with strong school-trust communities and navigable legislatures; states whose adoption would prove the act is not a regional idea [state-by-state candidates and rationale to be updated at print; VERIFY current postures before naming any state’s controversies]. Twenty states hold school trust lands. The act is drafted so that each one can adopt it with local citations dropped into bracketed blanks — and so that every adoption makes the next one easier, as a shared body of interpretation builds.</w:t>
      </w:r>
    </w:p>
    <w:p>
      <w:pPr>
        <w:pStyle w:val="BodyText"/>
      </w:pPr>
      <w:r>
        <w:t xml:space="preserve">And at the far end of the road, decades out, sits the possibility this kind of act always carries: take-up by the national uniform-law process, the route by which state-drafted law becomes American law. The movement’s posture there is deliberately patient — enact first, uniform later. A draft surrendered to a national drafting process before any state has adopted it gets rewritten by that process; a draft already enacted in three or four states arrives with its substance banked. The long game is real, but it is played from strength.</w:t>
      </w:r>
    </w:p>
    <w:p>
      <w:pPr>
        <w:pStyle w:val="Heading2"/>
      </w:pPr>
      <w:bookmarkStart w:id="110" w:name="what-a-movement-is"/>
      <w:r>
        <w:t xml:space="preserve">What a movement is</w:t>
      </w:r>
      <w:bookmarkEnd w:id="110"/>
    </w:p>
    <w:p>
      <w:pPr>
        <w:pStyle w:val="FirstParagraph"/>
      </w:pPr>
      <w:r>
        <w:t xml:space="preserve">Strip away the program names and here is what this chapter describes: scholarship so the idea has authority; lawyers so the idea has hands; cases so the idea has precedents; legislation so the idea has force. Each workstream feeds the others. The hornbook arms the panel; the panel staffs the docket; the docket writes the record the legislatures read; the legislatures pass the act the scholarship explains. None of it is fast. All of it is started.</w:t>
      </w:r>
    </w:p>
    <w:p>
      <w:pPr>
        <w:pStyle w:val="BodyText"/>
      </w:pPr>
      <w:r>
        <w:t xml:space="preserve">Movements like this have one more property worth naming, because it is the whole reason this book exists. They are</w:t>
      </w:r>
      <w:r>
        <w:t xml:space="preserve"> </w:t>
      </w:r>
      <w:r>
        <w:rPr>
          <w:i/>
        </w:rPr>
        <w:t xml:space="preserve">joinable</w:t>
      </w:r>
      <w:r>
        <w:t xml:space="preserve">. Every workstream in this chapter has a door in it — for a lawyer, a parent, a legislator, a builder of new institutions. The last chapter is about those doors.</w:t>
      </w:r>
    </w:p>
    <w:p>
      <w:r>
        <w:pict>
          <v:rect style="width:0;height:1.5pt" o:hralign="center" o:hrstd="t" o:hr="t"/>
        </w:pict>
      </w:r>
    </w:p>
    <w:p>
      <w:pPr>
        <w:pStyle w:val="FirstParagraph"/>
      </w:pPr>
      <w:r>
        <w:rPr>
          <w:i/>
        </w:rPr>
        <w:t xml:space="preserve">Sources for this chapter.</w:t>
      </w:r>
      <w:r>
        <w:t xml:space="preserve"> </w:t>
      </w:r>
      <w:r>
        <w:t xml:space="preserve">Renewal Program Charter v1; Pro Bono Panel Charter v1; UPTEA Legislative Strategy — Oregon, v1; UPTEA Coalition Map v1 (all June 5, 2026; internal program documents).</w:t>
      </w:r>
      <w:r>
        <w:t xml:space="preserve"> </w:t>
      </w:r>
      <w:r>
        <w:rPr>
          <w:i/>
        </w:rPr>
        <w:t xml:space="preserve">Siuslaw School District 97J v. State of Oregon</w:t>
      </w:r>
      <w:r>
        <w:t xml:space="preserve">, Coos County Circuit Court No. 24CV38372: all statements drawn from public filings only [VERIFY each docket fact, ruling date, and the trial setting against the public record before print]; the trial-outcome section is a deliberate hole pending the verdict and counsel review. The standing appeal is</w:t>
      </w:r>
      <w:r>
        <w:t xml:space="preserve"> </w:t>
      </w:r>
      <w:r>
        <w:rPr>
          <w:i/>
        </w:rPr>
        <w:t xml:space="preserve">Advocates for School Trust Lands v. State</w:t>
      </w:r>
      <w:r>
        <w:t xml:space="preserve">, 346 Or App 668 (2026) (on appeal from the earlier case, No. 23CV39056; reversed and remanded) [citation and disposition verified against the published opinion 2026-06-06]. The founding member firm remains unnamed pending written consent of its principals. The general history of model-act adoption (the commercial-code pattern) is offered as background and should be tightened to specific, checkable examples in the verification pass [VERIFY].</w:t>
      </w:r>
    </w:p>
    <w:p>
      <w:r>
        <w:br w:type="page"/>
      </w:r>
    </w:p>
    <w:p>
      <w:pPr>
        <w:pStyle w:val="Heading1"/>
      </w:pPr>
      <w:bookmarkStart w:id="111" w:name="chapter-17-what-you-can-do"/>
      <w:r>
        <w:t xml:space="preserve">Chapter 17 — What You Can Do</w:t>
      </w:r>
      <w:bookmarkEnd w:id="111"/>
    </w:p>
    <w:p>
      <w:pPr>
        <w:pStyle w:val="FirstParagraph"/>
      </w:pPr>
      <w:r>
        <w:t xml:space="preserve">[DRAFT v2.0 — AI first pass; awaiting Dave’s voice pass. The first-person close is drafted as a placeholder for Dave’s own hand.]</w:t>
      </w:r>
    </w:p>
    <w:p>
      <w:r>
        <w:pict>
          <v:rect style="width:0;height:1.5pt" o:hralign="center" o:hrstd="t" o:hr="t"/>
        </w:pict>
      </w:r>
    </w:p>
    <w:p>
      <w:pPr>
        <w:pStyle w:val="FirstParagraph"/>
      </w:pPr>
      <w:r>
        <w:t xml:space="preserve">Books about public problems usually end with a chapter like this one, and the chapter is usually a disappointment.</w:t>
      </w:r>
      <w:r>
        <w:t xml:space="preserve"> </w:t>
      </w:r>
      <w:r>
        <w:rPr>
          <w:i/>
        </w:rPr>
        <w:t xml:space="preserve">Stay informed. Contact your representative. Care.</w:t>
      </w:r>
      <w:r>
        <w:t xml:space="preserve"> </w:t>
      </w:r>
      <w:r>
        <w:t xml:space="preserve">Advice so general it asks nothing, which is why it gets nothing.</w:t>
      </w:r>
    </w:p>
    <w:p>
      <w:pPr>
        <w:pStyle w:val="BodyText"/>
      </w:pPr>
      <w:r>
        <w:t xml:space="preserve">This book can do better, because the movement described in Chapter 16 was built with doors in it. There are four kinds of readers who can walk through one, and each of you holds something the others do not. So this chapter is four letters. Read your own; read the others if you want to know who is standing next to you.</w:t>
      </w:r>
    </w:p>
    <w:p>
      <w:pPr>
        <w:pStyle w:val="Heading2"/>
      </w:pPr>
      <w:bookmarkStart w:id="112" w:name="to-the-lawyer"/>
      <w:r>
        <w:t xml:space="preserve">To the lawyer</w:t>
      </w:r>
      <w:bookmarkEnd w:id="112"/>
    </w:p>
    <w:p>
      <w:pPr>
        <w:pStyle w:val="FirstParagraph"/>
      </w:pPr>
      <w:r>
        <w:t xml:space="preserve">You have read, by now, a statute’s worth of trust law applied to an unusual trustee, and somewhere around Chapter 4 you started running the doctrine yourself. Good. Here is the honest pitch.</w:t>
      </w:r>
    </w:p>
    <w:p>
      <w:pPr>
        <w:pStyle w:val="BodyText"/>
      </w:pPr>
      <w:r>
        <w:t xml:space="preserve">This is one of the last genuinely open fields in American law. A perpetual trust, created by federal grant and state constitution, excluded from the trust codes, enforced — until now — by an officer who also defends the trustee: every piece of that sentence is a live question, and there is two and a half centuries of record to argue from. The casebook has not been written. The leading cases are being decided</w:t>
      </w:r>
      <w:r>
        <w:t xml:space="preserve"> </w:t>
      </w:r>
      <w:r>
        <w:rPr>
          <w:i/>
        </w:rPr>
        <w:t xml:space="preserve">now</w:t>
      </w:r>
      <w:r>
        <w:t xml:space="preserve">. A lawyer entering this field in this decade gets what almost no American lawyer gets anymore: the chance to be present at the founding of a practice area, where the briefs you write become the authorities the next generation cites.</w:t>
      </w:r>
    </w:p>
    <w:p>
      <w:pPr>
        <w:pStyle w:val="BodyText"/>
      </w:pPr>
      <w:r>
        <w:t xml:space="preserve">The panel exists so you do not enter alone. Join it, and you get the hornbook as it develops, a research desk backed by the Library’s archive — questions in, sourced memos out — model pleadings from the live docket, and a community of the only other people in the country doing this work. What membership means is spelled out in the panel’s charter, and the two commitments that matter are these: you appear in any matter as independent counsel, owing your duties to your client and your court and never to the organization; and you lend the field your competence, not just your sympathy. Trial lawyers, appellate lawyers, researchers, law students — the roster has a place for each [panel contact and admission details at print; VERIFY against final panel launch materials].</w:t>
      </w:r>
    </w:p>
    <w:p>
      <w:pPr>
        <w:pStyle w:val="BodyText"/>
      </w:pPr>
      <w:r>
        <w:t xml:space="preserve">You will not get rich. The fee provisions you read in Chapter 14 exist precisely because this work has never paid. What you get instead is the thing that pulled most of us into law school before the billable hour found us: clients who cannot protect themselves, a wrong with a remedy, and law that needs making. The beneficiaries of these trusts include every public-school child in twenty states and all the ones not yet born. They have never once had enough lawyers.</w:t>
      </w:r>
    </w:p>
    <w:p>
      <w:pPr>
        <w:pStyle w:val="Heading2"/>
      </w:pPr>
      <w:bookmarkStart w:id="113" w:name="to-the-parent"/>
      <w:r>
        <w:t xml:space="preserve">To the parent</w:t>
      </w:r>
      <w:bookmarkEnd w:id="113"/>
    </w:p>
    <w:p>
      <w:pPr>
        <w:pStyle w:val="FirstParagraph"/>
      </w:pPr>
      <w:r>
        <w:t xml:space="preserve">Start with this: if you have a child in a public school in a trust-land state, your child is the beneficiary of a trust. Not a metaphor — a trust, the same legal animal that protects an inheritance at a bank, created at your state’s admission to the Union, funded with land, meant to pay out to your child’s school forever. Chapter 1 told the story. The promise was made to your kid.</w:t>
      </w:r>
    </w:p>
    <w:p>
      <w:pPr>
        <w:pStyle w:val="BodyText"/>
      </w:pPr>
      <w:r>
        <w:t xml:space="preserve">Now ask yourself a banker’s question: when did the trustee last send you a statement?</w:t>
      </w:r>
    </w:p>
    <w:p>
      <w:pPr>
        <w:pStyle w:val="BodyText"/>
      </w:pPr>
      <w:r>
        <w:t xml:space="preserve">For most readers in most states, the honest answer is</w:t>
      </w:r>
      <w:r>
        <w:t xml:space="preserve"> </w:t>
      </w:r>
      <w:r>
        <w:rPr>
          <w:i/>
        </w:rPr>
        <w:t xml:space="preserve">never</w:t>
      </w:r>
      <w:r>
        <w:t xml:space="preserve">, and Chapter 5 explained what that silence has cost. So here is what you can do, and none of it requires a law degree or a meeting that runs past your bedtime.</w:t>
      </w:r>
    </w:p>
    <w:p>
      <w:pPr>
        <w:pStyle w:val="BodyText"/>
      </w:pPr>
      <w:r>
        <w:t xml:space="preserve">First, ask the question in public. School board meetings have open-comment periods. Stand up and ask: our district is a beneficiary of the state school trust — what did we receive from it last year, and have we ever seen an accounting? You may be the first person ever to ask. The question is polite, factual, unanswerable in the worst way, and it plants a flag.</w:t>
      </w:r>
    </w:p>
    <w:p>
      <w:pPr>
        <w:pStyle w:val="BodyText"/>
      </w:pPr>
      <w:r>
        <w:t xml:space="preserve">Second, use the Library. The archive at schooltrusts.net exists so that a parent with one evening can do what used to take an archivist a month: read your state’s granting act, see what the trust holds, see what it pays. You do not have to take this book’s word for anything — checking up on the book is the entire point of the archive.</w:t>
      </w:r>
    </w:p>
    <w:p>
      <w:pPr>
        <w:pStyle w:val="BodyText"/>
      </w:pPr>
      <w:r>
        <w:t xml:space="preserve">Third, know what the act gives you, so you can ask your legislators for it by name. If the Uniform Public Trust Enforcement Act passes in your state, you get an annual public accounting you can actually read, showing every distribution to the schools, the formula behind it, and anything withheld or redirected — an honest statement of what the trust did for your child’s school this year. [CONFORM: v1 required a per-student distribution number and this chapter sold it; the merged act dropped the per-student line — restore it as a state add-on or soften this pitch.] And you get standing: the act says in plain statutory text that a parent may enforce the trust on a child’s behalf, and that organizations of parents may do it together, with no fee risk for suing in good faith. The locked courthouse door of Chapter 2 — your name is on the key.</w:t>
      </w:r>
    </w:p>
    <w:p>
      <w:pPr>
        <w:pStyle w:val="BodyText"/>
      </w:pPr>
      <w:r>
        <w:t xml:space="preserve">One parent asking one question changes nothing. But you read Chapter 9. Utah’s trust was not rescued by lawyers first — it was rescued by an organized constituency of parents and teachers who could see their school’s share and noticed when it was touched. That is the whole mechanism. Be the constituency.</w:t>
      </w:r>
    </w:p>
    <w:p>
      <w:pPr>
        <w:pStyle w:val="Heading2"/>
      </w:pPr>
      <w:bookmarkStart w:id="114" w:name="to-the-legislator"/>
      <w:r>
        <w:t xml:space="preserve">To the legislator</w:t>
      </w:r>
      <w:bookmarkEnd w:id="114"/>
    </w:p>
    <w:p>
      <w:pPr>
        <w:pStyle w:val="FirstParagraph"/>
      </w:pPr>
      <w:r>
        <w:t xml:space="preserve">You are busy, so here is the bill in four sentences. It codifies fiduciary duties your state’s courts already recognize, creating no new obligations. It requires the state’s perpetual trusts to publish an annual accounting any constituent can read. It lets beneficiaries enforce the trust in court, with an independent enforcement mechanism for the conflict cases, and restores the ordinary trust remedies through a narrow waiver that reaches only money already belonging to the trust. It is drafted, annotated section by section, and adapted to your state’s code [VERIFY availability of state-specific drafts at print].</w:t>
      </w:r>
    </w:p>
    <w:p>
      <w:pPr>
        <w:pStyle w:val="BodyText"/>
      </w:pPr>
      <w:r>
        <w:t xml:space="preserve">What does it cost? Less than its opponents will claim. The accounting article repackages data your agencies already hold. The trustee-education requirement runs through existing training infrastructure. The enforcement office can begin life as a court-appointed special counsel — no new agency, no standing budget line — with the standing office deferred until the state wants it. The fiscal note, honestly written, is small. Against it, weigh the one number that should interest you most: the documented difference between what a well-run school trust pays its schools and what a neglected one does. Chapter 9 told the story of the one state that did the repair; its endowment’s growth since is the best evidence in the record of what attention is worth [figures to be supplied from verified sources; VERIFY before print].</w:t>
      </w:r>
    </w:p>
    <w:p>
      <w:pPr>
        <w:pStyle w:val="BodyText"/>
      </w:pPr>
      <w:r>
        <w:t xml:space="preserve">What does it foreclose? Bluntly: some discretion your executive agencies currently enjoy and would prefer to keep. The quiet land deal priced by the buyer’s appraisal. The transfer of trust money under authority no one ever cites. The arrangement where the trust funds the legal defense of its own trustee. If those are practices your state would defend by name, in a hearing, on the record — then oppose the bill on those grounds and say so. The act’s drafters were careful to make the choice exactly that plain.</w:t>
      </w:r>
    </w:p>
    <w:p>
      <w:pPr>
        <w:pStyle w:val="BodyText"/>
      </w:pPr>
      <w:r>
        <w:t xml:space="preserve">And a word about the politics, because the politics are unusually good. This is school money without a tax vote. It is a transparency bill, a conflict-of-interest bill, and a children’s bill at once, and it indicts no one — the findings name structural failures, not villains. There will be a first legislator in your chamber to carry it. In twenty years, in the states that pass it, schoolchildren will be receiving measurably more from their trusts, and someone’s name will be on that. It may as well be yours.</w:t>
      </w:r>
    </w:p>
    <w:p>
      <w:pPr>
        <w:pStyle w:val="Heading2"/>
      </w:pPr>
      <w:bookmarkStart w:id="115" w:name="to-the-institution-designer"/>
      <w:r>
        <w:t xml:space="preserve">To the institution designer</w:t>
      </w:r>
      <w:bookmarkEnd w:id="115"/>
    </w:p>
    <w:p>
      <w:pPr>
        <w:pStyle w:val="FirstParagraph"/>
      </w:pPr>
      <w:r>
        <w:t xml:space="preserve">You may be the most important reader of this book, and you were never its likeliest one.</w:t>
      </w:r>
    </w:p>
    <w:p>
      <w:pPr>
        <w:pStyle w:val="BodyText"/>
      </w:pPr>
      <w:r>
        <w:t xml:space="preserve">You are building, or advising, or funding the new forever-institutions — the endowments meant to steward transformative technology across generations, the perpetual climate trusts, the sovereign funds chartered for people not yet born. Chapter 11 made the argument; here is the operational version. You are designing institutions with multi-century horizons, and there is exactly one body of evidence about how such designs perform across multi-century time in American conditions: the school trusts. Two hundred and forty years, every variety of economy and politics, all running the same experiment. You would not design an aircraft while declining to read the only crash data in existence.</w:t>
      </w:r>
    </w:p>
    <w:p>
      <w:pPr>
        <w:pStyle w:val="BodyText"/>
      </w:pPr>
      <w:r>
        <w:t xml:space="preserve">So, three asks, in ascending order of effort.</w:t>
      </w:r>
    </w:p>
    <w:p>
      <w:pPr>
        <w:pStyle w:val="BodyText"/>
      </w:pPr>
      <w:r>
        <w:t xml:space="preserve">Read the failure list as a design checklist. Six failures, every one structural: beneficiaries without standing; duties never written into enforceable law; the enforcer captured by the enforced; no mandatory accounting; remedies blocked by the sponsor’s immunity; trustees never taught and never reviewed. Now open the charter you are working on and ask, honestly, which of the six you have reproduced. In our experience the typical answer is at least four. The school trusts had pure intentions, prestigious founders, and constitutional dignity. So does your institution. Intentions are not a control.</w:t>
      </w:r>
    </w:p>
    <w:p>
      <w:pPr>
        <w:pStyle w:val="BodyText"/>
      </w:pPr>
      <w:r>
        <w:t xml:space="preserve">Write the teeth in now, because no court will read them in later. That is perhaps the hardest-won lesson in this book: beneficiaries spent decades litigating for things a single charter sentence could have granted — standing, an accounting, an independent enforcer. The act’s architecture translates directly into private-charter terms: name the beneficiary class, including the future ones, and give them representation; mandate the annual accounting in machine-readable form; build the enforcement role outside the management structure and fund it from outside the corpus; default to market exposure on dispositions; forbid the institution from paying its managers’ defense out of the assets they manage; schedule the outside review before you need it. Every one of those is cheap at founding and nearly unobtainable afterward. The founding moment is the only moment you control.</w:t>
      </w:r>
    </w:p>
    <w:p>
      <w:pPr>
        <w:pStyle w:val="BodyText"/>
      </w:pPr>
      <w:r>
        <w:t xml:space="preserve">And invite the evidence into the room. The record is public, archived, and citable; the people who know it are findable through the program. When the design conversations happen — at the foundations, the labs, the funds — let the one multi-generational dataset in existence have a seat. Your institution’s beneficiaries, like the school trusts’, will include people who cannot attend the founding, cannot vote on the charter, and cannot sue when it fails. Design as their fiduciary. That is not sentiment. As this whole book has argued, it is the operative legal idea.</w:t>
      </w:r>
    </w:p>
    <w:p>
      <w:pPr>
        <w:pStyle w:val="Heading2"/>
      </w:pPr>
      <w:bookmarkStart w:id="116" w:name="the-promise-again"/>
      <w:r>
        <w:t xml:space="preserve">The promise, again</w:t>
      </w:r>
      <w:bookmarkEnd w:id="116"/>
    </w:p>
    <w:p>
      <w:pPr>
        <w:pStyle w:val="FirstParagraph"/>
      </w:pPr>
      <w:r>
        <w:t xml:space="preserve">[PLACEHOLDER — Dave writes this close in his own voice. Drafted scaffolding below for his pass.]</w:t>
      </w:r>
    </w:p>
    <w:p>
      <w:pPr>
        <w:pStyle w:val="BodyText"/>
      </w:pPr>
      <w:r>
        <w:t xml:space="preserve">In 1785, a Congress with no constitution, no president, and almost no money made a promise to children who would not be born for two hundred years. This book has been an accounting of that promise — what it survived, where it failed, and why the failures were design, not destiny.</w:t>
      </w:r>
    </w:p>
    <w:p>
      <w:pPr>
        <w:pStyle w:val="BodyText"/>
      </w:pPr>
      <w:r>
        <w:t xml:space="preserve">The repair now exists. The duties are restated where no one can deny them; the books are ordered open; the courthouse door is unlocked; the remedies are back on the table; the watch is written into law. What the repair cannot do is enact itself. Laws are carried, and the carrying is done by exactly the kinds of people who have just finished reading four letters.</w:t>
      </w:r>
    </w:p>
    <w:p>
      <w:pPr>
        <w:pStyle w:val="BodyText"/>
      </w:pPr>
      <w:r>
        <w:t xml:space="preserve">The first promise was kept badly because keeping it was nobody’s job. You have just read the job descriptions. Pick one.</w:t>
      </w:r>
    </w:p>
    <w:p>
      <w:r>
        <w:pict>
          <v:rect style="width:0;height:1.5pt" o:hralign="center" o:hrstd="t" o:hr="t"/>
        </w:pict>
      </w:r>
    </w:p>
    <w:p>
      <w:pPr>
        <w:pStyle w:val="FirstParagraph"/>
      </w:pPr>
      <w:r>
        <w:rPr>
          <w:i/>
        </w:rPr>
        <w:t xml:space="preserve">Sources for this chapter.</w:t>
      </w:r>
      <w:r>
        <w:t xml:space="preserve"> </w:t>
      </w:r>
      <w:r>
        <w:t xml:space="preserve">Pro Bono Panel Charter v1 (membership classes, independence rules, engagement standards); UPTEA Converged Packet v2.0 (June 2026), Sections 302(8), 401–403, 504, 702–703, 706 (distribution reporting, parent and organizational standing, the conflict rule, the immunity waiver, fee protections) [CONFORM: v1’s per-student reporting provision, Section 302(5), was dropped in the merge]; UPTEA Legislative Strategy — Oregon, v1, and UPTEA Coalition Map v1 (fiscal-note strategy, audience framing); Renewal Program Charter v1. The Utah recovery and endowment-growth evidence is presented, with sources, in Chapter 9; all figures referenced here must carry that chapter’s verified numbers [VERIFY — no figure is asserted in this chapter pending verification]. The America’s School Trust Library is at schooltrusts.net. The six-failure checklist summarizes Part I (Chapters 2–7).</w:t>
      </w:r>
    </w:p>
    <w:p>
      <w:r>
        <w:br w:type="page"/>
      </w:r>
    </w:p>
    <w:p>
      <w:pPr>
        <w:pStyle w:val="Heading1"/>
      </w:pPr>
      <w:bookmarkStart w:id="117" w:name="X9bee1c018508660e59256b7dcb3ba4b5167f051"/>
      <w:r>
        <w:t xml:space="preserve">Appendix — The Uniform Public Trust Enforcement Act</w:t>
      </w:r>
      <w:bookmarkEnd w:id="117"/>
    </w:p>
    <w:p>
      <w:pPr>
        <w:pStyle w:val="FirstParagraph"/>
      </w:pPr>
      <w:r>
        <w:t xml:space="preserve">[DRAFT v2.2 — AI pass conforming to the merged act (Converged Packet v2.0, June 2026); awaiting Dave’s voice pass. Headnote only — it introduces the annotated selection in Stewards_v2_Appendix_The_Act_Annotated.md, which follows it in the built book. The COMPLETE text of the act is still appended mechanically only after counsel review; do not paste it here.]</w:t>
      </w:r>
    </w:p>
    <w:p>
      <w:r>
        <w:pict>
          <v:rect style="width:0;height:1.5pt" o:hralign="center" o:hrstd="t" o:hr="t"/>
        </w:pict>
      </w:r>
    </w:p>
    <w:p>
      <w:pPr>
        <w:pStyle w:val="FirstParagraph"/>
      </w:pPr>
      <w:r>
        <w:t xml:space="preserve">What follows is the law this book has been arguing for — the load-bearing sections of the Uniform Public Trust Enforcement Act, quoted verbatim from the converged working draft (v2.0, June 2026), each followed by a short annotation: the documented failure it fixes, the reason it is drafted the way it is, and the choices it leaves open to an enacting state. It is a selection, not the whole act. The complete text — forty-nine sections in ten articles — will be appended to this book only once counsel’s review of the draft is finished [VERIFY at print; the complete act does not appear in any published edition until that review is done]. Until then, the full act and its section-by-section commentary are available to legislators, scholars, and counsel through the program.</w:t>
      </w:r>
    </w:p>
    <w:p>
      <w:pPr>
        <w:pStyle w:val="BodyText"/>
      </w:pPr>
      <w:r>
        <w:t xml:space="preserve">A few notes on how to read it.</w:t>
      </w:r>
    </w:p>
    <w:p>
      <w:pPr>
        <w:pStyle w:val="BodyText"/>
      </w:pPr>
      <w:r>
        <w:rPr>
          <w:b/>
        </w:rPr>
        <w:t xml:space="preserve">It is a model act.</w:t>
      </w:r>
      <w:r>
        <w:t xml:space="preserve"> </w:t>
      </w:r>
      <w:r>
        <w:t xml:space="preserve">No legislature has enacted this text [VERIFY at print]. A model act is a template: each state adopts it through its own legislative process, dropping its own citations and choices into the places the draft leaves open. Text in [square brackets] marks those state-by-state variables — the name of the school fund, the local court, the dollar thresholds, the time periods. Where the draft offers more than one design for the same job, the alternatives appear in brackets too; the choice between a standing Office of Public Trust Enforcement and court-appointed special counsel (Article 5) is the most important of these, and Chapter 13 explains the trade.</w:t>
      </w:r>
    </w:p>
    <w:p>
      <w:pPr>
        <w:pStyle w:val="BodyText"/>
      </w:pPr>
      <w:r>
        <w:rPr>
          <w:b/>
        </w:rPr>
        <w:t xml:space="preserve">It says nothing new — deliberately.</w:t>
      </w:r>
      <w:r>
        <w:t xml:space="preserve"> </w:t>
      </w:r>
      <w:r>
        <w:t xml:space="preserve">The act’s central design choice, explained in Chapter 12, is that every duty it states is</w:t>
      </w:r>
      <w:r>
        <w:t xml:space="preserve"> </w:t>
      </w:r>
      <w:r>
        <w:rPr>
          <w:i/>
        </w:rPr>
        <w:t xml:space="preserve">declaratory of existing law</w:t>
      </w:r>
      <w:r>
        <w:t xml:space="preserve">: a restatement of obligations that already arise from the granting acts, the state constitutions, and the common law of trusts. Section 103(c) makes the point unmistakable — the act’s passage may never be cited as evidence that the duties were not already binding. What the act adds is everything the duties have lacked: procedure, daylight, and remedies.</w:t>
      </w:r>
    </w:p>
    <w:p>
      <w:pPr>
        <w:pStyle w:val="BodyText"/>
      </w:pPr>
      <w:r>
        <w:rPr>
          <w:b/>
        </w:rPr>
        <w:t xml:space="preserve">Its shape follows the failures.</w:t>
      </w:r>
      <w:r>
        <w:t xml:space="preserve"> </w:t>
      </w:r>
      <w:r>
        <w:t xml:space="preserve">Ten articles. Article 1 defines the trusts, the property, and the beneficiaries the law protects. Article 2 states the duties — loyalty, prudence, impartiality between generations, fiduciary value on disposition, and the duty to account and to enforce the trust’s own claims (Chapter 12). Article 3 orders the books opened: a certified, public, machine-readable annual accounting (Chapter 13). Article 4 unlocks the courthouse — standing for beneficiary institutions, parents, districts, and watchdog organizations, and a voice for future generations (Chapter 13). Article 5 builds the independent enforcer and disqualifies a conflicted attorney general from representing the trust (Chapter 13). Article 6 polices dispositions against self-dealing and buyer-procured appraisals (Chapter 14). Article 7 restores the equitable remedies through a narrow waiver of sovereign immunity, protects good-faith beneficiaries from fee risk, and puts settlements that would bind future beneficiaries under court approval (Chapter 14). Article 8 requires trustee education; Article 9 schedules the periodic independent review (Chapter 15). Article 10 is the standard machinery: rules, a public schedule of the trusts, transition, severability, and uniformity — and the act bends to each state’s constitution rather than fighting it.</w:t>
      </w:r>
    </w:p>
    <w:p>
      <w:pPr>
        <w:pStyle w:val="BodyText"/>
      </w:pPr>
      <w:r>
        <w:t xml:space="preserve">A companion volume of section-by-section commentary — for each section, the documented failure it cures and the drafting choices behind it — is available to legislators, scholars, and counsel through the program [VERIFY availability and citation at print].</w:t>
      </w:r>
    </w:p>
    <w:p>
      <w:pPr>
        <w:pStyle w:val="BodyText"/>
      </w:pPr>
      <w:r>
        <w:t xml:space="preserve">The chapters made the argument. Here is the heart of the law. Read it the way its drafters hope a legislator will: one section at a time, asking of each only two questions —</w:t>
      </w:r>
      <w:r>
        <w:t xml:space="preserve"> </w:t>
      </w:r>
      <w:r>
        <w:rPr>
          <w:i/>
        </w:rPr>
        <w:t xml:space="preserve">is this already my state’s obligation?</w:t>
      </w:r>
      <w:r>
        <w:t xml:space="preserve"> </w:t>
      </w:r>
      <w:r>
        <w:t xml:space="preserve">and</w:t>
      </w:r>
      <w:r>
        <w:t xml:space="preserve"> </w:t>
      </w:r>
      <w:r>
        <w:rPr>
          <w:i/>
        </w:rPr>
        <w:t xml:space="preserve">can my state’s children currently enforce it?</w:t>
      </w:r>
      <w:r>
        <w:t xml:space="preserve"> </w:t>
      </w:r>
      <w:r>
        <w:t xml:space="preserve">Where the answers are yes and no, this act is the repair.</w:t>
      </w:r>
    </w:p>
    <w:p>
      <w:r>
        <w:br w:type="page"/>
      </w:r>
    </w:p>
    <w:p>
      <w:pPr>
        <w:pStyle w:val="Heading1"/>
      </w:pPr>
      <w:bookmarkStart w:id="118" w:name="X5d669a435aa24e6b360195e062d0781bff97423"/>
      <w:r>
        <w:t xml:space="preserve">Appendix — The Act, Annotated: Selected Language from the Uniform Public Trust Enforcement Act (Draft)</w:t>
      </w:r>
      <w:bookmarkEnd w:id="118"/>
    </w:p>
    <w:p>
      <w:pPr>
        <w:pStyle w:val="FirstParagraph"/>
      </w:pPr>
      <w:r>
        <w:t xml:space="preserve">[DRAFT v2.0 — AI pass conforming all quotations to the merged act; awaiting Dave’s voice pass. All quoted language is verbatim from the UPTEA Converged Packet v2.0 (June 2026), which merged two independently produced drafts of the act into a single text. This file pairs with Stewards_v2_Appendix_Headnote.md, which precedes it in the built book.]</w:t>
      </w:r>
    </w:p>
    <w:p>
      <w:r>
        <w:pict>
          <v:rect style="width:0;height:1.5pt" o:hralign="center" o:hrstd="t" o:hr="t"/>
        </w:pict>
      </w:r>
    </w:p>
    <w:p>
      <w:pPr>
        <w:pStyle w:val="Heading2"/>
      </w:pPr>
      <w:bookmarkStart w:id="119" w:name="before-the-text-what-this-is-and-is-not"/>
      <w:r>
        <w:t xml:space="preserve">Before the text: what this is and is not</w:t>
      </w:r>
      <w:bookmarkEnd w:id="119"/>
    </w:p>
    <w:p>
      <w:pPr>
        <w:pStyle w:val="FirstParagraph"/>
      </w:pPr>
      <w:r>
        <w:t xml:space="preserve">Three things to hold in mind.</w:t>
      </w:r>
    </w:p>
    <w:p>
      <w:pPr>
        <w:pStyle w:val="BodyText"/>
      </w:pPr>
      <w:r>
        <w:rPr>
          <w:b/>
        </w:rPr>
        <w:t xml:space="preserve">It is a selection, not the whole act.</w:t>
      </w:r>
      <w:r>
        <w:t xml:space="preserve"> </w:t>
      </w:r>
      <w:r>
        <w:t xml:space="preserve">The full draft runs forty-nine sections in ten articles, every article carrying its own notes. The complete text and commentary are available to legislators, scholars, and counsel through the program. What appears here is the load-bearing language: the sections that do the work this book describes.</w:t>
      </w:r>
    </w:p>
    <w:p>
      <w:pPr>
        <w:pStyle w:val="BodyText"/>
      </w:pPr>
      <w:r>
        <w:rPr>
          <w:b/>
        </w:rPr>
        <w:t xml:space="preserve">It is a working draft, and it carries a standing review note.</w:t>
      </w:r>
      <w:r>
        <w:t xml:space="preserve"> </w:t>
      </w:r>
      <w:r>
        <w:t xml:space="preserve">No legislature has enacted this text, it has not completed review by counsel, and any use of it that touches a live case goes through counsel first. That is not a formality; it is the discipline the act itself preaches. The quotations below are from the Converged Packet v2.0 (June 2026), which merged two independently produced drafts of the act into a single working text.</w:t>
      </w:r>
    </w:p>
    <w:p>
      <w:pPr>
        <w:pStyle w:val="BodyText"/>
      </w:pPr>
      <w:r>
        <w:rPr>
          <w:b/>
        </w:rPr>
        <w:t xml:space="preserve">Its register is declaratory.</w:t>
      </w:r>
      <w:r>
        <w:t xml:space="preserve"> </w:t>
      </w:r>
      <w:r>
        <w:t xml:space="preserve">The act states duties that already exist — duties that arise from the acts of Congress that granted the lands, from the state constitutions that accepted them, and from the common law of trusts — and supplies the machinery those duties have always lacked: standing, accounting, an unconflicted enforcer, and remedies that survive sovereign immunity. Nothing quoted below creates a duty. Everything quoted below makes an existing duty enforceable.</w:t>
      </w:r>
    </w:p>
    <w:p>
      <w:pPr>
        <w:pStyle w:val="BodyText"/>
      </w:pPr>
      <w:r>
        <w:t xml:space="preserve">Each entry works the same way. First the act’s language, quoted exactly — text in [square brackets] marks the choices the draft leaves open to an enacting state. Then a short annotation in three parts:</w:t>
      </w:r>
      <w:r>
        <w:t xml:space="preserve"> </w:t>
      </w:r>
      <w:r>
        <w:rPr>
          <w:i/>
        </w:rPr>
        <w:t xml:space="preserve">the problem this fixes</w:t>
      </w:r>
      <w:r>
        <w:t xml:space="preserve">,</w:t>
      </w:r>
      <w:r>
        <w:t xml:space="preserve"> </w:t>
      </w:r>
      <w:r>
        <w:rPr>
          <w:i/>
        </w:rPr>
        <w:t xml:space="preserve">why it is drafted this way</w:t>
      </w:r>
      <w:r>
        <w:t xml:space="preserve">, and, where the section leaves choices open,</w:t>
      </w:r>
      <w:r>
        <w:t xml:space="preserve"> </w:t>
      </w:r>
      <w:r>
        <w:rPr>
          <w:i/>
        </w:rPr>
        <w:t xml:space="preserve">the dials</w:t>
      </w:r>
      <w:r>
        <w:t xml:space="preserve">.</w:t>
      </w:r>
    </w:p>
    <w:p>
      <w:r>
        <w:pict>
          <v:rect style="width:0;height:1.5pt" o:hralign="center" o:hrstd="t" o:hr="t"/>
        </w:pict>
      </w:r>
    </w:p>
    <w:p>
      <w:pPr>
        <w:pStyle w:val="Heading2"/>
      </w:pPr>
      <w:bookmarkStart w:id="120" w:name="X3407a528f203d8c1ec0e7fea1b22934f799a327"/>
      <w:r>
        <w:t xml:space="preserve">Section 103. Purpose; Declaratory Construction; No Admission.</w:t>
      </w:r>
      <w:bookmarkEnd w:id="120"/>
    </w:p>
    <w:p>
      <w:pPr>
        <w:numPr>
          <w:ilvl w:val="0"/>
          <w:numId w:val="1003"/>
        </w:numPr>
        <w:pStyle w:val="PullQuote"/>
      </w:pPr>
      <w:r>
        <w:t xml:space="preserve">The purpose of this [Act] is to provide procedures, transparency requirements, enforcement mechanisms, and remedies adequate to the fiduciary duties that already bind public trustees of public educational trusts.</w:t>
      </w:r>
    </w:p>
    <w:p>
      <w:pPr>
        <w:numPr>
          <w:ilvl w:val="0"/>
          <w:numId w:val="1003"/>
        </w:numPr>
        <w:pStyle w:val="PullQuote"/>
      </w:pPr>
      <w:r>
        <w:t xml:space="preserve">The duties enforceable under this [Act] are duties imposed by the applicable trust instrument, [the Admission Act], [state enabling act], [state constitution], federal law, statute, common law, and equity.</w:t>
      </w:r>
    </w:p>
    <w:p>
      <w:pPr>
        <w:numPr>
          <w:ilvl w:val="0"/>
          <w:numId w:val="1003"/>
        </w:numPr>
        <w:pStyle w:val="PullQuote"/>
      </w:pPr>
      <w:r>
        <w:t xml:space="preserve">Neither the enactment of this [Act], nor any provision of this [Act], nor any legislative history of this [Act], may be construed as evidence, admission, or legislative determination that:</w:t>
      </w:r>
    </w:p>
    <w:p>
      <w:pPr>
        <w:pStyle w:val="PullQuote"/>
      </w:pPr>
      <w:r>
        <w:t xml:space="preserve">  (1) any duty stated or enforced under this [Act] did not exist before the effective date of this [Act];</w:t>
      </w:r>
    </w:p>
    <w:p>
      <w:pPr>
        <w:pStyle w:val="PullQuote"/>
      </w:pPr>
      <w:r>
        <w:t xml:space="preserve">  (2) any such duty was unenforceable before the effective date of this [Act]; or</w:t>
      </w:r>
    </w:p>
    <w:p>
      <w:pPr>
        <w:pStyle w:val="PullQuote"/>
      </w:pPr>
      <w:r>
        <w:t xml:space="preserve">  (3) any conduct occurring before the effective date of this [Act] was lawful.</w:t>
      </w:r>
    </w:p>
    <w:p>
      <w:pPr>
        <w:numPr>
          <w:ilvl w:val="0"/>
          <w:numId w:val="1004"/>
        </w:numPr>
        <w:pStyle w:val="PullQuote"/>
      </w:pPr>
      <w:r>
        <w:t xml:space="preserve">This [Act] supplies procedures, forums, disclosures, representation, education, review, and remedies for existing duties. It does not create a new private damages regime.</w:t>
      </w:r>
    </w:p>
    <w:p>
      <w:pPr>
        <w:numPr>
          <w:ilvl w:val="0"/>
          <w:numId w:val="1004"/>
        </w:numPr>
        <w:pStyle w:val="PullQuote"/>
      </w:pPr>
      <w:r>
        <w:t xml:space="preserve">This [Act] must be liberally construed to provide effective accounting, representation, and equitable enforcement for public educational trusts, and narrowly construed against any implication that public trust property is unrestricted state revenue.</w:t>
      </w:r>
    </w:p>
    <w:p>
      <w:pPr>
        <w:pStyle w:val="FirstParagraph"/>
      </w:pPr>
      <w:r>
        <w:rPr>
          <w:i/>
        </w:rPr>
        <w:t xml:space="preserve">The problem this fixes.</w:t>
      </w:r>
      <w:r>
        <w:t xml:space="preserve"> </w:t>
      </w:r>
      <w:r>
        <w:t xml:space="preserve">Every other section of this act walks into the same trap, and this section springs it in advance. The trap is simple: pass a law stating fiduciary duties, and the trustee’s lawyers will tell a court the duties were born on the day of passage — that before the act, the state owed nothing a beneficiary could enforce. A state defending a pending trust case would have every incentive to wave the new statute at the judge as a confession. Subsection (c), the no-inference clause, forbids that reading in terms: neither the act, nor any provision of it, nor anything said while passing it, may be treated as evidence that any duty was new, that any duty was unenforceable — or that anything done before the act was lawful. The repair may never be cited as proof the roof was sound.</w:t>
      </w:r>
    </w:p>
    <w:p>
      <w:pPr>
        <w:pStyle w:val="BodyText"/>
      </w:pPr>
      <w:r>
        <w:rPr>
          <w:i/>
        </w:rPr>
        <w:t xml:space="preserve">Why it is drafted this way.</w:t>
      </w:r>
      <w:r>
        <w:t xml:space="preserve"> </w:t>
      </w:r>
      <w:r>
        <w:t xml:space="preserve">Because the declaratory posture is true, not merely tactical. The duties this act restates genuinely predate it, and subsection (b) names their sources — the trust instrument, the admission and enabling acts, the state constitution, federal law, statute, common law, and equity — sources older than any legislature now sitting. What the states never built was the machinery. So subsection (a) names the act’s entire ambition in one sentence — procedures, transparency, enforcement, remedies, all of them</w:t>
      </w:r>
      <w:r>
        <w:t xml:space="preserve"> </w:t>
      </w:r>
      <w:r>
        <w:t xml:space="preserve">“</w:t>
      </w:r>
      <w:r>
        <w:t xml:space="preserve">adequate to the fiduciary duties that</w:t>
      </w:r>
      <w:r>
        <w:t xml:space="preserve"> </w:t>
      </w:r>
      <w:r>
        <w:rPr>
          <w:b/>
        </w:rPr>
        <w:t xml:space="preserve">already</w:t>
      </w:r>
      <w:r>
        <w:t xml:space="preserve"> </w:t>
      </w:r>
      <w:r>
        <w:t xml:space="preserve">bind.</w:t>
      </w:r>
      <w:r>
        <w:t xml:space="preserve">”</w:t>
      </w:r>
      <w:r>
        <w:t xml:space="preserve"> </w:t>
      </w:r>
      <w:r>
        <w:t xml:space="preserve">Subsection (d) then disclaims the thing opponents will accuse the act of being: it</w:t>
      </w:r>
      <w:r>
        <w:t xml:space="preserve"> </w:t>
      </w:r>
      <w:r>
        <w:t xml:space="preserve">“</w:t>
      </w:r>
      <w:r>
        <w:t xml:space="preserve">does not create a new private damages regime</w:t>
      </w:r>
      <w:r>
        <w:t xml:space="preserve">”</w:t>
      </w:r>
      <w:r>
        <w:t xml:space="preserve"> </w:t>
      </w:r>
      <w:r>
        <w:t xml:space="preserve">— machinery for existing duties, not a new cause of action for private payouts. Notice the verb in subsection (c):</w:t>
      </w:r>
      <w:r>
        <w:t xml:space="preserve"> </w:t>
      </w:r>
      <w:r>
        <w:t xml:space="preserve">“</w:t>
      </w:r>
      <w:r>
        <w:t xml:space="preserve">may not be construed</w:t>
      </w:r>
      <w:r>
        <w:t xml:space="preserve">”</w:t>
      </w:r>
      <w:r>
        <w:t xml:space="preserve"> </w:t>
      </w:r>
      <w:r>
        <w:t xml:space="preserve">— a flat prohibition, not advice. A no-inference clause written in the soft conditional is no clause at all. And subsection (e) hands the courts a two-way compass for every close question: construe liberally toward accounting, representation, and enforcement; construe narrowly against any suggestion that trust property is state revenue with sentiment attached. This is the linchpin: the section that lets a legislature do justice going forward without handing the past a pardon.</w:t>
      </w:r>
    </w:p>
    <w:p>
      <w:pPr>
        <w:pStyle w:val="BodyText"/>
      </w:pPr>
      <w:r>
        <w:rPr>
          <w:i/>
        </w:rPr>
        <w:t xml:space="preserve">The dials.</w:t>
      </w:r>
      <w:r>
        <w:t xml:space="preserve"> </w:t>
      </w:r>
      <w:r>
        <w:t xml:space="preserve">None — alone among the sections in this appendix, and that is the point: the declaratory frame is not adjustable.</w:t>
      </w:r>
    </w:p>
    <w:p>
      <w:r>
        <w:pict>
          <v:rect style="width:0;height:1.5pt" o:hralign="center" o:hrstd="t" o:hr="t"/>
        </w:pict>
      </w:r>
    </w:p>
    <w:p>
      <w:pPr>
        <w:pStyle w:val="Heading2"/>
      </w:pPr>
      <w:bookmarkStart w:id="121" w:name="section-203.-duty-of-loyalty."/>
      <w:r>
        <w:t xml:space="preserve">Section 203. Duty of Loyalty.</w:t>
      </w:r>
      <w:bookmarkEnd w:id="121"/>
    </w:p>
    <w:p>
      <w:pPr>
        <w:numPr>
          <w:ilvl w:val="0"/>
          <w:numId w:val="1005"/>
        </w:numPr>
        <w:pStyle w:val="PullQuote"/>
      </w:pPr>
      <w:r>
        <w:t xml:space="preserve">A state trustee shall administer the public educational trust solely in the interest of the beneficiaries and the trust purpose.</w:t>
      </w:r>
    </w:p>
    <w:p>
      <w:pPr>
        <w:numPr>
          <w:ilvl w:val="0"/>
          <w:numId w:val="1005"/>
        </w:numPr>
        <w:pStyle w:val="PullQuote"/>
      </w:pPr>
      <w:r>
        <w:t xml:space="preserve">A state trustee may not administer public trust property to serve the interests of [State]’s general fund, any agency or program that is not a beneficiary, any local government, any private person, or any public purpose other than the trust purpose, except to the extent that doing so is consistent with and does not subordinate the interests of the beneficiaries.</w:t>
      </w:r>
    </w:p>
    <w:p>
      <w:pPr>
        <w:numPr>
          <w:ilvl w:val="0"/>
          <w:numId w:val="1005"/>
        </w:numPr>
        <w:pStyle w:val="PullQuote"/>
      </w:pPr>
      <w:r>
        <w:t xml:space="preserve">A transaction in which [State] in a nonfiduciary capacity, or any agency or program of [State] that is not a beneficiary, acquires public trust property or an interest in public trust property is a self-interested transaction subject to Article 6.</w:t>
      </w:r>
    </w:p>
    <w:p>
      <w:pPr>
        <w:pStyle w:val="FirstParagraph"/>
      </w:pPr>
      <w:r>
        <w:rPr>
          <w:i/>
        </w:rPr>
        <w:t xml:space="preserve">The problem this fixes.</w:t>
      </w:r>
      <w:r>
        <w:t xml:space="preserve"> </w:t>
      </w:r>
      <w:r>
        <w:t xml:space="preserve">The most common way a school trust loses value is not theft. It is conscription — trust land quietly managed for purposes the legislature happens to like, with the bill sent to the schoolchildren. Recreation, habitat, the general fund: all worthy causes, none of them the beneficiary. When the state wears its sovereign hat and its trustee hat at once, the sovereign tends to win, and the trust pays for public goods the whole public should have bought.</w:t>
      </w:r>
    </w:p>
    <w:p>
      <w:pPr>
        <w:pStyle w:val="BodyText"/>
      </w:pPr>
      <w:r>
        <w:rPr>
          <w:i/>
        </w:rPr>
        <w:t xml:space="preserve">Why it is drafted this way.</w:t>
      </w:r>
      <w:r>
        <w:t xml:space="preserve"> </w:t>
      </w:r>
      <w:r>
        <w:t xml:space="preserve">Subsection (b) does not outlaw conservation, public access, or careful stewardship — it outlaws</w:t>
      </w:r>
      <w:r>
        <w:t xml:space="preserve"> </w:t>
      </w:r>
      <w:r>
        <w:rPr>
          <w:i/>
        </w:rPr>
        <w:t xml:space="preserve">subordination</w:t>
      </w:r>
      <w:r>
        <w:t xml:space="preserve">. The closing clause is the whole line: other purposes may be served</w:t>
      </w:r>
      <w:r>
        <w:t xml:space="preserve"> </w:t>
      </w:r>
      <w:r>
        <w:t xml:space="preserve">“</w:t>
      </w:r>
      <w:r>
        <w:t xml:space="preserve">to the extent that doing so is consistent with and does not subordinate the interests of the beneficiaries.</w:t>
      </w:r>
      <w:r>
        <w:t xml:space="preserve">”</w:t>
      </w:r>
      <w:r>
        <w:t xml:space="preserve"> </w:t>
      </w:r>
      <w:r>
        <w:t xml:space="preserve">A state that wants trust land managed primarily for another purpose has an honest path: buy the land, at full value, with everyone watching. And subsection (c) anticipates exactly that purchase: when the state itself is the buyer, the deal is by definition self-interested and falls under Article 6, quoted below.</w:t>
      </w:r>
    </w:p>
    <w:p>
      <w:r>
        <w:pict>
          <v:rect style="width:0;height:1.5pt" o:hralign="center" o:hrstd="t" o:hr="t"/>
        </w:pict>
      </w:r>
    </w:p>
    <w:p>
      <w:pPr>
        <w:pStyle w:val="Heading2"/>
      </w:pPr>
      <w:bookmarkStart w:id="122" w:name="X413321780aa034184e65c221bd8a43dfc4e9427"/>
      <w:r>
        <w:t xml:space="preserve">Section 205. Duty of Impartiality Between Present and Future Beneficiaries.</w:t>
      </w:r>
      <w:bookmarkEnd w:id="122"/>
    </w:p>
    <w:p>
      <w:pPr>
        <w:numPr>
          <w:ilvl w:val="0"/>
          <w:numId w:val="1006"/>
        </w:numPr>
        <w:pStyle w:val="PullQuote"/>
      </w:pPr>
      <w:r>
        <w:t xml:space="preserve">A state trustee shall act impartially between present and future beneficiaries, giving due regard to their respective interests under the governing trust instrument and existing law.</w:t>
      </w:r>
    </w:p>
    <w:p>
      <w:pPr>
        <w:numPr>
          <w:ilvl w:val="0"/>
          <w:numId w:val="1006"/>
        </w:numPr>
        <w:pStyle w:val="PullQuote"/>
      </w:pPr>
      <w:r>
        <w:t xml:space="preserve">A state trustee may not materially benefit present beneficiaries by depleting, impairing, undercompensating, or failing to protect trust corpus to the detriment of future beneficiaries, except as the governing trust instrument and existing law permit.</w:t>
      </w:r>
    </w:p>
    <w:p>
      <w:pPr>
        <w:numPr>
          <w:ilvl w:val="0"/>
          <w:numId w:val="1006"/>
        </w:numPr>
        <w:pStyle w:val="PullQuote"/>
      </w:pPr>
      <w:r>
        <w:t xml:space="preserve">A state trustee may not accumulate corpus or income in a manner that defeats the lawful interests of present beneficiaries, except as the governing trust instrument and existing law permit.</w:t>
      </w:r>
    </w:p>
    <w:p>
      <w:pPr>
        <w:pStyle w:val="FirstParagraph"/>
      </w:pPr>
      <w:r>
        <w:rPr>
          <w:i/>
        </w:rPr>
        <w:t xml:space="preserve">The problem this fixes.</w:t>
      </w:r>
      <w:r>
        <w:t xml:space="preserve"> </w:t>
      </w:r>
      <w:r>
        <w:t xml:space="preserve">Future children have no lobby. A perpetual trust’s most dangerous transactions are not the scandalous ones — they are the popular ones, the deals that benefit today’s schools or today’s budget by consuming corpus that belongs equally to children not yet born. Every present constituency gains; the only losers cannot yet speak; and so no one resists. It is the failure ordinary politics is least equipped to catch.</w:t>
      </w:r>
    </w:p>
    <w:p>
      <w:pPr>
        <w:pStyle w:val="BodyText"/>
      </w:pPr>
      <w:r>
        <w:rPr>
          <w:i/>
        </w:rPr>
        <w:t xml:space="preserve">Why it is drafted this way.</w:t>
      </w:r>
      <w:r>
        <w:t xml:space="preserve"> </w:t>
      </w:r>
      <w:r>
        <w:t xml:space="preserve">Subsections (b) and (c) cut in both directions on purpose. Subsection (b) forbids eating the corpus to please the present — including by the quietest method, simply</w:t>
      </w:r>
      <w:r>
        <w:t xml:space="preserve"> </w:t>
      </w:r>
      <w:r>
        <w:rPr>
          <w:i/>
        </w:rPr>
        <w:t xml:space="preserve">failing to protect</w:t>
      </w:r>
      <w:r>
        <w:t xml:space="preserve"> </w:t>
      </w:r>
      <w:r>
        <w:t xml:space="preserve">it. Subsection (c) forbids the opposite vice, hoarding the corpus while distributing nothing, a habit some permanent funds have practiced under the banner of prudence. A perpetual trust is supposed to pay every generation, starting with this one. And the duty is not left as a sentiment: Section 402, quoted below, gives future beneficiaries an actual representative in court, so impartiality can be argued and enforced rather than merely admired.</w:t>
      </w:r>
    </w:p>
    <w:p>
      <w:r>
        <w:pict>
          <v:rect style="width:0;height:1.5pt" o:hralign="center" o:hrstd="t" o:hr="t"/>
        </w:pict>
      </w:r>
    </w:p>
    <w:p>
      <w:pPr>
        <w:pStyle w:val="Heading2"/>
      </w:pPr>
      <w:bookmarkStart w:id="123" w:name="X17d90bd90efda3b2d2162a7e9faf894e53bda2f"/>
      <w:r>
        <w:t xml:space="preserve">Section 206. Duty to Obtain Fiduciary Value on Disposition.</w:t>
      </w:r>
      <w:bookmarkEnd w:id="123"/>
    </w:p>
    <w:p>
      <w:pPr>
        <w:numPr>
          <w:ilvl w:val="0"/>
          <w:numId w:val="1007"/>
        </w:numPr>
        <w:pStyle w:val="PullQuote"/>
      </w:pPr>
      <w:r>
        <w:t xml:space="preserve">A state trustee shall obtain fair market value, or equivalent fiduciary value expressly authorized by the governing trust instrument and existing law, on any disposition of public trust property.</w:t>
      </w:r>
    </w:p>
    <w:p>
      <w:pPr>
        <w:numPr>
          <w:ilvl w:val="0"/>
          <w:numId w:val="1007"/>
        </w:numPr>
        <w:pStyle w:val="PullQuote"/>
      </w:pPr>
      <w:r>
        <w:t xml:space="preserve">Consideration for a disposition must be paid to the trust or otherwise credited to the trust as required by the governing trust instrument and existing law.</w:t>
      </w:r>
    </w:p>
    <w:p>
      <w:pPr>
        <w:numPr>
          <w:ilvl w:val="0"/>
          <w:numId w:val="1007"/>
        </w:numPr>
        <w:pStyle w:val="PullQuote"/>
      </w:pPr>
      <w:r>
        <w:t xml:space="preserve">Legislative appropriation to a non-trust purpose of consideration owed to the trust, or netting of consideration against obligations of the trust to [State], does not satisfy this Section unless expressly authorized by the governing trust instrument and existing law.</w:t>
      </w:r>
    </w:p>
    <w:p>
      <w:pPr>
        <w:pStyle w:val="FirstParagraph"/>
      </w:pPr>
      <w:r>
        <w:rPr>
          <w:i/>
        </w:rPr>
        <w:t xml:space="preserve">The problem this fixes.</w:t>
      </w:r>
      <w:r>
        <w:t xml:space="preserve"> </w:t>
      </w:r>
      <w:r>
        <w:t xml:space="preserve">Undercompensated disposition is the single largest historical source of school-trust loss — from nineteenth-century land sales at statutory minimum prices to modern transfers between state agencies at whatever price was administratively convenient. The pattern repeats because discretion repeats: wherever a trustee may choose the method and the price quietly, the price drifts down.</w:t>
      </w:r>
    </w:p>
    <w:p>
      <w:pPr>
        <w:pStyle w:val="BodyText"/>
      </w:pPr>
      <w:r>
        <w:rPr>
          <w:i/>
        </w:rPr>
        <w:t xml:space="preserve">Why it is drafted this way.</w:t>
      </w:r>
      <w:r>
        <w:t xml:space="preserve"> </w:t>
      </w:r>
      <w:r>
        <w:t xml:space="preserve">The duty has three teeth. Subsection (a) sets the price floor: fair market value, or an equivalent fiduciary value — but only one</w:t>
      </w:r>
      <w:r>
        <w:t xml:space="preserve"> </w:t>
      </w:r>
      <w:r>
        <w:t xml:space="preserve">“</w:t>
      </w:r>
      <w:r>
        <w:t xml:space="preserve">expressly authorized by the governing trust instrument and existing law,</w:t>
      </w:r>
      <w:r>
        <w:t xml:space="preserve">”</w:t>
      </w:r>
      <w:r>
        <w:t xml:space="preserve"> </w:t>
      </w:r>
      <w:r>
        <w:t xml:space="preserve">so a substitute value must trace to the trust’s own charter, not to a press release. Subsection (b) says where the money goes: to the trust. And subsection (c) blocks the modern bookkeeping variant: the legislature</w:t>
      </w:r>
      <w:r>
        <w:t xml:space="preserve"> </w:t>
      </w:r>
      <w:r>
        <w:t xml:space="preserve">“</w:t>
      </w:r>
      <w:r>
        <w:t xml:space="preserve">buying</w:t>
      </w:r>
      <w:r>
        <w:t xml:space="preserve">”</w:t>
      </w:r>
      <w:r>
        <w:t xml:space="preserve"> </w:t>
      </w:r>
      <w:r>
        <w:t xml:space="preserve">a trust asset with an appropriation that never actually reaches the trust, or netting the price against obligations the state claims it is owed. The money must land in the trust — bluntly, and by design. One definition upstream matters: the act defines</w:t>
      </w:r>
      <w:r>
        <w:t xml:space="preserve"> </w:t>
      </w:r>
      <w:r>
        <w:t xml:space="preserve">“</w:t>
      </w:r>
      <w:r>
        <w:t xml:space="preserve">disposition</w:t>
      </w:r>
      <w:r>
        <w:t xml:space="preserve">”</w:t>
      </w:r>
      <w:r>
        <w:t xml:space="preserve"> </w:t>
      </w:r>
      <w:r>
        <w:t xml:space="preserve">to sweep in leases, licenses, easements, encumbrances, releases, settlements, and royalty and extraction agreements — the transactions by which trust value most often leaves quietly, no deed ever changing hands.</w:t>
      </w:r>
    </w:p>
    <w:p>
      <w:pPr>
        <w:pStyle w:val="BodyText"/>
      </w:pPr>
      <w:r>
        <w:rPr>
          <w:i/>
        </w:rPr>
        <w:t xml:space="preserve">The dials.</w:t>
      </w:r>
      <w:r>
        <w:t xml:space="preserve"> </w:t>
      </w:r>
      <w:r>
        <w:t xml:space="preserve">None in the section itself; the thresholds, day counts, and exception list that implement this duty deal-by-deal are Article 6’s, quoted below.</w:t>
      </w:r>
    </w:p>
    <w:p>
      <w:r>
        <w:pict>
          <v:rect style="width:0;height:1.5pt" o:hralign="center" o:hrstd="t" o:hr="t"/>
        </w:pict>
      </w:r>
    </w:p>
    <w:p>
      <w:pPr>
        <w:pStyle w:val="Heading2"/>
      </w:pPr>
      <w:bookmarkStart w:id="124" w:name="X6b66d7869655aae0f9f983a2c26312d4c6a0aa1"/>
      <w:r>
        <w:t xml:space="preserve">Section 302. Contents of the Uniform Annual Trust Accounting.</w:t>
      </w:r>
      <w:bookmarkEnd w:id="124"/>
    </w:p>
    <w:p>
      <w:pPr>
        <w:pStyle w:val="PullQuote"/>
      </w:pPr>
      <w:r>
        <w:t xml:space="preserve">The annual accounting for each public educational trust must separately state, for the accounting period and with comparative figures for the preceding [four] accounting periods:</w:t>
      </w:r>
    </w:p>
    <w:p>
      <w:pPr>
        <w:numPr>
          <w:ilvl w:val="0"/>
          <w:numId w:val="1008"/>
        </w:numPr>
        <w:pStyle w:val="PullQuote"/>
      </w:pPr>
      <w:r>
        <w:t xml:space="preserve">the opening and closing balance of trust corpus;</w:t>
      </w:r>
    </w:p>
    <w:p>
      <w:pPr>
        <w:numPr>
          <w:ilvl w:val="0"/>
          <w:numId w:val="1008"/>
        </w:numPr>
        <w:pStyle w:val="PullQuote"/>
      </w:pPr>
      <w:r>
        <w:t xml:space="preserve">land and other real property interests, by acreage, location, category of use, encumbrance, and current estimated value, with the date and method of valuation;</w:t>
      </w:r>
    </w:p>
    <w:p>
      <w:pPr>
        <w:numPr>
          <w:ilvl w:val="0"/>
          <w:numId w:val="1008"/>
        </w:numPr>
        <w:pStyle w:val="PullQuote"/>
      </w:pPr>
      <w:r>
        <w:t xml:space="preserve">mineral, timber, water, energy, carbon, conservation, and other natural-resource interests;</w:t>
      </w:r>
    </w:p>
    <w:p>
      <w:pPr>
        <w:numPr>
          <w:ilvl w:val="0"/>
          <w:numId w:val="1008"/>
        </w:numPr>
        <w:pStyle w:val="PullQuote"/>
      </w:pPr>
      <w:r>
        <w:t xml:space="preserve">funds, investments, cash, receivables, and other financial assets at market value or book value as appropriate, with the accounting basis identified;</w:t>
      </w:r>
    </w:p>
    <w:p>
      <w:pPr>
        <w:numPr>
          <w:ilvl w:val="0"/>
          <w:numId w:val="1008"/>
        </w:numPr>
        <w:pStyle w:val="PullQuote"/>
      </w:pPr>
      <w:r>
        <w:t xml:space="preserve">all revenues, stated by source category, including disposition proceeds, royalties, bonuses, rents, timber receipts, grazing fees, interest, dividends, realized gains, and unrealized gains;</w:t>
      </w:r>
    </w:p>
    <w:p>
      <w:pPr>
        <w:numPr>
          <w:ilvl w:val="0"/>
          <w:numId w:val="1008"/>
        </w:numPr>
        <w:pStyle w:val="PullQuote"/>
      </w:pPr>
      <w:r>
        <w:t xml:space="preserve">all expenditures, administrative charges, management charges, legal expenses, consultant expenses, investment expenses, payments to third parties, and transfers from trust assets or trust revenues, with the legal authority for each category cited;</w:t>
      </w:r>
    </w:p>
    <w:p>
      <w:pPr>
        <w:numPr>
          <w:ilvl w:val="0"/>
          <w:numId w:val="1008"/>
        </w:numPr>
        <w:pStyle w:val="PullQuote"/>
      </w:pPr>
      <w:r>
        <w:t xml:space="preserve">every transfer out of the trust, including transfers to [State], a state agency, a local government, a beneficiary institution, a beneficiary distribution account, or a non-trust account;</w:t>
      </w:r>
    </w:p>
    <w:p>
      <w:pPr>
        <w:numPr>
          <w:ilvl w:val="0"/>
          <w:numId w:val="1008"/>
        </w:numPr>
        <w:pStyle w:val="PullQuote"/>
      </w:pPr>
      <w:r>
        <w:t xml:space="preserve">all distributions to beneficiary institutions or beneficiary funds, including the formula used and any amounts withheld, delayed, redirected, or offset;</w:t>
      </w:r>
    </w:p>
    <w:p>
      <w:pPr>
        <w:numPr>
          <w:ilvl w:val="0"/>
          <w:numId w:val="1008"/>
        </w:numPr>
        <w:pStyle w:val="PullQuote"/>
      </w:pPr>
      <w:r>
        <w:t xml:space="preserve">all dispositions of public trust property, including the property, counterparty, method, valuation evidence, consideration received, appraisers, findings, and destination of proceeds;</w:t>
      </w:r>
    </w:p>
    <w:p>
      <w:pPr>
        <w:numPr>
          <w:ilvl w:val="0"/>
          <w:numId w:val="1008"/>
        </w:numPr>
        <w:pStyle w:val="PullQuote"/>
      </w:pPr>
      <w:r>
        <w:t xml:space="preserve">all leases, licenses, easements, rights-of-way, concessions, extraction agreements, and encumbrances materially affecting public trust property;</w:t>
      </w:r>
    </w:p>
    <w:p>
      <w:pPr>
        <w:numPr>
          <w:ilvl w:val="0"/>
          <w:numId w:val="1008"/>
        </w:numPr>
        <w:pStyle w:val="PullQuote"/>
      </w:pPr>
      <w:r>
        <w:t xml:space="preserve">all debt, obligations, liabilities, contingent liabilities, and claims asserted by or against the trust;</w:t>
      </w:r>
    </w:p>
    <w:p>
      <w:pPr>
        <w:numPr>
          <w:ilvl w:val="0"/>
          <w:numId w:val="1008"/>
        </w:numPr>
        <w:pStyle w:val="PullQuote"/>
      </w:pPr>
      <w:r>
        <w:t xml:space="preserve">all pending litigation, settlement, release, or administrative proceeding materially affecting the trust;</w:t>
      </w:r>
    </w:p>
    <w:p>
      <w:pPr>
        <w:numPr>
          <w:ilvl w:val="0"/>
          <w:numId w:val="1008"/>
        </w:numPr>
        <w:pStyle w:val="PullQuote"/>
      </w:pPr>
      <w:r>
        <w:t xml:space="preserve">all known missing, disputed, commingled, or unreconciled public trust property or proceeds;</w:t>
      </w:r>
    </w:p>
    <w:p>
      <w:pPr>
        <w:numPr>
          <w:ilvl w:val="0"/>
          <w:numId w:val="1008"/>
        </w:numPr>
        <w:pStyle w:val="PullQuote"/>
      </w:pPr>
      <w:r>
        <w:t xml:space="preserve">all related-party transactions, self-interested transactions, conflicts of interest, waivers, recusals, or ethics disclosures materially affecting the trust;</w:t>
      </w:r>
    </w:p>
    <w:p>
      <w:pPr>
        <w:numPr>
          <w:ilvl w:val="0"/>
          <w:numId w:val="1008"/>
        </w:numPr>
        <w:pStyle w:val="PullQuote"/>
      </w:pPr>
      <w:r>
        <w:t xml:space="preserve">records withheld from public disclosure, with a redaction log identifying the category of record, the legal basis for withholding, and whether a nonexempt summary is available; and</w:t>
      </w:r>
    </w:p>
    <w:p>
      <w:pPr>
        <w:numPr>
          <w:ilvl w:val="0"/>
          <w:numId w:val="1008"/>
        </w:numPr>
        <w:pStyle w:val="PullQuote"/>
      </w:pPr>
      <w:r>
        <w:t xml:space="preserve">any other information required by rule or by the governing trust instrument.</w:t>
      </w:r>
    </w:p>
    <w:p>
      <w:pPr>
        <w:pStyle w:val="FirstParagraph"/>
      </w:pPr>
      <w:r>
        <w:rPr>
          <w:i/>
        </w:rPr>
        <w:t xml:space="preserve">The problem this fixes.</w:t>
      </w:r>
      <w:r>
        <w:t xml:space="preserve"> </w:t>
      </w:r>
      <w:r>
        <w:t xml:space="preserve">Many trust-land states publish no single beneficiary-facing annual statement that consolidates the corpus, the land inventory, the receipts, the expenses, the dispositions, and the distributions in one place. Even diligent states scatter the pieces across budget documents, agency reports, and footnotes that no parent — and frankly no legislator — could assemble into an answer to the basic question:</w:t>
      </w:r>
      <w:r>
        <w:t xml:space="preserve"> </w:t>
      </w:r>
      <w:r>
        <w:rPr>
          <w:i/>
        </w:rPr>
        <w:t xml:space="preserve">what is the condition of our trust?</w:t>
      </w:r>
      <w:r>
        <w:t xml:space="preserve"> </w:t>
      </w:r>
      <w:r>
        <w:t xml:space="preserve">The sixteen required elements were reverse-engineered from the questions beneficiaries have had to go to court to get answered: What is the corpus? What came in? What went out, to whom, under what authority? What did each beneficiary receive? What was sold, to whom, for how much, by what process?</w:t>
      </w:r>
    </w:p>
    <w:p>
      <w:pPr>
        <w:pStyle w:val="BodyText"/>
      </w:pPr>
      <w:r>
        <w:rPr>
          <w:i/>
        </w:rPr>
        <w:t xml:space="preserve">Why it is drafted this way.</w:t>
      </w:r>
      <w:r>
        <w:t xml:space="preserve"> </w:t>
      </w:r>
      <w:r>
        <w:t xml:space="preserve">Three pieces of quiet engineering carry most of the weight. Item (6) requires the legal authority for every category of expense, charge, and transfer to be cited on the trustee’s own certified report — so a payment with no authority behind it has nowhere to hide. Item (13) makes the trustee state its own unknowns: every known missing, disputed, commingled, or unreconciled asset, certified annually, so the loose ends the beneficiaries would otherwise discover by accident appear in the trustee’s own document. And item (15) polices the last refuge — anything withheld from disclosure must appear in a redaction log with the legal basis stated, so even secrecy leaves a public record of itself. The comparative-figures requirement makes trends visible to anyone with a ruler. Elsewhere in the same article, the act requires the underlying data in machine-readable form — so districts, journalists, and researchers can do their own arithmetic — and forbids satisfying the duty with general-purpose state financial reports, which is precisely where the information gets buried today.</w:t>
      </w:r>
    </w:p>
    <w:p>
      <w:pPr>
        <w:pStyle w:val="BodyText"/>
      </w:pPr>
      <w:r>
        <w:rPr>
          <w:i/>
        </w:rPr>
        <w:t xml:space="preserve">The dials.</w:t>
      </w:r>
      <w:r>
        <w:t xml:space="preserve"> </w:t>
      </w:r>
      <w:r>
        <w:t xml:space="preserve">The number of prior periods shown for comparison (the draft brackets four), and the publication and retention windows next door in Section 303 (the draft brackets twenty years).</w:t>
      </w:r>
    </w:p>
    <w:p>
      <w:r>
        <w:pict>
          <v:rect style="width:0;height:1.5pt" o:hralign="center" o:hrstd="t" o:hr="t"/>
        </w:pict>
      </w:r>
    </w:p>
    <w:p>
      <w:pPr>
        <w:pStyle w:val="Heading2"/>
      </w:pPr>
      <w:bookmarkStart w:id="125" w:name="X834ebfe3356d47de45b8b9195a9f62a43a5e159"/>
      <w:r>
        <w:t xml:space="preserve">Section 305. Effect of Failure to Account.</w:t>
      </w:r>
      <w:bookmarkEnd w:id="125"/>
    </w:p>
    <w:p>
      <w:pPr>
        <w:numPr>
          <w:ilvl w:val="0"/>
          <w:numId w:val="1009"/>
        </w:numPr>
        <w:pStyle w:val="PullQuote"/>
      </w:pPr>
      <w:r>
        <w:t xml:space="preserve">If a state trustee fails to render a materially complete accounting required by this Article, the trustee bears the burden of proving that challenged expenditures, transfers, dispositions, losses, or omissions were lawful and faithful to the trust.</w:t>
      </w:r>
    </w:p>
    <w:p>
      <w:pPr>
        <w:numPr>
          <w:ilvl w:val="0"/>
          <w:numId w:val="1009"/>
        </w:numPr>
        <w:pStyle w:val="PullQuote"/>
      </w:pPr>
      <w:r>
        <w:t xml:space="preserve">A limitation period, laches defense, notice period, or similar time-based defense may not begin to run against a trust claim until the state trustee has made a materially complete disclosure sufficient to put a beneficiary representative on reasonable notice of the claim, except as otherwise required by [state constitution], federal law, or the governing trust instrument.</w:t>
      </w:r>
    </w:p>
    <w:p>
      <w:pPr>
        <w:numPr>
          <w:ilvl w:val="0"/>
          <w:numId w:val="1009"/>
        </w:numPr>
        <w:pStyle w:val="PullQuote"/>
      </w:pPr>
      <w:r>
        <w:t xml:space="preserve">Failure to account does not itself establish breach of trust for every transaction during the accounting period, but it authorizes appropriate equitable relief to obtain information and protect the trust.</w:t>
      </w:r>
    </w:p>
    <w:p>
      <w:pPr>
        <w:pStyle w:val="FirstParagraph"/>
      </w:pPr>
      <w:r>
        <w:rPr>
          <w:i/>
        </w:rPr>
        <w:t xml:space="preserve">The problem this fixes.</w:t>
      </w:r>
      <w:r>
        <w:t xml:space="preserve"> </w:t>
      </w:r>
      <w:r>
        <w:t xml:space="preserve">Toothless reporting mandates. Governments are full of reports that statutes require and nobody files. An accounting requirement with no consequence is a suggestion.</w:t>
      </w:r>
    </w:p>
    <w:p>
      <w:pPr>
        <w:pStyle w:val="BodyText"/>
      </w:pPr>
      <w:r>
        <w:rPr>
          <w:i/>
        </w:rPr>
        <w:t xml:space="preserve">Why it is drafted this way.</w:t>
      </w:r>
      <w:r>
        <w:t xml:space="preserve"> </w:t>
      </w:r>
      <w:r>
        <w:t xml:space="preserve">The tooth is the burden shift in subsection (a). A trustee that fails to account does not merely owe a late report — it litigates the unaccounted period with the burden of proving that its own transactions were lawful and faithful to the trust. This is not an innovation; it is hornbook private-trust law, built on the sensible theory that the party who controls the records should bear the cost of their absence. The act simply declines to give public trustees a gentler rule than any bank trustee has ever lived under. Subsection (b) adds the companion rule that makes the first one matter across decades: the limitations clock does not start against a trust claim until the trustee has disclosed enough to put a beneficiary on reasonable notice of it. A trustee cannot withhold the statement for twenty years and then plead that the complaint came too late. And subsection (c) keeps the rule honest in the other direction: failure to account is not itself a verdict on every transaction — it opens the books and shifts the burden; it does not skip the trial. Keeping clean books becomes the cheap option — which is the whole idea.</w:t>
      </w:r>
    </w:p>
    <w:p>
      <w:pPr>
        <w:pStyle w:val="BodyText"/>
      </w:pPr>
      <w:r>
        <w:rPr>
          <w:i/>
        </w:rPr>
        <w:t xml:space="preserve">The dials.</w:t>
      </w:r>
      <w:r>
        <w:t xml:space="preserve"> </w:t>
      </w:r>
      <w:r>
        <w:t xml:space="preserve">The tolling rule in subsection (b) is the act’s most legally aggressive timing provision; the act’s own counsel flag directs state-by-state testing against limitation, repose, laches, and finality doctrine.</w:t>
      </w:r>
    </w:p>
    <w:p>
      <w:r>
        <w:pict>
          <v:rect style="width:0;height:1.5pt" o:hralign="center" o:hrstd="t" o:hr="t"/>
        </w:pict>
      </w:r>
    </w:p>
    <w:p>
      <w:pPr>
        <w:pStyle w:val="Heading2"/>
      </w:pPr>
      <w:bookmarkStart w:id="126" w:name="X90a4d7fdf55138169ad1a2a9e191586fb8b04f3"/>
      <w:r>
        <w:t xml:space="preserve">Section 401. Standing to Enforce Public Educational Trusts.</w:t>
      </w:r>
      <w:bookmarkEnd w:id="126"/>
    </w:p>
    <w:p>
      <w:pPr>
        <w:numPr>
          <w:ilvl w:val="0"/>
          <w:numId w:val="1010"/>
        </w:numPr>
        <w:pStyle w:val="Compact"/>
      </w:pPr>
      <w:r>
        <w:t xml:space="preserve">The following may bring a civil action in court to enforce a public educational trust:</w:t>
      </w:r>
    </w:p>
    <w:p>
      <w:pPr>
        <w:pStyle w:val="PullQuote"/>
      </w:pPr>
      <w:r>
        <w:t xml:space="preserve">  (1) a beneficiary institution;</w:t>
      </w:r>
    </w:p>
    <w:p>
      <w:pPr>
        <w:pStyle w:val="PullQuote"/>
      </w:pPr>
      <w:r>
        <w:t xml:space="preserve">  (2) a beneficiary representative;</w:t>
      </w:r>
    </w:p>
    <w:p>
      <w:pPr>
        <w:pStyle w:val="PullQuote"/>
      </w:pPr>
      <w:r>
        <w:t xml:space="preserve">  (3) a future-beneficiary representative appointed under Section 402;</w:t>
      </w:r>
    </w:p>
    <w:p>
      <w:pPr>
        <w:pStyle w:val="PullQuote"/>
      </w:pPr>
      <w:r>
        <w:t xml:space="preserve">  (4) the Independent Enforcement Officer;</w:t>
      </w:r>
    </w:p>
    <w:p>
      <w:pPr>
        <w:pStyle w:val="PullQuote"/>
      </w:pPr>
      <w:r>
        <w:t xml:space="preserve">  (5) the [Attorney General], if the [Attorney General] does not have a conflict of interest under Section 504;</w:t>
      </w:r>
    </w:p>
    <w:p>
      <w:pPr>
        <w:pStyle w:val="PullQuote"/>
      </w:pPr>
      <w:r>
        <w:t xml:space="preserve">  (6) the [State Auditor], [Inspector General], or other public officer expressly authorized by [state law];</w:t>
      </w:r>
    </w:p>
    <w:p>
      <w:pPr>
        <w:pStyle w:val="PullQuote"/>
      </w:pPr>
      <w:r>
        <w:t xml:space="preserve">  (7) [optional: a taxpayer of [State], if the action is brought in good faith for relief to the trust, the plaintiff first gives notice to the Independent Enforcement Officer, and the court may require consolidation, lead counsel, or security only on a finding of bad faith or substantial duplication]; and</w:t>
      </w:r>
    </w:p>
    <w:p>
      <w:pPr>
        <w:pStyle w:val="PullQuote"/>
      </w:pPr>
      <w:r>
        <w:t xml:space="preserve">  (8) any other person or entity granted standing by [the Admission Act], [state constitution], federal law, statute, common law, or equity.</w:t>
      </w:r>
    </w:p>
    <w:p>
      <w:pPr>
        <w:numPr>
          <w:ilvl w:val="0"/>
          <w:numId w:val="1011"/>
        </w:numPr>
        <w:pStyle w:val="PullQuote"/>
      </w:pPr>
      <w:r>
        <w:t xml:space="preserve">A person or entity with standing under subsection (a) need not show injury different in kind from the injury suffered by other beneficiaries or members of the public if the action seeks relief for the trust and not private damages.</w:t>
      </w:r>
    </w:p>
    <w:p>
      <w:pPr>
        <w:numPr>
          <w:ilvl w:val="0"/>
          <w:numId w:val="1011"/>
        </w:numPr>
        <w:pStyle w:val="PullQuote"/>
      </w:pPr>
      <w:r>
        <w:t xml:space="preserve">Standing may not be denied because beneficiaries are numerous, indefinite, distributed across institutions, represented through public educational purposes, not yet born, not yet enrolled, or not presently receiving trust distributions.</w:t>
      </w:r>
    </w:p>
    <w:p>
      <w:pPr>
        <w:numPr>
          <w:ilvl w:val="0"/>
          <w:numId w:val="1011"/>
        </w:numPr>
        <w:pStyle w:val="PullQuote"/>
      </w:pPr>
      <w:r>
        <w:t xml:space="preserve">A court may consolidate duplicative actions, appoint lead counsel, stay a later-filed action, require coordination with the Independent Enforcement Officer, or enter other case-management orders necessary to protect the trust and avoid wasteful litigation.</w:t>
      </w:r>
    </w:p>
    <w:p>
      <w:pPr>
        <w:pStyle w:val="FirstParagraph"/>
      </w:pPr>
      <w:r>
        <w:rPr>
          <w:i/>
        </w:rPr>
        <w:t xml:space="preserve">The problem this fixes.</w:t>
      </w:r>
      <w:r>
        <w:t xml:space="preserve"> </w:t>
      </w:r>
      <w:r>
        <w:t xml:space="preserve">Before a court can ask whether a trust was breached, it must decide whether the person at the courthouse door is allowed to ask. In state after state, that threshold question has consumed years that never reached the merits. In Oregon, it took an appellate fight, decided in 2026, just to establish that the trust’s advocates could be heard at all. Every year spent litigating</w:t>
      </w:r>
      <w:r>
        <w:t xml:space="preserve"> </w:t>
      </w:r>
      <w:r>
        <w:rPr>
          <w:i/>
        </w:rPr>
        <w:t xml:space="preserve">who may sue</w:t>
      </w:r>
      <w:r>
        <w:t xml:space="preserve"> </w:t>
      </w:r>
      <w:r>
        <w:t xml:space="preserve">is a year the question</w:t>
      </w:r>
      <w:r>
        <w:t xml:space="preserve"> </w:t>
      </w:r>
      <w:r>
        <w:rPr>
          <w:i/>
        </w:rPr>
        <w:t xml:space="preserve">was the trust honored</w:t>
      </w:r>
      <w:r>
        <w:t xml:space="preserve"> </w:t>
      </w:r>
      <w:r>
        <w:t xml:space="preserve">goes unexamined — and trustees know it.</w:t>
      </w:r>
    </w:p>
    <w:p>
      <w:pPr>
        <w:pStyle w:val="BodyText"/>
      </w:pPr>
      <w:r>
        <w:rPr>
          <w:i/>
        </w:rPr>
        <w:t xml:space="preserve">Why it is drafted this way.</w:t>
      </w:r>
      <w:r>
        <w:t xml:space="preserve"> </w:t>
      </w:r>
      <w:r>
        <w:t xml:space="preserve">The list in subsection (a) answers the standing question once, in a paragraph, for everyone with a real stake: the beneficiary institution; the beneficiary representative — a defined term that sweeps in school boards and superintendents, district associations, parents and guardians of current students, and membership organizations, so watchdog groups need not parade individual children as plaintiffs; the appointed voice for future beneficiaries; the independent enforcer created in Article 5; the attorney general when unconflicted; and the state’s auditing officers. Subsection (b) forecloses the special-injury argument: a plaintiff suing for the trust need not show a wound different from everyone else’s. Subsection (c) then retires the rest of the standard toolkit for keeping trust cases out of court: standing cannot be denied because the beneficiaries are numerous, indefinite,</w:t>
      </w:r>
      <w:r>
        <w:t xml:space="preserve"> </w:t>
      </w:r>
      <w:r>
        <w:rPr>
          <w:i/>
        </w:rPr>
        <w:t xml:space="preserve">not yet born</w:t>
      </w:r>
      <w:r>
        <w:t xml:space="preserve">, or not presently receiving distributions. And subsection (d) answers the floodgates objection in advance with case-management tools — consolidation, lead counsel, coordination — rather than a locked door. The incentives stay clean throughout: under Section 705, quoted below, any recovery goes to the trust, not to the plaintiff’s pocket. This is not a bounty system. It is a key to a door.</w:t>
      </w:r>
    </w:p>
    <w:p>
      <w:pPr>
        <w:pStyle w:val="BodyText"/>
      </w:pPr>
      <w:r>
        <w:rPr>
          <w:i/>
        </w:rPr>
        <w:t xml:space="preserve">The dials.</w:t>
      </w:r>
      <w:r>
        <w:t xml:space="preserve"> </w:t>
      </w:r>
      <w:r>
        <w:t xml:space="preserve">The taxpayer provision in (a)(7) is entirely optional — the act’s biggest single dial. It maximizes enforcement but reliably draws</w:t>
      </w:r>
      <w:r>
        <w:t xml:space="preserve"> </w:t>
      </w:r>
      <w:r>
        <w:t xml:space="preserve">“</w:t>
      </w:r>
      <w:r>
        <w:t xml:space="preserve">floodgates</w:t>
      </w:r>
      <w:r>
        <w:t xml:space="preserve">”</w:t>
      </w:r>
      <w:r>
        <w:t xml:space="preserve"> </w:t>
      </w:r>
      <w:r>
        <w:t xml:space="preserve">objections; the good-faith screen, notice requirement, and consolidation power are the drafted answer. States also choose which auditing or inspector-general officers join the list in (a)(6).</w:t>
      </w:r>
    </w:p>
    <w:p>
      <w:r>
        <w:pict>
          <v:rect style="width:0;height:1.5pt" o:hralign="center" o:hrstd="t" o:hr="t"/>
        </w:pict>
      </w:r>
    </w:p>
    <w:p>
      <w:pPr>
        <w:pStyle w:val="Heading2"/>
      </w:pPr>
      <w:bookmarkStart w:id="127" w:name="X8b6587be88587e3c361adc3ce8561b992a95b33"/>
      <w:r>
        <w:t xml:space="preserve">Section 402. Representation of Future and Unrepresented Beneficiaries.</w:t>
      </w:r>
      <w:bookmarkEnd w:id="127"/>
    </w:p>
    <w:p>
      <w:pPr>
        <w:numPr>
          <w:ilvl w:val="0"/>
          <w:numId w:val="1012"/>
        </w:numPr>
        <w:pStyle w:val="PullQuote"/>
      </w:pPr>
      <w:r>
        <w:t xml:space="preserve">Future beneficiaries have enforceable trust interests to the extent recognized by the governing trust instrument and existing law.</w:t>
      </w:r>
    </w:p>
    <w:p>
      <w:pPr>
        <w:numPr>
          <w:ilvl w:val="0"/>
          <w:numId w:val="1012"/>
        </w:numPr>
        <w:pStyle w:val="PullQuote"/>
      </w:pPr>
      <w:r>
        <w:t xml:space="preserve">In any action under this [Act], the court shall determine whether future beneficiaries and otherwise unrepresented beneficiary interests are adequately represented.</w:t>
      </w:r>
    </w:p>
    <w:p>
      <w:pPr>
        <w:numPr>
          <w:ilvl w:val="0"/>
          <w:numId w:val="1012"/>
        </w:numPr>
        <w:pStyle w:val="PullQuote"/>
      </w:pPr>
      <w:r>
        <w:t xml:space="preserve">If the court finds inadequate representation, the court shall appoint a future-beneficiary representative, guardian ad litem, special fiduciary, or other representative to protect those interests.</w:t>
      </w:r>
    </w:p>
    <w:p>
      <w:pPr>
        <w:numPr>
          <w:ilvl w:val="0"/>
          <w:numId w:val="1012"/>
        </w:numPr>
        <w:pStyle w:val="PullQuote"/>
      </w:pPr>
      <w:r>
        <w:t xml:space="preserve">A state trustee, trustee agency, or the [Attorney General] may not be deemed an adequate representative of future beneficiaries on a matter in which the trustee, trustee agency, or [Attorney General] has a conflict of interest.</w:t>
      </w:r>
    </w:p>
    <w:p>
      <w:pPr>
        <w:numPr>
          <w:ilvl w:val="0"/>
          <w:numId w:val="1012"/>
        </w:numPr>
        <w:pStyle w:val="PullQuote"/>
      </w:pPr>
      <w:r>
        <w:t xml:space="preserve">A judgment, settlement, release, consent decree, or remedial plan that materially affects future beneficiaries binds future beneficiaries only if the court finds that:</w:t>
      </w:r>
    </w:p>
    <w:p>
      <w:pPr>
        <w:pStyle w:val="PullQuote"/>
      </w:pPr>
      <w:r>
        <w:t xml:space="preserve">  (1) future beneficiaries received adequate representation;</w:t>
      </w:r>
    </w:p>
    <w:p>
      <w:pPr>
        <w:pStyle w:val="PullQuote"/>
      </w:pPr>
      <w:r>
        <w:t xml:space="preserve">  (2) notice was reasonably calculated to inform beneficiary institutions and beneficiary representatives;</w:t>
      </w:r>
    </w:p>
    <w:p>
      <w:pPr>
        <w:pStyle w:val="PullQuote"/>
      </w:pPr>
      <w:r>
        <w:t xml:space="preserve">  (3) the relief is fair, reasonable, and faithful to the trust; and</w:t>
      </w:r>
    </w:p>
    <w:p>
      <w:pPr>
        <w:pStyle w:val="PullQuote"/>
      </w:pPr>
      <w:r>
        <w:t xml:space="preserve">  (4) the record includes a sufficient accounting or factual basis to evaluate the effect on trust corpus and trust income.</w:t>
      </w:r>
    </w:p>
    <w:p>
      <w:pPr>
        <w:pStyle w:val="BodyText"/>
      </w:pPr>
      <w:r>
        <w:rPr>
          <w:i/>
        </w:rPr>
        <w:t xml:space="preserve">The problem this fixes.</w:t>
      </w:r>
      <w:r>
        <w:t xml:space="preserve"> </w:t>
      </w:r>
      <w:r>
        <w:t xml:space="preserve">The beneficiaries with the largest aggregate stake in a perpetual trust — all the generations still to come — are the only ones who can never appear in court. Without a mechanism to give them a voice, even honest litigation can betray them: a settlement or consent decree can lawfully trade away future value to resolve present claims, with every party at the table satisfied and the real losers not yet born.</w:t>
      </w:r>
    </w:p>
    <w:p>
      <w:pPr>
        <w:pStyle w:val="BodyText"/>
      </w:pPr>
      <w:r>
        <w:rPr>
          <w:i/>
        </w:rPr>
        <w:t xml:space="preserve">Why it is drafted this way.</w:t>
      </w:r>
      <w:r>
        <w:t xml:space="preserve"> </w:t>
      </w:r>
      <w:r>
        <w:t xml:space="preserve">The court-appointment model is borrowed from machinery the law already trusts — guardian ad litem practice and the virtual-representation doctrine, which have given the unborn a seat at the table in private trusts for generations; the act extends the same courtesy to the children of the public ones. Two additions sharpen it. Subsection (d) names the disqualification that should be obvious and never has been: the trustee being sued, and a conflicted attorney general, cannot be deemed the unborn’s adequate representative. And subsection (e) is the clause that protects future beneficiaries from the settlement itself: no judgment, release, or consent decree that materially affects them binds them unless the court finds, on a real record, that they were genuinely represented, that notice went out, that the relief is faithful to the trust, and that the accounting before the court is sufficient to evaluate what the deal does to corpus and income. Section 707, quoted below, builds the same gate into every material settlement.</w:t>
      </w:r>
    </w:p>
    <w:p>
      <w:pPr>
        <w:pStyle w:val="BodyText"/>
      </w:pPr>
      <w:r>
        <w:rPr>
          <w:i/>
        </w:rPr>
        <w:t xml:space="preserve">The dials.</w:t>
      </w:r>
      <w:r>
        <w:t xml:space="preserve"> </w:t>
      </w:r>
      <w:r>
        <w:t xml:space="preserve">Who may serve as the representative. The draft leaves the representative’s compensation to the court and state law.</w:t>
      </w:r>
    </w:p>
    <w:p>
      <w:r>
        <w:pict>
          <v:rect style="width:0;height:1.5pt" o:hralign="center" o:hrstd="t" o:hr="t"/>
        </w:pict>
      </w:r>
    </w:p>
    <w:p>
      <w:pPr>
        <w:pStyle w:val="Heading2"/>
      </w:pPr>
      <w:bookmarkStart w:id="128" w:name="X87007630208a4940dd1fdb520916b6016aa582e"/>
      <w:r>
        <w:t xml:space="preserve">Section 504. Attorney-General Conflict — with Section 505’s rule on defense costs.</w:t>
      </w:r>
      <w:bookmarkEnd w:id="128"/>
    </w:p>
    <w:p>
      <w:pPr>
        <w:pStyle w:val="FirstParagraph"/>
      </w:pPr>
      <w:r>
        <w:rPr>
          <w:i/>
        </w:rPr>
        <w:t xml:space="preserve">From Section 504, Attorney-General Conflict — in full:</w:t>
      </w:r>
    </w:p>
    <w:p>
      <w:pPr>
        <w:numPr>
          <w:ilvl w:val="0"/>
          <w:numId w:val="1013"/>
        </w:numPr>
        <w:pStyle w:val="Compact"/>
      </w:pPr>
      <w:r>
        <w:t xml:space="preserve">The [Attorney General] has a conflict of interest for purposes of this [Act] when the [Attorney General] or the [Attorney General’s office]:</w:t>
      </w:r>
    </w:p>
    <w:p>
      <w:pPr>
        <w:pStyle w:val="PullQuote"/>
      </w:pPr>
      <w:r>
        <w:t xml:space="preserve">  (1) represents, advises, or defends a state trustee, trustee agency, board member, officer, or employee concerning conduct alleged to be a breach of trust;</w:t>
      </w:r>
    </w:p>
    <w:p>
      <w:pPr>
        <w:pStyle w:val="PullQuote"/>
      </w:pPr>
      <w:r>
        <w:t xml:space="preserve">  (2) has approved, defended, or materially participated in the challenged transaction or policy;</w:t>
      </w:r>
    </w:p>
    <w:p>
      <w:pPr>
        <w:pStyle w:val="PullQuote"/>
      </w:pPr>
      <w:r>
        <w:t xml:space="preserve">  (3) is paid from public trust property to defend the challenged conduct; or</w:t>
      </w:r>
    </w:p>
    <w:p>
      <w:pPr>
        <w:pStyle w:val="PullQuote"/>
      </w:pPr>
      <w:r>
        <w:t xml:space="preserve">  (4) otherwise cannot represent the trust and its beneficiaries with undivided loyalty.</w:t>
      </w:r>
    </w:p>
    <w:p>
      <w:pPr>
        <w:numPr>
          <w:ilvl w:val="0"/>
          <w:numId w:val="1014"/>
        </w:numPr>
        <w:pStyle w:val="PullQuote"/>
      </w:pPr>
      <w:r>
        <w:t xml:space="preserve">When a conflict exists, the [Attorney General] may represent the state trustee or other state defendant to the extent permitted by law, but may not represent the trust, control enforcement of trust claims, settle trust claims, or oppose the Independent Enforcement Officer on behalf of the trust.</w:t>
      </w:r>
    </w:p>
    <w:p>
      <w:pPr>
        <w:numPr>
          <w:ilvl w:val="0"/>
          <w:numId w:val="1014"/>
        </w:numPr>
        <w:pStyle w:val="PullQuote"/>
      </w:pPr>
      <w:r>
        <w:t xml:space="preserve">The Independent Enforcement Officer, or court-appointed special counsel under Section 501(e), has authority to represent the trust’s enforcement interest when the [Attorney General] is conflicted.</w:t>
      </w:r>
    </w:p>
    <w:p>
      <w:pPr>
        <w:pStyle w:val="FirstParagraph"/>
      </w:pPr>
      <w:r>
        <w:rPr>
          <w:i/>
        </w:rPr>
        <w:t xml:space="preserve">From Section 505, Funding; No Trustee Defense From Trust Assets — subsections (b) and (c):</w:t>
      </w:r>
    </w:p>
    <w:p>
      <w:pPr>
        <w:numPr>
          <w:ilvl w:val="0"/>
          <w:numId w:val="1015"/>
        </w:numPr>
        <w:pStyle w:val="PullQuote"/>
      </w:pPr>
      <w:r>
        <w:t xml:space="preserve">Public trust property may not be used to pay the legal defense costs of a state trustee, trustee agency, board member, officer, employee, or other defendant accused of breach of trust, except as expressly authorized by the governing trust instrument and existing law and approved by the court as consistent with fiduciary duties.</w:t>
      </w:r>
    </w:p>
    <w:p>
      <w:pPr>
        <w:numPr>
          <w:ilvl w:val="0"/>
          <w:numId w:val="1015"/>
        </w:numPr>
        <w:pStyle w:val="PullQuote"/>
      </w:pPr>
      <w:r>
        <w:t xml:space="preserve">A court may permit reimbursement from an appropriate non-trust source, or from trust administration funds only if permitted by the governing trust instrument and existing law, after final determination that the defended conduct was faithful to the trust.</w:t>
      </w:r>
    </w:p>
    <w:p>
      <w:pPr>
        <w:pStyle w:val="FirstParagraph"/>
      </w:pPr>
      <w:r>
        <w:rPr>
          <w:i/>
        </w:rPr>
        <w:t xml:space="preserve">The problem this fixes.</w:t>
      </w:r>
      <w:r>
        <w:t xml:space="preserve"> </w:t>
      </w:r>
      <w:r>
        <w:t xml:space="preserve">In most states, the officer charged by law with enforcing public and charitable trusts — the attorney general — is also the lawyer who defends the trustee when its administration is challenged. The beneficiaries’ statutory protector sits at the defense table. And the defense is often paid from the trust itself, which means beneficiaries who sue to protect their trust finance both sides of their own lawsuit. No private trust system on earth would tolerate the arrangement; the public ones inherited it by accident and kept it by inertia.</w:t>
      </w:r>
    </w:p>
    <w:p>
      <w:pPr>
        <w:pStyle w:val="BodyText"/>
      </w:pPr>
      <w:r>
        <w:rPr>
          <w:i/>
        </w:rPr>
        <w:t xml:space="preserve">Why it is drafted this way.</w:t>
      </w:r>
      <w:r>
        <w:t xml:space="preserve"> </w:t>
      </w:r>
      <w:r>
        <w:t xml:space="preserve">The conflict is defined by objective facts — representing or defending the trustee on the challenged conduct, having approved or participated in the challenged transaction, being paid from trust property to defend it — not by anyone’s motion or discretion. That avoids case-by-case recusal fights and spares everyone the spectacle of the attorney general ruling on the attorney general’s own conflict. The conflict, the act insists, is structural, not personal: no bad faith is required, which is exactly why good intentions cannot cure it. The division of labor in subsection (b) is the careful part: a conflicted attorney general may still defend the state — every defendant gets a lawyer — but may not represent the trust, control its claims, settle them, or oppose the trust’s enforcer in the trust’s name. Subsection (c) ensures no enforcement vacuum: the authority sits with the Independent Enforcement Officer or court-appointed special counsel. And Section 505 closes the trust’s purse to the trustee’s defense bills, while its reimbursement pathway for a finally vindicated trustee answers the fairness objection without reopening the purse.</w:t>
      </w:r>
    </w:p>
    <w:p>
      <w:pPr>
        <w:pStyle w:val="BodyText"/>
      </w:pPr>
      <w:r>
        <w:rPr>
          <w:i/>
        </w:rPr>
        <w:t xml:space="preserve">The dials.</w:t>
      </w:r>
      <w:r>
        <w:t xml:space="preserve"> </w:t>
      </w:r>
      <w:r>
        <w:t xml:space="preserve">Where the Independent Enforcement Officer lives — the auditor’s office, the legislative branch, an independent executive office, or a court-appointed special fiduciary (Section 501 brackets all four) — and the non-trust funding source for the office.</w:t>
      </w:r>
    </w:p>
    <w:p>
      <w:r>
        <w:pict>
          <v:rect style="width:0;height:1.5pt" o:hralign="center" o:hrstd="t" o:hr="t"/>
        </w:pict>
      </w:r>
    </w:p>
    <w:p>
      <w:pPr>
        <w:pStyle w:val="Heading2"/>
      </w:pPr>
      <w:bookmarkStart w:id="129" w:name="Xd56ff9e759891486ff77d7f5dd286d1e1888cd3"/>
      <w:r>
        <w:t xml:space="preserve">Sections 601–605. Dispositions, Valuation, and Self-Dealing.</w:t>
      </w:r>
      <w:bookmarkEnd w:id="129"/>
    </w:p>
    <w:p>
      <w:pPr>
        <w:pStyle w:val="FirstParagraph"/>
      </w:pPr>
      <w:r>
        <w:rPr>
          <w:i/>
        </w:rPr>
        <w:t xml:space="preserve">From Section 603, Competitive Disposition Default — subsections (a) and (b):</w:t>
      </w:r>
    </w:p>
    <w:p>
      <w:pPr>
        <w:numPr>
          <w:ilvl w:val="0"/>
          <w:numId w:val="1016"/>
        </w:numPr>
        <w:pStyle w:val="PullQuote"/>
      </w:pPr>
      <w:r>
        <w:t xml:space="preserve">A disposition must be conducted as a competitive disposition unless an exception in subsection (c) applies.</w:t>
      </w:r>
    </w:p>
    <w:p>
      <w:pPr>
        <w:numPr>
          <w:ilvl w:val="0"/>
          <w:numId w:val="1016"/>
        </w:numPr>
        <w:pStyle w:val="PullQuote"/>
      </w:pPr>
      <w:r>
        <w:t xml:space="preserve">A competitive disposition must use procedures reasonably designed to obtain fair market value or the best fiduciary value available for the trust, including public notice, objective selection criteria, adequate response time, and public disclosure of the result.</w:t>
      </w:r>
    </w:p>
    <w:p>
      <w:pPr>
        <w:pStyle w:val="FirstParagraph"/>
      </w:pPr>
      <w:r>
        <w:rPr>
          <w:i/>
        </w:rPr>
        <w:t xml:space="preserve">From Section 602, Valuation Safeguards — subsections (b) and (c):</w:t>
      </w:r>
    </w:p>
    <w:p>
      <w:pPr>
        <w:numPr>
          <w:ilvl w:val="0"/>
          <w:numId w:val="1017"/>
        </w:numPr>
        <w:pStyle w:val="PullQuote"/>
      </w:pPr>
      <w:r>
        <w:t xml:space="preserve">A self-interested transaction under Section 604 must be supported by at least two independent appraisals unless the court finds that another valuation method provides equal or greater protection to the trust.</w:t>
      </w:r>
    </w:p>
    <w:p>
      <w:pPr>
        <w:numPr>
          <w:ilvl w:val="0"/>
          <w:numId w:val="1017"/>
        </w:numPr>
        <w:pStyle w:val="PullQuote"/>
      </w:pPr>
      <w:r>
        <w:t xml:space="preserve">An appraisal, valuation, market study, or fairness opinion procured or controlled by a proposed purchaser, lessee, exchange partner, or other counterparty may not be the sole valuation or controlling valuation relied upon by a state trustee.</w:t>
      </w:r>
    </w:p>
    <w:p>
      <w:pPr>
        <w:pStyle w:val="FirstParagraph"/>
      </w:pPr>
      <w:r>
        <w:rPr>
          <w:i/>
        </w:rPr>
        <w:t xml:space="preserve">From Section 604, Self-Interested Transactions — in full:</w:t>
      </w:r>
    </w:p>
    <w:p>
      <w:pPr>
        <w:numPr>
          <w:ilvl w:val="0"/>
          <w:numId w:val="1018"/>
        </w:numPr>
        <w:pStyle w:val="PullQuote"/>
      </w:pPr>
      <w:r>
        <w:t xml:space="preserve">A disposition is self-interested if [State] in a nonfiduciary capacity, a nonbeneficiary state agency, a local government, a trustee, an officer, an employee, a related party, or a person participating in trust administration acquires public trust property or receives a benefit from the disposition other than a benefit shared by the trust beneficiaries.</w:t>
      </w:r>
    </w:p>
    <w:p>
      <w:pPr>
        <w:numPr>
          <w:ilvl w:val="0"/>
          <w:numId w:val="1018"/>
        </w:numPr>
        <w:pStyle w:val="PullQuote"/>
      </w:pPr>
      <w:r>
        <w:t xml:space="preserve">A self-interested transaction is voidable unless the state trustee proves that:</w:t>
      </w:r>
    </w:p>
    <w:p>
      <w:pPr>
        <w:pStyle w:val="PullQuote"/>
      </w:pPr>
      <w:r>
        <w:t xml:space="preserve">  (1) the transaction was authorized by the governing trust instrument and existing law;</w:t>
      </w:r>
    </w:p>
    <w:p>
      <w:pPr>
        <w:pStyle w:val="PullQuote"/>
      </w:pPr>
      <w:r>
        <w:t xml:space="preserve">  (2) the transaction was fair to the trust;</w:t>
      </w:r>
    </w:p>
    <w:p>
      <w:pPr>
        <w:pStyle w:val="PullQuote"/>
      </w:pPr>
      <w:r>
        <w:t xml:space="preserve">  (3) the trust received fair market value or equivalent fiduciary value;</w:t>
      </w:r>
    </w:p>
    <w:p>
      <w:pPr>
        <w:pStyle w:val="PullQuote"/>
      </w:pPr>
      <w:r>
        <w:t xml:space="preserve">  (4) conflicts were disclosed and managed before approval;</w:t>
      </w:r>
    </w:p>
    <w:p>
      <w:pPr>
        <w:pStyle w:val="PullQuote"/>
      </w:pPr>
      <w:r>
        <w:t xml:space="preserve">  (5) the requirements of Sections 601, 602, and 603 were satisfied; and</w:t>
      </w:r>
    </w:p>
    <w:p>
      <w:pPr>
        <w:pStyle w:val="PullQuote"/>
      </w:pPr>
      <w:r>
        <w:t xml:space="preserve">  (6) present and future beneficiaries were adequately protected.</w:t>
      </w:r>
    </w:p>
    <w:p>
      <w:pPr>
        <w:pStyle w:val="BodyText"/>
      </w:pPr>
      <w:r>
        <w:rPr>
          <w:i/>
        </w:rPr>
        <w:t xml:space="preserve">From Section 605, Review and Voidability — subsections (b) and (c):</w:t>
      </w:r>
    </w:p>
    <w:p>
      <w:pPr>
        <w:numPr>
          <w:ilvl w:val="0"/>
          <w:numId w:val="1019"/>
        </w:numPr>
        <w:pStyle w:val="PullQuote"/>
      </w:pPr>
      <w:r>
        <w:t xml:space="preserve">A disposition approved in material violation of this Article is voidable in equity.</w:t>
      </w:r>
    </w:p>
    <w:p>
      <w:pPr>
        <w:numPr>
          <w:ilvl w:val="0"/>
          <w:numId w:val="1019"/>
        </w:numPr>
        <w:pStyle w:val="PullQuote"/>
      </w:pPr>
      <w:r>
        <w:t xml:space="preserve">In an action under this Section, the court may enjoin a proposed disposition, suspend closing pending review, require additional accounting or valuation, rescind or reform a disposition to the extent permitted by law, impose a constructive trust or equitable lien, surcharge a breaching fiduciary, require restoration to the trust, order disgorgement from a knowing participant, or grant any other equitable relief authorized by Article 7.</w:t>
      </w:r>
    </w:p>
    <w:p>
      <w:pPr>
        <w:pStyle w:val="FirstParagraph"/>
      </w:pPr>
      <w:r>
        <w:rPr>
          <w:i/>
        </w:rPr>
        <w:t xml:space="preserve">The problem this fixes.</w:t>
      </w:r>
      <w:r>
        <w:t xml:space="preserve"> </w:t>
      </w:r>
      <w:r>
        <w:t xml:space="preserve">State-to-state self-dealing: one arm of the state acquiring trust assets from another arm, with the state effectively setting the price it pays itself. The pattern is current, not historical. In Oregon, the adequacy of the consideration in the decoupling of the Elliott State Forest from the Common School Fund is contested in active litigation; in other trust-land states, legislatures have directed noncompetitive sales of trust land to sister agencies. Section 602(c) names the pattern’s favorite instrument: the buyer-procured appraisal, the price of a trust asset set by a valuation commissioned, paid for, or scoped by the very party acquiring it. In private fiduciary work, pricing a sale off the buyer’s appraisal would be malpractice.</w:t>
      </w:r>
    </w:p>
    <w:p>
      <w:pPr>
        <w:pStyle w:val="BodyText"/>
      </w:pPr>
      <w:r>
        <w:rPr>
          <w:i/>
        </w:rPr>
        <w:t xml:space="preserve">Why it is drafted this way.</w:t>
      </w:r>
      <w:r>
        <w:t xml:space="preserve"> </w:t>
      </w:r>
      <w:r>
        <w:t xml:space="preserve">The act does not flatly prohibit the state from acquiring trust assets — sometimes the state genuinely is the best buyer. It makes such acquisitions</w:t>
      </w:r>
      <w:r>
        <w:t xml:space="preserve"> </w:t>
      </w:r>
      <w:r>
        <w:rPr>
          <w:i/>
        </w:rPr>
        <w:t xml:space="preserve">provable</w:t>
      </w:r>
      <w:r>
        <w:t xml:space="preserve">. A self-interested transaction is voidable unless the trustee proves it was fair, that the trust received fair value, that conflicts were disclosed and managed before approval, and that every safeguard in the article was satisfied — the burden of proof on the trustee throughout, which is the classical private-trust treatment of self-dealing, applied without discount to the public context. The appraisal rules require the trustee’s own independent valuation — by an appraiser the trustee or a neutral procurement selects, never the counterparty, and paid through a mechanism that preserves independence — and a buyer’s number may never be the sole or controlling one; a self-interested deal needs two. The fights surface early by design: Section 601 requires published fiduciary findings before any major disposition is approved, and a noncompetitive deal must be published at least thirty days before final approval, so valuation disputes happen while they can still change the price, not years later in a courtroom. One change from the earlier draft deserves note: where the first draft charged a state-agency acquirer with notice of the act — foreclosing the innocent-buyer defense in terms — the merged act leaves bona fide purchaser rights to state law, while preserving every remedy against the breaching trustee, against knowing participants, and against the proceeds and substitute property still in the state’s hands.</w:t>
      </w:r>
    </w:p>
    <w:p>
      <w:pPr>
        <w:pStyle w:val="BodyText"/>
      </w:pPr>
      <w:r>
        <w:rPr>
          <w:i/>
        </w:rPr>
        <w:t xml:space="preserve">The dials.</w:t>
      </w:r>
      <w:r>
        <w:t xml:space="preserve"> </w:t>
      </w:r>
      <w:r>
        <w:t xml:space="preserve">The major-disposition threshold (a bracketed dollar amount and lease length); the de minimis floor; the bracketed thirty-day pre-approval publication window for noncompetitive deals; and the number of appraisals for a self-interested transaction (the draft requires two).</w:t>
      </w:r>
    </w:p>
    <w:p>
      <w:r>
        <w:pict>
          <v:rect style="width:0;height:1.5pt" o:hralign="center" o:hrstd="t" o:hr="t"/>
        </w:pict>
      </w:r>
    </w:p>
    <w:p>
      <w:pPr>
        <w:pStyle w:val="Heading2"/>
      </w:pPr>
      <w:bookmarkStart w:id="130" w:name="X39666cee1bbb40e17dd8abf43393037653405ea"/>
      <w:r>
        <w:t xml:space="preserve">Sections 702 and 703. The Immunity Waiver and the Claims Statutes.</w:t>
      </w:r>
      <w:bookmarkEnd w:id="130"/>
    </w:p>
    <w:p>
      <w:pPr>
        <w:pStyle w:val="FirstParagraph"/>
      </w:pPr>
      <w:r>
        <w:rPr>
          <w:i/>
        </w:rPr>
        <w:t xml:space="preserve">From Section 702, Limited Waiver of Sovereign and Governmental Immunity — in full:</w:t>
      </w:r>
    </w:p>
    <w:p>
      <w:pPr>
        <w:numPr>
          <w:ilvl w:val="0"/>
          <w:numId w:val="1020"/>
        </w:numPr>
        <w:pStyle w:val="PullQuote"/>
      </w:pPr>
      <w:r>
        <w:t xml:space="preserve">[State] waives sovereign immunity, governmental immunity, official-capacity immunity, and statutory immunity to the limited extent necessary for a court to hear and decide an action under this [Act] and grant equitable relief for a public educational trust.</w:t>
      </w:r>
    </w:p>
    <w:p>
      <w:pPr>
        <w:numPr>
          <w:ilvl w:val="0"/>
          <w:numId w:val="1020"/>
        </w:numPr>
        <w:pStyle w:val="PullQuote"/>
      </w:pPr>
      <w:r>
        <w:t xml:space="preserve">The waiver in subsection (a) applies to [State], a state trustee, trustee agency, state officer, state employee, board, commission, or public body in an official capacity.</w:t>
      </w:r>
    </w:p>
    <w:p>
      <w:pPr>
        <w:numPr>
          <w:ilvl w:val="0"/>
          <w:numId w:val="1020"/>
        </w:numPr>
        <w:pStyle w:val="PullQuote"/>
      </w:pPr>
      <w:r>
        <w:t xml:space="preserve">The waiver in subsection (a) is limited to equitable trust remedies and does not authorize:</w:t>
      </w:r>
    </w:p>
    <w:p>
      <w:pPr>
        <w:pStyle w:val="PullQuote"/>
      </w:pPr>
      <w:r>
        <w:t xml:space="preserve">  (1) private compensatory damages;</w:t>
      </w:r>
    </w:p>
    <w:p>
      <w:pPr>
        <w:pStyle w:val="PullQuote"/>
      </w:pPr>
      <w:r>
        <w:t xml:space="preserve">  (2) punitive damages;</w:t>
      </w:r>
    </w:p>
    <w:p>
      <w:pPr>
        <w:pStyle w:val="PullQuote"/>
      </w:pPr>
      <w:r>
        <w:t xml:space="preserve">  (3) tort damages;</w:t>
      </w:r>
    </w:p>
    <w:p>
      <w:pPr>
        <w:pStyle w:val="PullQuote"/>
      </w:pPr>
      <w:r>
        <w:t xml:space="preserve">  (4) damages for emotional distress, personal injury, or private economic loss;</w:t>
      </w:r>
    </w:p>
    <w:p>
      <w:pPr>
        <w:pStyle w:val="PullQuote"/>
      </w:pPr>
      <w:r>
        <w:t xml:space="preserve">  (5) a civil penalty unless separately authorized by [state law];</w:t>
      </w:r>
    </w:p>
    <w:p>
      <w:pPr>
        <w:pStyle w:val="PullQuote"/>
      </w:pPr>
      <w:r>
        <w:t xml:space="preserve">  (6) execution against unrestricted state assets except as ordered for restoration of public trust property or recovery owed to the trust;</w:t>
      </w:r>
    </w:p>
    <w:p>
      <w:pPr>
        <w:pStyle w:val="PullQuote"/>
      </w:pPr>
      <w:r>
        <w:t xml:space="preserve">  (7) a jury trial; or</w:t>
      </w:r>
    </w:p>
    <w:p>
      <w:pPr>
        <w:pStyle w:val="PullQuote"/>
      </w:pPr>
      <w:r>
        <w:t xml:space="preserve">  (8) relief inconsistent with [the Admission Act], [state constitution], federal law, or the governing trust instrument.</w:t>
      </w:r>
    </w:p>
    <w:p>
      <w:pPr>
        <w:numPr>
          <w:ilvl w:val="0"/>
          <w:numId w:val="1021"/>
        </w:numPr>
        <w:pStyle w:val="Compact"/>
      </w:pPr>
      <w:r>
        <w:t xml:space="preserve">The waiver in subsection (a) does not waive personal-capacity immunity of an officer or employee except to the extent an equitable surcharge, restitution, disgorgement, constructive trust, or other equitable remedy is available under existing fiduciary law for knowing breach, bad faith, self-dealing, or knowing participation in a breach of trust.</w:t>
      </w:r>
    </w:p>
    <w:p>
      <w:pPr>
        <w:pStyle w:val="FirstParagraph"/>
      </w:pPr>
      <w:r>
        <w:rPr>
          <w:i/>
        </w:rPr>
        <w:t xml:space="preserve">From Section 703, Claims-Statute Inapplicability — in full:</w:t>
      </w:r>
    </w:p>
    <w:p>
      <w:pPr>
        <w:numPr>
          <w:ilvl w:val="0"/>
          <w:numId w:val="1022"/>
        </w:numPr>
        <w:pStyle w:val="PullQuote"/>
      </w:pPr>
      <w:r>
        <w:t xml:space="preserve">An action under this [Act] is an action to enforce a public educational trust and obtain equitable trust relief. It is not a tort claim, contract claim, or private damages claim against [State].</w:t>
      </w:r>
    </w:p>
    <w:p>
      <w:pPr>
        <w:numPr>
          <w:ilvl w:val="0"/>
          <w:numId w:val="1022"/>
        </w:numPr>
        <w:pStyle w:val="PullQuote"/>
      </w:pPr>
      <w:r>
        <w:t xml:space="preserve">[State Tort Claims Act], notice-of-claim requirements, damages caps, presentment requirements, and tort-claim limitation provisions do not apply to an action under this [Act], except to the extent [state constitution] or superior law requires otherwise.</w:t>
      </w:r>
    </w:p>
    <w:p>
      <w:pPr>
        <w:pStyle w:val="FirstParagraph"/>
      </w:pPr>
      <w:r>
        <w:rPr>
          <w:i/>
        </w:rPr>
        <w:t xml:space="preserve">The problem this fixes.</w:t>
      </w:r>
      <w:r>
        <w:t xml:space="preserve"> </w:t>
      </w:r>
      <w:r>
        <w:t xml:space="preserve">Sovereign immunity and tort-claims acts were built for car crashes and contract disputes — short notice windows, presentment formalities, damage caps. States have invoked that machinery to defeat the equitable remedies by which beneficiaries have enforced trusts at common law for centuries, as if a demand that the trustee restore the trust were a fender-bender claim filed late.</w:t>
      </w:r>
    </w:p>
    <w:p>
      <w:pPr>
        <w:pStyle w:val="BodyText"/>
      </w:pPr>
      <w:r>
        <w:rPr>
          <w:i/>
        </w:rPr>
        <w:t xml:space="preserve">Why it is drafted this way.</w:t>
      </w:r>
      <w:r>
        <w:t xml:space="preserve"> </w:t>
      </w:r>
      <w:r>
        <w:t xml:space="preserve">The waiver is deliberately narrow, and the narrowness is both the politics and the doctrine. It opens the courthouse to equitable trust relief and nothing else, and subsection (c)’s exclusion list says so eight ways: no compensatory damages, no punitive damages, no tort damages, no personal payday — the only money at stake is money that already belongs to the trust. That is the politically passable scope, and the doctrinally honest one: surcharge runs to the trust, not to the people who sued. Subsection (d) reaches individual officers only where fiduciary law always has — equitable remedies for knowing breach, bad faith, self-dealing, or knowing participation. Section 703 then unhooks these proceedings from the tort-claims machinery entirely: they are trust enforcement, not tort claims, and the notice windows, presentment rituals, and damage caps built for fender-benders do not apply. The timing rule lives back in the accounting article: under Section 305(b), quoted above, no limitation period or laches defense starts running against a trust claim until the trustee has disclosed enough to put a beneficiary on reasonable notice. For a trust meant to last forever, the claim to the corpus should not quietly expire while the books stay closed.</w:t>
      </w:r>
    </w:p>
    <w:p>
      <w:pPr>
        <w:pStyle w:val="BodyText"/>
      </w:pPr>
      <w:r>
        <w:rPr>
          <w:i/>
        </w:rPr>
        <w:t xml:space="preserve">The dials.</w:t>
      </w:r>
      <w:r>
        <w:t xml:space="preserve"> </w:t>
      </w:r>
      <w:r>
        <w:t xml:space="preserve">The act’s own counsel flag names this article as the first stop for drafting counsel: immunity waivers and tort-claims displacement are constitutionally sensitive in every state, and the bracketed civil-penalty carve-out in (c)(5) is a deliberate non-decision.</w:t>
      </w:r>
    </w:p>
    <w:p>
      <w:r>
        <w:pict>
          <v:rect style="width:0;height:1.5pt" o:hralign="center" o:hrstd="t" o:hr="t"/>
        </w:pict>
      </w:r>
    </w:p>
    <w:p>
      <w:pPr>
        <w:pStyle w:val="Heading2"/>
      </w:pPr>
      <w:bookmarkStart w:id="131" w:name="section-704.-equitable-remedies."/>
      <w:r>
        <w:t xml:space="preserve">Section 704. Equitable Remedies.</w:t>
      </w:r>
      <w:bookmarkEnd w:id="131"/>
    </w:p>
    <w:p>
      <w:pPr>
        <w:numPr>
          <w:ilvl w:val="0"/>
          <w:numId w:val="1023"/>
        </w:numPr>
        <w:pStyle w:val="Compact"/>
      </w:pPr>
      <w:r>
        <w:t xml:space="preserve">In an action under this [Act], the court may order any equitable remedy necessary to enforce the public educational trust, including:</w:t>
      </w:r>
    </w:p>
    <w:p>
      <w:pPr>
        <w:pStyle w:val="PullQuote"/>
      </w:pPr>
      <w:r>
        <w:t xml:space="preserve">  (1) accounting, supplemental accounting, historical accounting, forensic accounting, or judicial accounting;</w:t>
      </w:r>
    </w:p>
    <w:p>
      <w:pPr>
        <w:pStyle w:val="PullQuote"/>
      </w:pPr>
      <w:r>
        <w:t xml:space="preserve">  (2) declaratory relief;</w:t>
      </w:r>
    </w:p>
    <w:p>
      <w:pPr>
        <w:pStyle w:val="PullQuote"/>
      </w:pPr>
      <w:r>
        <w:t xml:space="preserve">  (3) temporary, preliminary, or permanent injunction;</w:t>
      </w:r>
    </w:p>
    <w:p>
      <w:pPr>
        <w:pStyle w:val="PullQuote"/>
      </w:pPr>
      <w:r>
        <w:t xml:space="preserve">  (4) mandamus, specific performance, or an order compelling fiduciary action required by law;</w:t>
      </w:r>
    </w:p>
    <w:p>
      <w:pPr>
        <w:pStyle w:val="PullQuote"/>
      </w:pPr>
      <w:r>
        <w:t xml:space="preserve">  (5) surcharge;</w:t>
      </w:r>
    </w:p>
    <w:p>
      <w:pPr>
        <w:pStyle w:val="PullQuote"/>
      </w:pPr>
      <w:r>
        <w:t xml:space="preserve">  (6) restoration of money, land, proceeds, income, appreciation, lost income, or other value to the trust;</w:t>
      </w:r>
    </w:p>
    <w:p>
      <w:pPr>
        <w:pStyle w:val="PullQuote"/>
      </w:pPr>
      <w:r>
        <w:t xml:space="preserve">  (7) disgorgement;</w:t>
      </w:r>
    </w:p>
    <w:p>
      <w:pPr>
        <w:pStyle w:val="PullQuote"/>
      </w:pPr>
      <w:r>
        <w:t xml:space="preserve">  (8) restitution;</w:t>
      </w:r>
    </w:p>
    <w:p>
      <w:pPr>
        <w:pStyle w:val="PullQuote"/>
      </w:pPr>
      <w:r>
        <w:t xml:space="preserve">  (9) constructive trust;</w:t>
      </w:r>
    </w:p>
    <w:p>
      <w:pPr>
        <w:pStyle w:val="PullQuote"/>
      </w:pPr>
      <w:r>
        <w:t xml:space="preserve">  (10) equitable lien;</w:t>
      </w:r>
    </w:p>
    <w:p>
      <w:pPr>
        <w:pStyle w:val="PullQuote"/>
      </w:pPr>
      <w:r>
        <w:t xml:space="preserve">  (11) tracing;</w:t>
      </w:r>
    </w:p>
    <w:p>
      <w:pPr>
        <w:pStyle w:val="PullQuote"/>
      </w:pPr>
      <w:r>
        <w:t xml:space="preserve">  (12) rescission, reformation, or conditioning of a transaction;</w:t>
      </w:r>
    </w:p>
    <w:p>
      <w:pPr>
        <w:pStyle w:val="PullQuote"/>
      </w:pPr>
      <w:r>
        <w:t xml:space="preserve">  (13) removal, suspension, recusal, or disqualification of a trustee, officer, employee, agent, contractor, or fiduciary from public trust administration, to the extent permitted by [state constitution] and [state law];</w:t>
      </w:r>
    </w:p>
    <w:p>
      <w:pPr>
        <w:pStyle w:val="PullQuote"/>
      </w:pPr>
      <w:r>
        <w:t xml:space="preserve">  (14) appointment of a special fiduciary, receiver, monitor, master, auditor, or future-beneficiary representative;</w:t>
      </w:r>
    </w:p>
    <w:p>
      <w:pPr>
        <w:pStyle w:val="PullQuote"/>
      </w:pPr>
      <w:r>
        <w:t xml:space="preserve">  (15) approval, modification, or rejection of a remedial plan;</w:t>
      </w:r>
    </w:p>
    <w:p>
      <w:pPr>
        <w:pStyle w:val="PullQuote"/>
      </w:pPr>
      <w:r>
        <w:t xml:space="preserve">  (16) preservation of records;</w:t>
      </w:r>
    </w:p>
    <w:p>
      <w:pPr>
        <w:pStyle w:val="PullQuote"/>
      </w:pPr>
      <w:r>
        <w:t xml:space="preserve">  (17) prospective compliance reporting; and</w:t>
      </w:r>
    </w:p>
    <w:p>
      <w:pPr>
        <w:pStyle w:val="PullQuote"/>
      </w:pPr>
      <w:r>
        <w:t xml:space="preserve">  (18) attorney fees, expert fees, and costs under Section 706.</w:t>
      </w:r>
    </w:p>
    <w:p>
      <w:pPr>
        <w:numPr>
          <w:ilvl w:val="0"/>
          <w:numId w:val="1024"/>
        </w:numPr>
        <w:pStyle w:val="Compact"/>
      </w:pPr>
      <w:r>
        <w:t xml:space="preserve">Remedies under this Section must be tailored to the trust and may not be used to award private damages to a plaintiff.</w:t>
      </w:r>
    </w:p>
    <w:p>
      <w:pPr>
        <w:pStyle w:val="FirstParagraph"/>
      </w:pPr>
      <w:r>
        <w:rPr>
          <w:i/>
        </w:rPr>
        <w:t xml:space="preserve">The problem this fixes.</w:t>
      </w:r>
      <w:r>
        <w:t xml:space="preserve"> </w:t>
      </w:r>
      <w:r>
        <w:t xml:space="preserve">Beneficiaries who win on liability and recover nothing have not enforced a trust; they have written an essay. The equitable arsenal — accounting, surcharge, restoration, disgorgement — has existed at common law for centuries, but procedural barriers have kept courts handing public-trust plaintiffs declarations and little else.</w:t>
      </w:r>
    </w:p>
    <w:p>
      <w:pPr>
        <w:pStyle w:val="BodyText"/>
      </w:pPr>
      <w:r>
        <w:rPr>
          <w:i/>
        </w:rPr>
        <w:t xml:space="preserve">Why it is drafted this way.</w:t>
      </w:r>
      <w:r>
        <w:t xml:space="preserve"> </w:t>
      </w:r>
      <w:r>
        <w:t xml:space="preserve">The menu restates the standard equitable toolkit, and the opening words state the principle behind the whole list: the court may order</w:t>
      </w:r>
      <w:r>
        <w:t xml:space="preserve"> </w:t>
      </w:r>
      <w:r>
        <w:rPr>
          <w:i/>
        </w:rPr>
        <w:t xml:space="preserve">any</w:t>
      </w:r>
      <w:r>
        <w:t xml:space="preserve"> </w:t>
      </w:r>
      <w:r>
        <w:t xml:space="preserve">equitable remedy necessary to enforce the trust — the eighteen named items are illustrations, not a fence. Public trustees get the private trustee’s rulebook, not a gentler public one. Item (13) handles the hard case with honesty: removal of a trustee runs only</w:t>
      </w:r>
      <w:r>
        <w:t xml:space="preserve"> </w:t>
      </w:r>
      <w:r>
        <w:t xml:space="preserve">“</w:t>
      </w:r>
      <w:r>
        <w:t xml:space="preserve">to the extent permitted by</w:t>
      </w:r>
      <w:r>
        <w:t xml:space="preserve">”</w:t>
      </w:r>
      <w:r>
        <w:t xml:space="preserve"> </w:t>
      </w:r>
      <w:r>
        <w:t xml:space="preserve">the state constitution — a statute cannot unseat constitutionally entrenched officers, as where elected officials sit as the trust’s board, and this one does not pretend to. But item (14)’s special fiduciary, receiver, monitor, or master preserves the function: even an unremovable trustee can be made to administer the trust lawfully. And subsection (b) is the discipline that keeps the arsenal honest — every remedy must be tailored to the trust, and none may be converted into private damages.</w:t>
      </w:r>
    </w:p>
    <w:p>
      <w:r>
        <w:pict>
          <v:rect style="width:0;height:1.5pt" o:hralign="center" o:hrstd="t" o:hr="t"/>
        </w:pict>
      </w:r>
    </w:p>
    <w:p>
      <w:pPr>
        <w:pStyle w:val="Heading2"/>
      </w:pPr>
      <w:bookmarkStart w:id="132" w:name="Xbbdd7368d19a4e98a335b7a636dc84673cf61a9"/>
      <w:r>
        <w:t xml:space="preserve">Section 705. Recoveries Belong to the Trust.</w:t>
      </w:r>
      <w:bookmarkEnd w:id="132"/>
    </w:p>
    <w:p>
      <w:pPr>
        <w:pStyle w:val="FirstParagraph"/>
      </w:pPr>
      <w:r>
        <w:rPr>
          <w:i/>
        </w:rPr>
        <w:t xml:space="preserve">From Section 704(a), the restoration remedy:</w:t>
      </w:r>
    </w:p>
    <w:p>
      <w:pPr>
        <w:numPr>
          <w:ilvl w:val="0"/>
          <w:numId w:val="1025"/>
        </w:numPr>
        <w:pStyle w:val="Compact"/>
      </w:pPr>
      <w:r>
        <w:t xml:space="preserve">restoration of money, land, proceeds, income, appreciation, lost income, or other value to the trust;</w:t>
      </w:r>
    </w:p>
    <w:p>
      <w:pPr>
        <w:pStyle w:val="FirstParagraph"/>
      </w:pPr>
      <w:r>
        <w:rPr>
          <w:i/>
        </w:rPr>
        <w:t xml:space="preserve">From Section 705, Recoveries Belong to the Trust — in full:</w:t>
      </w:r>
    </w:p>
    <w:p>
      <w:pPr>
        <w:numPr>
          <w:ilvl w:val="0"/>
          <w:numId w:val="1026"/>
        </w:numPr>
        <w:pStyle w:val="PullQuote"/>
      </w:pPr>
      <w:r>
        <w:t xml:space="preserve">A recovery obtained under this [Act] belongs to the public educational trust whose property, income, proceeds, or rights were affected.</w:t>
      </w:r>
    </w:p>
    <w:p>
      <w:pPr>
        <w:numPr>
          <w:ilvl w:val="0"/>
          <w:numId w:val="1026"/>
        </w:numPr>
        <w:pStyle w:val="PullQuote"/>
      </w:pPr>
      <w:r>
        <w:t xml:space="preserve">A recovery must be restored to trust corpus, trust income, a beneficiary distribution account, or another trust account as the court orders according to the governing trust instrument and existing law.</w:t>
      </w:r>
    </w:p>
    <w:p>
      <w:pPr>
        <w:numPr>
          <w:ilvl w:val="0"/>
          <w:numId w:val="1026"/>
        </w:numPr>
        <w:pStyle w:val="PullQuote"/>
      </w:pPr>
      <w:r>
        <w:t xml:space="preserve">A plaintiff, relator, public officer, attorney, expert, or agency may not receive a percentage of a recovery unless expressly authorized by [state law] and approved by the court as consistent with the trust.</w:t>
      </w:r>
    </w:p>
    <w:p>
      <w:pPr>
        <w:pStyle w:val="FirstParagraph"/>
      </w:pPr>
      <w:r>
        <w:rPr>
          <w:i/>
        </w:rPr>
        <w:t xml:space="preserve">The problem this fixes.</w:t>
      </w:r>
      <w:r>
        <w:t xml:space="preserve"> </w:t>
      </w:r>
      <w:r>
        <w:t xml:space="preserve">Hollow restoration. If a breach discovered decades later costs the trustee only the original sum — no lost income, no lost growth — then breach plus delay is a winning strategy, and the slower the wrongdoer’s lawyers move, the better the deal gets. For a perpetual trust, where breaches can sit undiscovered for a generation, that arithmetic is fatal. And there is a second hollowness behind the first: a recovery that lands in an account the state controls, or that leaks away in percentages to the people who obtained it, restores nothing.</w:t>
      </w:r>
    </w:p>
    <w:p>
      <w:pPr>
        <w:pStyle w:val="BodyText"/>
      </w:pPr>
      <w:r>
        <w:rPr>
          <w:i/>
        </w:rPr>
        <w:t xml:space="preserve">Why it is drafted this way.</w:t>
      </w:r>
      <w:r>
        <w:t xml:space="preserve"> </w:t>
      </w:r>
      <w:r>
        <w:t xml:space="preserve">The restoration remedy names what must come back: not just the money, but the proceeds, the income, the appreciation, and the lost income — the growth the trust would have had if the breach had never happened. Delay therefore adds to the bill instead of shrinking it. Section 705 then closes the circle on where the recovery lands: it belongs to the trust, restored to corpus, income, or a distribution account as the court orders under the trust instrument — and subsection (c) bars the bounty, so no plaintiff, lawyer, expert, or agency takes a percentage without express statutory authority and court approval. This is a key to a door, not a bounty system, and the act says so in terms. One earlier-draft provision did not survive the merge: the first draft fixed the interest measure for restoration at the greater of the trust’s actual rate of return or the statutory judgment rate; the merged act names lost income and appreciation as restorable and leaves the rate to equity. [CONFORM: decide at counsel review whether the greater-of measure returns as a bracketed state option.]</w:t>
      </w:r>
    </w:p>
    <w:p>
      <w:pPr>
        <w:pStyle w:val="BodyText"/>
      </w:pPr>
      <w:r>
        <w:rPr>
          <w:i/>
        </w:rPr>
        <w:t xml:space="preserve">The dials.</w:t>
      </w:r>
      <w:r>
        <w:t xml:space="preserve"> </w:t>
      </w:r>
      <w:r>
        <w:t xml:space="preserve">Whether an enacting state specifies an interest measure for restoration, and the account — corpus, income, or distribution — to which particular recoveries return.</w:t>
      </w:r>
    </w:p>
    <w:p>
      <w:r>
        <w:pict>
          <v:rect style="width:0;height:1.5pt" o:hralign="center" o:hrstd="t" o:hr="t"/>
        </w:pict>
      </w:r>
    </w:p>
    <w:p>
      <w:pPr>
        <w:pStyle w:val="Heading2"/>
      </w:pPr>
      <w:bookmarkStart w:id="133" w:name="X70332adb60a32b206079fdf563d278ee83d8c90"/>
      <w:r>
        <w:t xml:space="preserve">Section 706. Fees, Costs, and No Cost-Shifting Against Good-Faith Beneficiaries.</w:t>
      </w:r>
      <w:bookmarkEnd w:id="133"/>
    </w:p>
    <w:p>
      <w:pPr>
        <w:numPr>
          <w:ilvl w:val="0"/>
          <w:numId w:val="1027"/>
        </w:numPr>
        <w:pStyle w:val="PullQuote"/>
      </w:pPr>
      <w:r>
        <w:t xml:space="preserve">The court may award reasonable attorney fees, expert fees, litigation expenses, and costs to a plaintiff or intervenor whose action confers a substantial benefit on the public educational trust.</w:t>
      </w:r>
    </w:p>
    <w:p>
      <w:pPr>
        <w:numPr>
          <w:ilvl w:val="0"/>
          <w:numId w:val="1027"/>
        </w:numPr>
        <w:pStyle w:val="PullQuote"/>
      </w:pPr>
      <w:r>
        <w:t xml:space="preserve">Fees and costs may be paid:</w:t>
      </w:r>
    </w:p>
    <w:p>
      <w:pPr>
        <w:pStyle w:val="PullQuote"/>
      </w:pPr>
      <w:r>
        <w:t xml:space="preserve">  (1) by a breaching fiduciary or knowing participant, if equity and existing law permit;</w:t>
      </w:r>
    </w:p>
    <w:p>
      <w:pPr>
        <w:pStyle w:val="PullQuote"/>
      </w:pPr>
      <w:r>
        <w:t xml:space="preserve">  (2) from a recovery obtained for the trust, if the court finds that payment will not materially impair the remedial purpose of the recovery;</w:t>
      </w:r>
    </w:p>
    <w:p>
      <w:pPr>
        <w:pStyle w:val="PullQuote"/>
      </w:pPr>
      <w:r>
        <w:t xml:space="preserve">  (3) from a non-trust public source authorized by [state law]; or</w:t>
      </w:r>
    </w:p>
    <w:p>
      <w:pPr>
        <w:pStyle w:val="PullQuote"/>
      </w:pPr>
      <w:r>
        <w:t xml:space="preserve">  (4) from a trust administration account only if permitted by the governing trust instrument, existing law, and court order.</w:t>
      </w:r>
    </w:p>
    <w:p>
      <w:pPr>
        <w:numPr>
          <w:ilvl w:val="0"/>
          <w:numId w:val="1028"/>
        </w:numPr>
        <w:pStyle w:val="Compact"/>
      </w:pPr>
      <w:r>
        <w:t xml:space="preserve">A beneficiary institution, beneficiary representative, future-beneficiary representative, or member organization bringing an action in good faith for relief to the trust may not be required to post a bond and may not be charged with the state trustee’s fees, costs, or expenses unless the court finds the action was frivolous, brought in bad faith, or brought for an improper purpose.</w:t>
      </w:r>
    </w:p>
    <w:p>
      <w:pPr>
        <w:pStyle w:val="FirstParagraph"/>
      </w:pPr>
      <w:r>
        <w:rPr>
          <w:i/>
        </w:rPr>
        <w:t xml:space="preserve">The problem this fixes.</w:t>
      </w:r>
      <w:r>
        <w:t xml:space="preserve"> </w:t>
      </w:r>
      <w:r>
        <w:t xml:space="preserve">Economic deterrence. A school district weighing a trust suit faces a defendant with effectively free counsel — sometimes paid from the trust itself — plus the risk that a loss means paying the state’s costs too. A rational district declines every time; the price of asking is too high.</w:t>
      </w:r>
    </w:p>
    <w:p>
      <w:pPr>
        <w:pStyle w:val="BodyText"/>
      </w:pPr>
      <w:r>
        <w:rPr>
          <w:i/>
        </w:rPr>
        <w:t xml:space="preserve">Why it is drafted this way.</w:t>
      </w:r>
      <w:r>
        <w:t xml:space="preserve"> </w:t>
      </w:r>
      <w:r>
        <w:t xml:space="preserve">The structure is deliberately one-way, on the pattern of private-attorney-general statutes: a good-faith beneficiary plaintiff never posts a bond and never pays the state’s costs — the only exceptions are the ones no honest plaintiff fears: frivolousness, bad faith, improper purpose — while a plaintiff whose action confers a substantial benefit on the trust may recover its fees, expert costs, and expenses. The payment waterfall in subsection (b) is drafted to protect the trust even in victory: the breaching fiduciary pays first where equity permits; a non-trust public source is available; the recovery itself may pay only where the court finds the remedy will survive the deduction; and trust administration funds only where the trust instrument, existing law, and a court order all allow it. The no-bond rule in (c) matters most in injunction practice, where a required undertaking can price beneficiaries out of the provisional relief that stops a disposition before it closes — which is precisely when stopping it still helps.</w:t>
      </w:r>
    </w:p>
    <w:p>
      <w:pPr>
        <w:pStyle w:val="BodyText"/>
      </w:pPr>
      <w:r>
        <w:rPr>
          <w:i/>
        </w:rPr>
        <w:t xml:space="preserve">The dials.</w:t>
      </w:r>
      <w:r>
        <w:t xml:space="preserve"> </w:t>
      </w:r>
      <w:r>
        <w:t xml:space="preserve">Which payment sources an enacting state authorizes, and how the substantial-benefit standard interacts with the state’s existing fee doctrine.</w:t>
      </w:r>
    </w:p>
    <w:p>
      <w:r>
        <w:pict>
          <v:rect style="width:0;height:1.5pt" o:hralign="center" o:hrstd="t" o:hr="t"/>
        </w:pict>
      </w:r>
    </w:p>
    <w:p>
      <w:pPr>
        <w:pStyle w:val="Heading2"/>
      </w:pPr>
      <w:bookmarkStart w:id="134" w:name="section-707.-settlements-and-releases."/>
      <w:r>
        <w:t xml:space="preserve">Section 707. Settlements and Releases.</w:t>
      </w:r>
      <w:bookmarkEnd w:id="134"/>
    </w:p>
    <w:p>
      <w:pPr>
        <w:numPr>
          <w:ilvl w:val="0"/>
          <w:numId w:val="1029"/>
        </w:numPr>
        <w:pStyle w:val="PullQuote"/>
      </w:pPr>
      <w:r>
        <w:t xml:space="preserve">A settlement, release, consent decree, or remedial plan resolving a material claim under this [Act] requires court approval if it affects trust corpus, future beneficiaries, a major disposition, or claims for restoration exceeding [$state threshold].</w:t>
      </w:r>
    </w:p>
    <w:p>
      <w:pPr>
        <w:numPr>
          <w:ilvl w:val="0"/>
          <w:numId w:val="1029"/>
        </w:numPr>
        <w:pStyle w:val="PullQuote"/>
      </w:pPr>
      <w:r>
        <w:t xml:space="preserve">The court may approve a settlement only after finding that:</w:t>
      </w:r>
    </w:p>
    <w:p>
      <w:pPr>
        <w:pStyle w:val="PullQuote"/>
      </w:pPr>
      <w:r>
        <w:t xml:space="preserve">  (1) the settlement is fair, reasonable, and faithful to the trust;</w:t>
      </w:r>
    </w:p>
    <w:p>
      <w:pPr>
        <w:pStyle w:val="PullQuote"/>
      </w:pPr>
      <w:r>
        <w:t xml:space="preserve">  (2) beneficiary institutions and beneficiary representatives received adequate notice;</w:t>
      </w:r>
    </w:p>
    <w:p>
      <w:pPr>
        <w:pStyle w:val="PullQuote"/>
      </w:pPr>
      <w:r>
        <w:t xml:space="preserve">  (3) future beneficiaries were adequately represented;</w:t>
      </w:r>
    </w:p>
    <w:p>
      <w:pPr>
        <w:pStyle w:val="PullQuote"/>
      </w:pPr>
      <w:r>
        <w:t xml:space="preserve">  (4) the record includes sufficient accounting and valuation information; and</w:t>
      </w:r>
    </w:p>
    <w:p>
      <w:pPr>
        <w:pStyle w:val="PullQuote"/>
      </w:pPr>
      <w:r>
        <w:t xml:space="preserve">  (5) the settlement directs any recovery to the trust.</w:t>
      </w:r>
    </w:p>
    <w:p>
      <w:pPr>
        <w:numPr>
          <w:ilvl w:val="0"/>
          <w:numId w:val="1030"/>
        </w:numPr>
        <w:pStyle w:val="Compact"/>
      </w:pPr>
      <w:r>
        <w:t xml:space="preserve">A release may not waive unknown claims arising from facts not reasonably disclosed in an accounting, unless the court expressly finds that the release is necessary, narrowly tailored, and consistent with the trust.</w:t>
      </w:r>
    </w:p>
    <w:p>
      <w:pPr>
        <w:pStyle w:val="FirstParagraph"/>
      </w:pPr>
      <w:r>
        <w:rPr>
          <w:i/>
        </w:rPr>
        <w:t xml:space="preserve">The problem this fixes.</w:t>
      </w:r>
      <w:r>
        <w:t xml:space="preserve"> </w:t>
      </w:r>
      <w:r>
        <w:t xml:space="preserve">The quiet settlement. Litigation about a trust can become the breach’s final act: present parties, present lawyers, and present budget pressures resolve a claim on terms that trade away future value — and every signature at the table is satisfied, because the losers are not born yet. A release drafted broadly enough can even waive claims no one at the table knew existed, extinguishing in a paragraph what the accounting article was built to surface.</w:t>
      </w:r>
    </w:p>
    <w:p>
      <w:pPr>
        <w:pStyle w:val="BodyText"/>
      </w:pPr>
      <w:r>
        <w:rPr>
          <w:i/>
        </w:rPr>
        <w:t xml:space="preserve">Why it is drafted this way.</w:t>
      </w:r>
      <w:r>
        <w:t xml:space="preserve"> </w:t>
      </w:r>
      <w:r>
        <w:t xml:space="preserve">Court approval, with findings, is the discipline equity has always applied to settlements that bind the absent — class members, minors, unborn heirs — and the act applies it to the beneficiaries least able to object. The five findings in subsection (b) are the act’s whole architecture in miniature: fairness to the trust, notice to the institutions, real representation for future beneficiaries, an accounting adequate to evaluate the deal, and a recovery that goes to the trust. Subsection (c) is the sleeper provision: a release cannot waive unknown claims arising from facts the trustee never disclosed in an accounting. The trustee cannot buy peace for what it kept hidden — which means the accounting duty and the settlement gate enforce each other.</w:t>
      </w:r>
    </w:p>
    <w:p>
      <w:pPr>
        <w:pStyle w:val="BodyText"/>
      </w:pPr>
      <w:r>
        <w:rPr>
          <w:i/>
        </w:rPr>
        <w:t xml:space="preserve">The dials.</w:t>
      </w:r>
      <w:r>
        <w:t xml:space="preserve"> </w:t>
      </w:r>
      <w:r>
        <w:t xml:space="preserve">The dollar threshold above which a restoration settlement requires court approval.</w:t>
      </w:r>
    </w:p>
    <w:p>
      <w:r>
        <w:pict>
          <v:rect style="width:0;height:1.5pt" o:hralign="center" o:hrstd="t" o:hr="t"/>
        </w:pict>
      </w:r>
    </w:p>
    <w:p>
      <w:pPr>
        <w:pStyle w:val="Heading2"/>
      </w:pPr>
      <w:bookmarkStart w:id="135" w:name="X6d83dd30a375ccee70c3c76d2cdce9f960f7602"/>
      <w:r>
        <w:t xml:space="preserve">Section 801. Required Fiduciary Education.</w:t>
      </w:r>
      <w:bookmarkEnd w:id="135"/>
    </w:p>
    <w:p>
      <w:pPr>
        <w:numPr>
          <w:ilvl w:val="0"/>
          <w:numId w:val="1031"/>
        </w:numPr>
        <w:pStyle w:val="PullQuote"/>
      </w:pPr>
      <w:r>
        <w:t xml:space="preserve">Each state trustee, voting member of a trustee board, trustee-agency director, senior land manager, senior investment officer, chief financial officer, chief legal officer, and other officer or employee with material authority over public trust property shall complete fiduciary education under this Article.</w:t>
      </w:r>
    </w:p>
    <w:p>
      <w:pPr>
        <w:numPr>
          <w:ilvl w:val="0"/>
          <w:numId w:val="1031"/>
        </w:numPr>
        <w:pStyle w:val="PullQuote"/>
      </w:pPr>
      <w:r>
        <w:t xml:space="preserve">A person subject to this Section shall complete:</w:t>
      </w:r>
    </w:p>
    <w:p>
      <w:pPr>
        <w:pStyle w:val="PullQuote"/>
      </w:pPr>
      <w:r>
        <w:t xml:space="preserve">  (1) initial education of at least [six] hours within [90] days after assuming the position; and</w:t>
      </w:r>
    </w:p>
    <w:p>
      <w:pPr>
        <w:pStyle w:val="PullQuote"/>
      </w:pPr>
      <w:r>
        <w:t xml:space="preserve">  (2) continuing education of at least [two] hours each year thereafter.</w:t>
      </w:r>
    </w:p>
    <w:p>
      <w:pPr>
        <w:numPr>
          <w:ilvl w:val="0"/>
          <w:numId w:val="1032"/>
        </w:numPr>
        <w:pStyle w:val="PullQuote"/>
      </w:pPr>
      <w:r>
        <w:t xml:space="preserve">The Independent Enforcement Officer, in consultation with [State Auditor], [state ethics commission], beneficiary institutions, and qualified fiduciary-law educators, shall approve curriculum standards and providers.</w:t>
      </w:r>
    </w:p>
    <w:p>
      <w:pPr>
        <w:numPr>
          <w:ilvl w:val="0"/>
          <w:numId w:val="1032"/>
        </w:numPr>
        <w:pStyle w:val="PullQuote"/>
      </w:pPr>
      <w:r>
        <w:t xml:space="preserve">A person who fails to complete required education may not vote on, approve, or materially participate in a major disposition until the requirement is satisfied.</w:t>
      </w:r>
    </w:p>
    <w:p>
      <w:pPr>
        <w:numPr>
          <w:ilvl w:val="0"/>
          <w:numId w:val="1032"/>
        </w:numPr>
        <w:pStyle w:val="PullQuote"/>
      </w:pPr>
      <w:r>
        <w:t xml:space="preserve">An action taken with the decisive participation of a person barred under subsection (f) is voidable if the failure to complete education materially affected the process or deprived the trust of informed fiduciary judgment.</w:t>
      </w:r>
    </w:p>
    <w:p>
      <w:pPr>
        <w:pStyle w:val="FirstParagraph"/>
      </w:pPr>
      <w:r>
        <w:rPr>
          <w:i/>
        </w:rPr>
        <w:t xml:space="preserve">The problem this fixes.</w:t>
      </w:r>
      <w:r>
        <w:t xml:space="preserve"> </w:t>
      </w:r>
      <w:r>
        <w:t xml:space="preserve">The trustees of school trusts are typically elected constitutional officers — governors, treasurers, secretaries of state — whose trusteeship arrives as an afterthought to the political office they actually ran for. Many serve full terms without ever being told that they are fiduciaries, or what that word obligates them to do. Drift does not require bad actors; it only requires uninstructed ones.</w:t>
      </w:r>
    </w:p>
    <w:p>
      <w:pPr>
        <w:pStyle w:val="BodyText"/>
      </w:pPr>
      <w:r>
        <w:rPr>
          <w:i/>
        </w:rPr>
        <w:t xml:space="preserve">Why it is drafted this way.</w:t>
      </w:r>
      <w:r>
        <w:t xml:space="preserve"> </w:t>
      </w:r>
      <w:r>
        <w:t xml:space="preserve">Once instruction is mandatory and documented,</w:t>
      </w:r>
      <w:r>
        <w:t xml:space="preserve"> </w:t>
      </w:r>
      <w:r>
        <w:t xml:space="preserve">“</w:t>
      </w:r>
      <w:r>
        <w:t xml:space="preserve">I did not understand the trust</w:t>
      </w:r>
      <w:r>
        <w:t xml:space="preserve">”</w:t>
      </w:r>
      <w:r>
        <w:t xml:space="preserve"> </w:t>
      </w:r>
      <w:r>
        <w:t xml:space="preserve">is no longer available. Two design details do quiet work. The curriculum standards and providers are approved by the Independent Enforcement Officer in consultation with auditors, ethics officials, beneficiary institutions, and outside fiduciary-law educators — so the administering agency cannot teach its own litigating positions as settled law — and completion records are published with the annual accounting, name by name. And the sanction has real weight: an untrained official is barred from the trust’s largest decisions — voting on or approving a major disposition — until the education is complete, and a deal pushed through on the decisive participation of a barred official is voidable where the gap actually mattered. The act’s own counsel flag concedes the remedy is politically and legally sensitive, and offers states softer settings — a cure period, a recusal rule, public noncompliance notice, an evidentiary burden. The dial is real; the default is plain: learn the office before exercising its biggest powers.</w:t>
      </w:r>
    </w:p>
    <w:p>
      <w:pPr>
        <w:pStyle w:val="BodyText"/>
      </w:pPr>
      <w:r>
        <w:rPr>
          <w:i/>
        </w:rPr>
        <w:t xml:space="preserve">The dials.</w:t>
      </w:r>
      <w:r>
        <w:t xml:space="preserve"> </w:t>
      </w:r>
      <w:r>
        <w:t xml:space="preserve">The hours and deadlines (the draft brackets six initial hours within ninety days, then two hours yearly), and the sanction design — participation bar plus voidability in the draft; cure period, recusal, public notice, or burden shift as the flagged alternatives.</w:t>
      </w:r>
    </w:p>
    <w:p>
      <w:r>
        <w:pict>
          <v:rect style="width:0;height:1.5pt" o:hralign="center" o:hrstd="t" o:hr="t"/>
        </w:pict>
      </w:r>
    </w:p>
    <w:p>
      <w:pPr>
        <w:pStyle w:val="Heading2"/>
      </w:pPr>
      <w:bookmarkStart w:id="136" w:name="X213f97cb8a4bdcc035033dc9b31307d5b06cea2"/>
      <w:r>
        <w:t xml:space="preserve">Sections 901–903. Periodic Independent Review.</w:t>
      </w:r>
      <w:bookmarkEnd w:id="136"/>
    </w:p>
    <w:p>
      <w:pPr>
        <w:pStyle w:val="FirstParagraph"/>
      </w:pPr>
      <w:r>
        <w:rPr>
          <w:i/>
        </w:rPr>
        <w:t xml:space="preserve">From Section 901, Independent Review Required — subsections (a) and (b):</w:t>
      </w:r>
    </w:p>
    <w:p>
      <w:pPr>
        <w:numPr>
          <w:ilvl w:val="0"/>
          <w:numId w:val="1033"/>
        </w:numPr>
        <w:pStyle w:val="PullQuote"/>
      </w:pPr>
      <w:r>
        <w:t xml:space="preserve">At least once every [five] [ten] years, each public educational trust must undergo an independent fiduciary review.</w:t>
      </w:r>
    </w:p>
    <w:p>
      <w:pPr>
        <w:numPr>
          <w:ilvl w:val="0"/>
          <w:numId w:val="1033"/>
        </w:numPr>
        <w:pStyle w:val="PullQuote"/>
      </w:pPr>
      <w:r>
        <w:t xml:space="preserve">The review must be conducted by [State Auditor] or by an independent reviewer selected through a public procurement process administered by [State Auditor] or another officer independent of the state trustee.</w:t>
      </w:r>
    </w:p>
    <w:p>
      <w:pPr>
        <w:pStyle w:val="FirstParagraph"/>
      </w:pPr>
      <w:r>
        <w:rPr>
          <w:i/>
        </w:rPr>
        <w:t xml:space="preserve">From Section 903, Report, Response, and Corrective Action — in full:</w:t>
      </w:r>
    </w:p>
    <w:p>
      <w:pPr>
        <w:numPr>
          <w:ilvl w:val="0"/>
          <w:numId w:val="1034"/>
        </w:numPr>
        <w:pStyle w:val="PullQuote"/>
      </w:pPr>
      <w:r>
        <w:t xml:space="preserve">The reviewer shall publish a written report with findings, supporting analysis, recommendations, and any identified breaches, risks, or accounting deficiencies.</w:t>
      </w:r>
    </w:p>
    <w:p>
      <w:pPr>
        <w:numPr>
          <w:ilvl w:val="0"/>
          <w:numId w:val="1034"/>
        </w:numPr>
        <w:pStyle w:val="PullQuote"/>
      </w:pPr>
      <w:r>
        <w:t xml:space="preserve">The report must be provided to the state trustee, Independent Enforcement Officer, [Attorney General], [Governor], [Legislature], beneficiary institutions, and the public.</w:t>
      </w:r>
    </w:p>
    <w:p>
      <w:pPr>
        <w:numPr>
          <w:ilvl w:val="0"/>
          <w:numId w:val="1034"/>
        </w:numPr>
        <w:pStyle w:val="PullQuote"/>
      </w:pPr>
      <w:r>
        <w:t xml:space="preserve">Within [90] days after publication, the state trustee shall publish a written response and corrective-action plan.</w:t>
      </w:r>
    </w:p>
    <w:p>
      <w:pPr>
        <w:numPr>
          <w:ilvl w:val="0"/>
          <w:numId w:val="1034"/>
        </w:numPr>
        <w:pStyle w:val="PullQuote"/>
      </w:pPr>
      <w:r>
        <w:t xml:space="preserve">The [Legislature] or [legislative committee] shall hold a public hearing on the report and corrective-action plan within [180] days after publication unless the report contains no material findings.</w:t>
      </w:r>
    </w:p>
    <w:p>
      <w:pPr>
        <w:numPr>
          <w:ilvl w:val="0"/>
          <w:numId w:val="1034"/>
        </w:numPr>
        <w:pStyle w:val="PullQuote"/>
      </w:pPr>
      <w:r>
        <w:t xml:space="preserve">The Independent Enforcement Officer may use the report as a basis for investigation or enforcement.</w:t>
      </w:r>
    </w:p>
    <w:p>
      <w:pPr>
        <w:pStyle w:val="FirstParagraph"/>
      </w:pPr>
      <w:r>
        <w:rPr>
          <w:i/>
        </w:rPr>
        <w:t xml:space="preserve">The problem this fixes.</w:t>
      </w:r>
      <w:r>
        <w:t xml:space="preserve"> </w:t>
      </w:r>
      <w:r>
        <w:t xml:space="preserve">Institutions reviewed only by themselves drift. Nothing dramatic — a purpose bends a few degrees per decade, a revenue stream quietly underperforms — and because no scheduled moment ever forces an outside examination, the drift compounds in the dark. For an institution designed to run forever, slow drift is the most dangerous failure of all, precisely because no single year of it is alarming.</w:t>
      </w:r>
    </w:p>
    <w:p>
      <w:pPr>
        <w:pStyle w:val="BodyText"/>
      </w:pPr>
      <w:r>
        <w:rPr>
          <w:i/>
        </w:rPr>
        <w:t xml:space="preserve">Why it is drafted this way.</w:t>
      </w:r>
      <w:r>
        <w:t xml:space="preserve"> </w:t>
      </w:r>
      <w:r>
        <w:t xml:space="preserve">The review is the scheduled moment. An independent reviewer with conflicts screened by statute; a public report delivered to everyone — trustee, enforcement officer, attorney general, governor, legislature, beneficiary institutions, the public; a trustee response</w:t>
      </w:r>
      <w:r>
        <w:t xml:space="preserve"> </w:t>
      </w:r>
      <w:r>
        <w:rPr>
          <w:i/>
        </w:rPr>
        <w:t xml:space="preserve">with a corrective-action plan</w:t>
      </w:r>
      <w:r>
        <w:t xml:space="preserve"> </w:t>
      </w:r>
      <w:r>
        <w:t xml:space="preserve">within ninety days; a legislative hearing within six months; and an enforcement officer expressly authorized to treat the report as the opening of a case. The scope in Section 902 runs fifteen items deep — the completeness of the accountings, the segregation of corpus and income, disposition and valuation compliance, investment practices and expenses, related-party transactions, the treatment of present against future beneficiaries, and whether the last review’s corrective plan was actually honored. It is the institutional self-comparison trust administrators least enjoy and most need, and the gaps it can surface are staggering. Utah’s permanent school fund grew from roughly $50 million in the early 1990s to about $3.3 to 3.4 billion in 2024 — a roughly sixty-six-fold increase [VERIFY] — driven in large part by governance reforms of exactly the kind a periodic review is designed to surface. A state whose fund crawled while a neighbor’s compounded deserves to see both lines on the same chart, in public, on a schedule.</w:t>
      </w:r>
    </w:p>
    <w:p>
      <w:pPr>
        <w:pStyle w:val="BodyText"/>
      </w:pPr>
      <w:r>
        <w:rPr>
          <w:i/>
        </w:rPr>
        <w:t xml:space="preserve">The dials.</w:t>
      </w:r>
      <w:r>
        <w:t xml:space="preserve"> </w:t>
      </w:r>
      <w:r>
        <w:t xml:space="preserve">The interval — the draft brackets five and ten years, and its own counsel flag states the trade plainly: five is stronger, ten is easier to defend fiscally. Also: who administers the reviewer procurement, and whether the review’s cost is paid from non-trust funds or from trust administration funds only to the extent the trust instrument permits (Section 904).</w:t>
      </w:r>
    </w:p>
    <w:p>
      <w:r>
        <w:pict>
          <v:rect style="width:0;height:1.5pt" o:hralign="center" o:hrstd="t" o:hr="t"/>
        </w:pict>
      </w:r>
    </w:p>
    <w:p>
      <w:pPr>
        <w:pStyle w:val="Heading2"/>
      </w:pPr>
      <w:bookmarkStart w:id="137" w:name="X1d507db2b9bcd8b9f509503402e0c83b109e7f1"/>
      <w:r>
        <w:t xml:space="preserve">Section 1004. Transition — the application rule.</w:t>
      </w:r>
      <w:bookmarkEnd w:id="137"/>
    </w:p>
    <w:p>
      <w:pPr>
        <w:numPr>
          <w:ilvl w:val="0"/>
          <w:numId w:val="1035"/>
        </w:numPr>
        <w:pStyle w:val="PullQuote"/>
      </w:pPr>
      <w:r>
        <w:t xml:space="preserve">This [Act] applies to actions filed on or after the effective date and to ongoing administration of public educational trusts. It does not reopen a final judgment entered before the effective date.</w:t>
      </w:r>
    </w:p>
    <w:p>
      <w:pPr>
        <w:numPr>
          <w:ilvl w:val="0"/>
          <w:numId w:val="1035"/>
        </w:numPr>
        <w:pStyle w:val="PullQuote"/>
      </w:pPr>
      <w:r>
        <w:t xml:space="preserve">For conduct predating the effective date, this [Act] supplies forum, procedure, accounting, representation, and remedies to the extent the underlying fiduciary duty existed when the conduct occurred and the claim is not barred by a final judgment.</w:t>
      </w:r>
    </w:p>
    <w:p>
      <w:pPr>
        <w:pStyle w:val="FirstParagraph"/>
      </w:pPr>
      <w:r>
        <w:rPr>
          <w:i/>
        </w:rPr>
        <w:t xml:space="preserve">The problem this fixes.</w:t>
      </w:r>
      <w:r>
        <w:t xml:space="preserve"> </w:t>
      </w:r>
      <w:r>
        <w:t xml:space="preserve">An act that applied only to future conduct would quietly ratify the past — and the breaches that most need a remedy have, by definition, already happened. A clumsy retroactivity clause, though, would hand opponents a genuine constitutional objection. These two subsections thread the needle — and operationalize the promise Section 103 made at the front of the act.</w:t>
      </w:r>
    </w:p>
    <w:p>
      <w:pPr>
        <w:pStyle w:val="BodyText"/>
      </w:pPr>
      <w:r>
        <w:rPr>
          <w:i/>
        </w:rPr>
        <w:t xml:space="preserve">Why it is drafted this way.</w:t>
      </w:r>
      <w:r>
        <w:t xml:space="preserve"> </w:t>
      </w:r>
      <w:r>
        <w:t xml:space="preserve">The line they draw is the settled one for remedial legislation. The genuinely new machinery — accounting cycles, disposition procedures, trustee education, scheduled review — phases in prospectively, on the timetable the rest of the section sets. But for conduct that predates the act, subsection (h) supplies what remedial statutes have always been allowed to supply: forum, procedure, accounting, representation, and remedies — conditioned, in terms, on the underlying duty having existed</w:t>
      </w:r>
      <w:r>
        <w:t xml:space="preserve"> </w:t>
      </w:r>
      <w:r>
        <w:rPr>
          <w:i/>
        </w:rPr>
        <w:t xml:space="preserve">when the conduct occurred</w:t>
      </w:r>
      <w:r>
        <w:t xml:space="preserve">. That condition is not a concession; it is the act’s whole theory restated as a timing rule. The duties did exist; Section 103 forbids reading the act as evidence they did not; and subsection (g)’s refusal to reopen final judgments keeps the rule inside the lines courts police most strictly. The act’s own counsel flag marks this as the place opponents will press hardest — arguing that pre-enactment duties are being conceded away — and directs counsel to preserve the no-admission language exactly here.</w:t>
      </w:r>
    </w:p>
    <w:p>
      <w:r>
        <w:pict>
          <v:rect style="width:0;height:1.5pt" o:hralign="center" o:hrstd="t" o:hr="t"/>
        </w:pict>
      </w:r>
    </w:p>
    <w:p>
      <w:pPr>
        <w:pStyle w:val="Heading2"/>
      </w:pPr>
      <w:bookmarkStart w:id="138" w:name="a-closing-word"/>
      <w:r>
        <w:t xml:space="preserve">A closing word</w:t>
      </w:r>
      <w:bookmarkEnd w:id="138"/>
    </w:p>
    <w:p>
      <w:pPr>
        <w:pStyle w:val="FirstParagraph"/>
      </w:pPr>
      <w:r>
        <w:t xml:space="preserve">Eighteen entries; perhaps a third of the act. The rest is the connective tissue a working statute needs — definitions, the savings clause, the design of the Independent Enforcement Officer’s office and its court-appointed alternative, venue, rulemaking, the public schedule of trusts, severability — all covered in the act’s article notes and counsel flags. The test is still the headnote’s two questions:</w:t>
      </w:r>
      <w:r>
        <w:t xml:space="preserve"> </w:t>
      </w:r>
      <w:r>
        <w:rPr>
          <w:i/>
        </w:rPr>
        <w:t xml:space="preserve">is this already my state’s obligation?</w:t>
      </w:r>
      <w:r>
        <w:t xml:space="preserve"> </w:t>
      </w:r>
      <w:r>
        <w:t xml:space="preserve">and</w:t>
      </w:r>
      <w:r>
        <w:t xml:space="preserve"> </w:t>
      </w:r>
      <w:r>
        <w:rPr>
          <w:i/>
        </w:rPr>
        <w:t xml:space="preserve">can my state’s children currently enforce it?</w:t>
      </w:r>
      <w:r>
        <w:t xml:space="preserve"> </w:t>
      </w:r>
      <w:r>
        <w:t xml:space="preserve">The first answer, this book has argued, is yes everywhere. The second, almost everywhere, is no. The distance between those answers is the act.</w:t>
      </w:r>
    </w:p>
    <w:sectPr>
      <w:headerReference w:type="default" r:id="rId9"/>
      <w:footerReference w:type="default" r:id="rId10"/>
      <w:pgSz w:w="8640" w:h="12960"/>
      <w:pgMar w:top="864" w:right="720" w:bottom="864" w:left="864" w:header="576" w:footer="432" w:gutter="14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Palatino Linotype">
    <w:panose1 w:val="02040502050505030304"/>
    <w:charset w:val="00"/>
    <w:family w:val="roman"/>
    <w:pitch w:val="variable"/>
    <w:sig w:usb0="E0000287" w:usb1="40000013" w:usb2="00000000" w:usb3="00000000" w:csb0="0000019F" w:csb1="00000000"/>
  </w:font>
  <w:font w:name="Google Sans Text">
    <w:altName w:val="Calibri"/>
    <w:charset w:val="00"/>
    <w:family w:val="auto"/>
    <w:pitch w:val="default"/>
  </w:font>
  <w:font w:name="Aptos">
    <w:charset w:val="00"/>
    <w:family w:val="swiss"/>
    <w:pitch w:val="variable"/>
    <w:sig w:usb0="20000287" w:usb1="00000003" w:usb2="00000000" w:usb3="00000000" w:csb0="0000019F" w:csb1="00000000"/>
  </w:font>
  <w:font w:name="Source Sans Pro">
    <w:charset w:val="00"/>
    <w:family w:val="swiss"/>
    <w:pitch w:val="variable"/>
    <w:sig w:usb0="600002F7" w:usb1="02000001" w:usb2="00000000" w:usb3="00000000" w:csb0="0000019F" w:csb1="00000000"/>
  </w:font>
  <w:font w:name="Lato">
    <w:charset w:val="00"/>
    <w:family w:val="swiss"/>
    <w:pitch w:val="variable"/>
    <w:sig w:usb0="E10002FF" w:usb1="5000ECFF" w:usb2="00000021" w:usb3="00000000" w:csb0="0000019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http://schemas.openxmlformats.org/wordprocessingml/2006/main" xmlns:r="http://schemas.openxmlformats.org/officeDocument/2006/relationships">
  <w:p>
    <w:pPr>
      <w:pStyle w:val="Footer"/>
      <w:jc w:val="center"/>
      <w:rPr>
        <w:color w:val="595959"/>
        <w:sz w:val="16"/>
      </w:rPr>
    </w:pPr>
    <w:r>
      <w:rPr>
        <w:color w:val="595959"/>
        <w:sz w:val="16"/>
      </w:rPr>
      <w:t xml:space="preserve">Stewards of the Republic — draft v3.1 (UPTEA v2 conformed)</w:t>
    </w:r>
    <w:r>
      <w:rPr>
        <w:color w:val="595959"/>
        <w:sz w:val="16"/>
      </w:rPr>
      <w:fldChar w:fldCharType="begin"/>
    </w:r>
    <w:r>
      <w:rPr>
        <w:color w:val="595959"/>
        <w:sz w:val="16"/>
      </w:rPr>
      <w:instrText xml:space="preserve"> PAGE </w:instrText>
    </w:r>
    <w:r>
      <w:rPr>
        <w:color w:val="595959"/>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pStyle w:val="Header"/>
      <w:jc w:val="center"/>
      <w:rPr>
        <w:i/>
        <w:color w:val="595959"/>
        <w:sz w:val="18"/>
      </w:rPr>
    </w:pPr>
    <w:r>
      <w:rPr>
        <w:i/>
        <w:color w:val="595959"/>
        <w:sz w:val="18"/>
      </w:rPr>
      <w:t xml:space="preserve">STEWARDS OF THE REPUBLIC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3489"/>
    <w:multiLevelType w:val="multilevel"/>
    <w:tmpl w:val="6E787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225A4"/>
    <w:multiLevelType w:val="multilevel"/>
    <w:tmpl w:val="66C4CAE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2B46019"/>
    <w:multiLevelType w:val="multilevel"/>
    <w:tmpl w:val="B3E62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F499E"/>
    <w:multiLevelType w:val="multilevel"/>
    <w:tmpl w:val="D098E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973402"/>
    <w:multiLevelType w:val="multilevel"/>
    <w:tmpl w:val="D7488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7569F0"/>
    <w:multiLevelType w:val="multilevel"/>
    <w:tmpl w:val="CBF05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E41006"/>
    <w:multiLevelType w:val="multilevel"/>
    <w:tmpl w:val="D8D2A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0D20AD"/>
    <w:multiLevelType w:val="multilevel"/>
    <w:tmpl w:val="6776A79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07126A7A"/>
    <w:multiLevelType w:val="hybridMultilevel"/>
    <w:tmpl w:val="41AE44A6"/>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9" w15:restartNumberingAfterBreak="0">
    <w:nsid w:val="078640D5"/>
    <w:multiLevelType w:val="multilevel"/>
    <w:tmpl w:val="C4A8D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9327AC"/>
    <w:multiLevelType w:val="multilevel"/>
    <w:tmpl w:val="45C85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D914CD"/>
    <w:multiLevelType w:val="multilevel"/>
    <w:tmpl w:val="5590D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E44A82"/>
    <w:multiLevelType w:val="multilevel"/>
    <w:tmpl w:val="21808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8F83062"/>
    <w:multiLevelType w:val="hybridMultilevel"/>
    <w:tmpl w:val="A17ED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9467879"/>
    <w:multiLevelType w:val="multilevel"/>
    <w:tmpl w:val="2732E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CC01CD"/>
    <w:multiLevelType w:val="multilevel"/>
    <w:tmpl w:val="732860E8"/>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A993E95"/>
    <w:multiLevelType w:val="multilevel"/>
    <w:tmpl w:val="53881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D707CC"/>
    <w:multiLevelType w:val="multilevel"/>
    <w:tmpl w:val="BAB0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3F1236"/>
    <w:multiLevelType w:val="multilevel"/>
    <w:tmpl w:val="8CD68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035787"/>
    <w:multiLevelType w:val="multilevel"/>
    <w:tmpl w:val="1A1AD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E0E682D"/>
    <w:multiLevelType w:val="multilevel"/>
    <w:tmpl w:val="93409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E4064F4"/>
    <w:multiLevelType w:val="multilevel"/>
    <w:tmpl w:val="7ED2C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FC23FDF"/>
    <w:multiLevelType w:val="multilevel"/>
    <w:tmpl w:val="3DB26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9D3BAF"/>
    <w:multiLevelType w:val="multilevel"/>
    <w:tmpl w:val="D78E0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A868DF"/>
    <w:multiLevelType w:val="multilevel"/>
    <w:tmpl w:val="F2F66352"/>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12DF3196"/>
    <w:multiLevelType w:val="multilevel"/>
    <w:tmpl w:val="22E03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3206C53"/>
    <w:multiLevelType w:val="multilevel"/>
    <w:tmpl w:val="0AEAF4D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7" w15:restartNumberingAfterBreak="0">
    <w:nsid w:val="13706FC4"/>
    <w:multiLevelType w:val="multilevel"/>
    <w:tmpl w:val="1B00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A23E40"/>
    <w:multiLevelType w:val="multilevel"/>
    <w:tmpl w:val="B770D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77283A"/>
    <w:multiLevelType w:val="multilevel"/>
    <w:tmpl w:val="E422670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15C273F8"/>
    <w:multiLevelType w:val="multilevel"/>
    <w:tmpl w:val="9EFCB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5E100FB"/>
    <w:multiLevelType w:val="multilevel"/>
    <w:tmpl w:val="A132A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FB1EDA"/>
    <w:multiLevelType w:val="multilevel"/>
    <w:tmpl w:val="812E5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3262E5"/>
    <w:multiLevelType w:val="multilevel"/>
    <w:tmpl w:val="91E8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353F6B"/>
    <w:multiLevelType w:val="multilevel"/>
    <w:tmpl w:val="617A1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95C0BD3"/>
    <w:multiLevelType w:val="multilevel"/>
    <w:tmpl w:val="8228B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D52E58"/>
    <w:multiLevelType w:val="multilevel"/>
    <w:tmpl w:val="3280C7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4"/>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65385D"/>
    <w:multiLevelType w:val="multilevel"/>
    <w:tmpl w:val="EA2C1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A7F2A8E"/>
    <w:multiLevelType w:val="multilevel"/>
    <w:tmpl w:val="811C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C10337"/>
    <w:multiLevelType w:val="multilevel"/>
    <w:tmpl w:val="1C2C3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D6415F"/>
    <w:multiLevelType w:val="multilevel"/>
    <w:tmpl w:val="29B6B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F9261D"/>
    <w:multiLevelType w:val="multilevel"/>
    <w:tmpl w:val="9FC6E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DA7AC5"/>
    <w:multiLevelType w:val="multilevel"/>
    <w:tmpl w:val="6AD61BB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3" w15:restartNumberingAfterBreak="0">
    <w:nsid w:val="20AC10D0"/>
    <w:multiLevelType w:val="multilevel"/>
    <w:tmpl w:val="61EC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146409A"/>
    <w:multiLevelType w:val="multilevel"/>
    <w:tmpl w:val="12F46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1BA25DE"/>
    <w:multiLevelType w:val="multilevel"/>
    <w:tmpl w:val="E272F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70510C"/>
    <w:multiLevelType w:val="multilevel"/>
    <w:tmpl w:val="DF4CE3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821C6A"/>
    <w:multiLevelType w:val="multilevel"/>
    <w:tmpl w:val="AE3E3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0E10B7"/>
    <w:multiLevelType w:val="multilevel"/>
    <w:tmpl w:val="E2D24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40C0EE5"/>
    <w:multiLevelType w:val="multilevel"/>
    <w:tmpl w:val="49BE4A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256B211C"/>
    <w:multiLevelType w:val="multilevel"/>
    <w:tmpl w:val="D5B046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582382B"/>
    <w:multiLevelType w:val="multilevel"/>
    <w:tmpl w:val="F7065F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 w15:restartNumberingAfterBreak="0">
    <w:nsid w:val="25851C1C"/>
    <w:multiLevelType w:val="multilevel"/>
    <w:tmpl w:val="28E06B8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3" w15:restartNumberingAfterBreak="0">
    <w:nsid w:val="258A4C0E"/>
    <w:multiLevelType w:val="multilevel"/>
    <w:tmpl w:val="EED85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5EB65F7"/>
    <w:multiLevelType w:val="multilevel"/>
    <w:tmpl w:val="E36AE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703633F"/>
    <w:multiLevelType w:val="multilevel"/>
    <w:tmpl w:val="528C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F233F9"/>
    <w:multiLevelType w:val="multilevel"/>
    <w:tmpl w:val="37926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82D7BEA"/>
    <w:multiLevelType w:val="multilevel"/>
    <w:tmpl w:val="46D00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8434A80"/>
    <w:multiLevelType w:val="multilevel"/>
    <w:tmpl w:val="B56ED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8916CB1"/>
    <w:multiLevelType w:val="multilevel"/>
    <w:tmpl w:val="2220B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AEF5880"/>
    <w:multiLevelType w:val="multilevel"/>
    <w:tmpl w:val="040A4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B5B0E77"/>
    <w:multiLevelType w:val="multilevel"/>
    <w:tmpl w:val="3D56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BD547BE"/>
    <w:multiLevelType w:val="multilevel"/>
    <w:tmpl w:val="EC0C0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BF04CA4"/>
    <w:multiLevelType w:val="multilevel"/>
    <w:tmpl w:val="0C2653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C1A0AE9"/>
    <w:multiLevelType w:val="multilevel"/>
    <w:tmpl w:val="6CB28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C67257F"/>
    <w:multiLevelType w:val="multilevel"/>
    <w:tmpl w:val="4724804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6" w15:restartNumberingAfterBreak="0">
    <w:nsid w:val="2D4E486A"/>
    <w:multiLevelType w:val="multilevel"/>
    <w:tmpl w:val="83F02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D6B1191"/>
    <w:multiLevelType w:val="multilevel"/>
    <w:tmpl w:val="38D46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D886EAD"/>
    <w:multiLevelType w:val="multilevel"/>
    <w:tmpl w:val="5764F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DC22A7D"/>
    <w:multiLevelType w:val="multilevel"/>
    <w:tmpl w:val="52B0A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DC356F8"/>
    <w:multiLevelType w:val="multilevel"/>
    <w:tmpl w:val="855C9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E007F60"/>
    <w:multiLevelType w:val="multilevel"/>
    <w:tmpl w:val="CB506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E0D726E"/>
    <w:multiLevelType w:val="multilevel"/>
    <w:tmpl w:val="91747C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3" w15:restartNumberingAfterBreak="0">
    <w:nsid w:val="2E9423C8"/>
    <w:multiLevelType w:val="multilevel"/>
    <w:tmpl w:val="BD48E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EB63878"/>
    <w:multiLevelType w:val="multilevel"/>
    <w:tmpl w:val="3F52B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F24471D"/>
    <w:multiLevelType w:val="multilevel"/>
    <w:tmpl w:val="ACA4A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F772FCA"/>
    <w:multiLevelType w:val="multilevel"/>
    <w:tmpl w:val="4C9A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0EF0700"/>
    <w:multiLevelType w:val="multilevel"/>
    <w:tmpl w:val="6532C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1542B99"/>
    <w:multiLevelType w:val="multilevel"/>
    <w:tmpl w:val="A5E4B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214752D"/>
    <w:multiLevelType w:val="multilevel"/>
    <w:tmpl w:val="0544756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0" w15:restartNumberingAfterBreak="0">
    <w:nsid w:val="32D96254"/>
    <w:multiLevelType w:val="multilevel"/>
    <w:tmpl w:val="DF067CA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1" w15:restartNumberingAfterBreak="0">
    <w:nsid w:val="32F22D74"/>
    <w:multiLevelType w:val="multilevel"/>
    <w:tmpl w:val="F5545000"/>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33357C3"/>
    <w:multiLevelType w:val="multilevel"/>
    <w:tmpl w:val="13167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341054F"/>
    <w:multiLevelType w:val="multilevel"/>
    <w:tmpl w:val="9B7A3C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4072499"/>
    <w:multiLevelType w:val="multilevel"/>
    <w:tmpl w:val="922E992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5" w15:restartNumberingAfterBreak="0">
    <w:nsid w:val="34887E3E"/>
    <w:multiLevelType w:val="multilevel"/>
    <w:tmpl w:val="C99AB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51C418F"/>
    <w:multiLevelType w:val="multilevel"/>
    <w:tmpl w:val="BA8C0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5AA772E"/>
    <w:multiLevelType w:val="multilevel"/>
    <w:tmpl w:val="EC3E9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5C05556"/>
    <w:multiLevelType w:val="multilevel"/>
    <w:tmpl w:val="172EA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69D734E"/>
    <w:multiLevelType w:val="multilevel"/>
    <w:tmpl w:val="9ABA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6F50B74"/>
    <w:multiLevelType w:val="multilevel"/>
    <w:tmpl w:val="557E1C08"/>
    <w:lvl w:ilvl="0">
      <w:start w:val="1"/>
      <w:numFmt w:val="bullet"/>
      <w:pStyle w:val="Box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7B43038"/>
    <w:multiLevelType w:val="multilevel"/>
    <w:tmpl w:val="0B74D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8096A17"/>
    <w:multiLevelType w:val="multilevel"/>
    <w:tmpl w:val="6BD8A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8711365"/>
    <w:multiLevelType w:val="multilevel"/>
    <w:tmpl w:val="5FE4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8891BE5"/>
    <w:multiLevelType w:val="multilevel"/>
    <w:tmpl w:val="896C5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A2D0C0F"/>
    <w:multiLevelType w:val="multilevel"/>
    <w:tmpl w:val="B20C208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6" w15:restartNumberingAfterBreak="0">
    <w:nsid w:val="3B6D768D"/>
    <w:multiLevelType w:val="multilevel"/>
    <w:tmpl w:val="B5DC7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BB54721"/>
    <w:multiLevelType w:val="multilevel"/>
    <w:tmpl w:val="1C6225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8" w15:restartNumberingAfterBreak="0">
    <w:nsid w:val="3BC53099"/>
    <w:multiLevelType w:val="multilevel"/>
    <w:tmpl w:val="4E0CB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BCB20FE"/>
    <w:multiLevelType w:val="multilevel"/>
    <w:tmpl w:val="10307388"/>
    <w:lvl w:ilvl="0">
      <w:start w:val="1"/>
      <w:numFmt w:val="decimal"/>
      <w:pStyle w:val="BulletNumbeered"/>
      <w:lvlText w:val="%1."/>
      <w:lvlJc w:val="left"/>
      <w:pPr>
        <w:tabs>
          <w:tab w:val="num" w:pos="720"/>
        </w:tabs>
        <w:ind w:left="720" w:hanging="360"/>
      </w:pPr>
      <w:rPr>
        <w:rFonts w:ascii="Palatino Linotype" w:hAnsi="Palatino Linotype" w:hint="default"/>
        <w:color w:val="000000"/>
        <w:sz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C2B06DE"/>
    <w:multiLevelType w:val="hybridMultilevel"/>
    <w:tmpl w:val="DC262F3C"/>
    <w:lvl w:ilvl="0" w:tplc="02E6B3A8">
      <w:numFmt w:val="bullet"/>
      <w:lvlText w:val=""/>
      <w:lvlJc w:val="left"/>
      <w:pPr>
        <w:ind w:left="570" w:hanging="360"/>
      </w:pPr>
      <w:rPr>
        <w:rFonts w:ascii="Wingdings" w:eastAsia="Google Sans Text" w:hAnsi="Wingdings" w:cs="Google Sans Text" w:hint="default"/>
      </w:rPr>
    </w:lvl>
    <w:lvl w:ilvl="1" w:tplc="04090003" w:tentative="1">
      <w:start w:val="1"/>
      <w:numFmt w:val="bullet"/>
      <w:lvlText w:val="o"/>
      <w:lvlJc w:val="left"/>
      <w:pPr>
        <w:ind w:left="1290" w:hanging="360"/>
      </w:pPr>
      <w:rPr>
        <w:rFonts w:ascii="Courier New" w:hAnsi="Courier New" w:cs="Courier New" w:hint="default"/>
      </w:rPr>
    </w:lvl>
    <w:lvl w:ilvl="2" w:tplc="04090005" w:tentative="1">
      <w:start w:val="1"/>
      <w:numFmt w:val="bullet"/>
      <w:lvlText w:val=""/>
      <w:lvlJc w:val="left"/>
      <w:pPr>
        <w:ind w:left="2010" w:hanging="360"/>
      </w:pPr>
      <w:rPr>
        <w:rFonts w:ascii="Wingdings" w:hAnsi="Wingdings" w:hint="default"/>
      </w:rPr>
    </w:lvl>
    <w:lvl w:ilvl="3" w:tplc="04090001" w:tentative="1">
      <w:start w:val="1"/>
      <w:numFmt w:val="bullet"/>
      <w:lvlText w:val=""/>
      <w:lvlJc w:val="left"/>
      <w:pPr>
        <w:ind w:left="2730" w:hanging="360"/>
      </w:pPr>
      <w:rPr>
        <w:rFonts w:ascii="Symbol" w:hAnsi="Symbol" w:hint="default"/>
      </w:rPr>
    </w:lvl>
    <w:lvl w:ilvl="4" w:tplc="04090003" w:tentative="1">
      <w:start w:val="1"/>
      <w:numFmt w:val="bullet"/>
      <w:lvlText w:val="o"/>
      <w:lvlJc w:val="left"/>
      <w:pPr>
        <w:ind w:left="3450" w:hanging="360"/>
      </w:pPr>
      <w:rPr>
        <w:rFonts w:ascii="Courier New" w:hAnsi="Courier New" w:cs="Courier New" w:hint="default"/>
      </w:rPr>
    </w:lvl>
    <w:lvl w:ilvl="5" w:tplc="04090005" w:tentative="1">
      <w:start w:val="1"/>
      <w:numFmt w:val="bullet"/>
      <w:lvlText w:val=""/>
      <w:lvlJc w:val="left"/>
      <w:pPr>
        <w:ind w:left="4170" w:hanging="360"/>
      </w:pPr>
      <w:rPr>
        <w:rFonts w:ascii="Wingdings" w:hAnsi="Wingdings" w:hint="default"/>
      </w:rPr>
    </w:lvl>
    <w:lvl w:ilvl="6" w:tplc="04090001" w:tentative="1">
      <w:start w:val="1"/>
      <w:numFmt w:val="bullet"/>
      <w:lvlText w:val=""/>
      <w:lvlJc w:val="left"/>
      <w:pPr>
        <w:ind w:left="4890" w:hanging="360"/>
      </w:pPr>
      <w:rPr>
        <w:rFonts w:ascii="Symbol" w:hAnsi="Symbol" w:hint="default"/>
      </w:rPr>
    </w:lvl>
    <w:lvl w:ilvl="7" w:tplc="04090003" w:tentative="1">
      <w:start w:val="1"/>
      <w:numFmt w:val="bullet"/>
      <w:lvlText w:val="o"/>
      <w:lvlJc w:val="left"/>
      <w:pPr>
        <w:ind w:left="5610" w:hanging="360"/>
      </w:pPr>
      <w:rPr>
        <w:rFonts w:ascii="Courier New" w:hAnsi="Courier New" w:cs="Courier New" w:hint="default"/>
      </w:rPr>
    </w:lvl>
    <w:lvl w:ilvl="8" w:tplc="04090005" w:tentative="1">
      <w:start w:val="1"/>
      <w:numFmt w:val="bullet"/>
      <w:lvlText w:val=""/>
      <w:lvlJc w:val="left"/>
      <w:pPr>
        <w:ind w:left="6330" w:hanging="360"/>
      </w:pPr>
      <w:rPr>
        <w:rFonts w:ascii="Wingdings" w:hAnsi="Wingdings" w:hint="default"/>
      </w:rPr>
    </w:lvl>
  </w:abstractNum>
  <w:abstractNum w:abstractNumId="101" w15:restartNumberingAfterBreak="0">
    <w:nsid w:val="3C555179"/>
    <w:multiLevelType w:val="multilevel"/>
    <w:tmpl w:val="CD249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C704ADB"/>
    <w:multiLevelType w:val="multilevel"/>
    <w:tmpl w:val="E534B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C82108F"/>
    <w:multiLevelType w:val="multilevel"/>
    <w:tmpl w:val="CA20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DCD2D9E"/>
    <w:multiLevelType w:val="multilevel"/>
    <w:tmpl w:val="8EA0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EB306FC"/>
    <w:multiLevelType w:val="multilevel"/>
    <w:tmpl w:val="64C2C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EC37C2D"/>
    <w:multiLevelType w:val="multilevel"/>
    <w:tmpl w:val="616008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7" w15:restartNumberingAfterBreak="0">
    <w:nsid w:val="401E7C60"/>
    <w:multiLevelType w:val="multilevel"/>
    <w:tmpl w:val="6BB2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0276AA6"/>
    <w:multiLevelType w:val="multilevel"/>
    <w:tmpl w:val="6AACA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0891277"/>
    <w:multiLevelType w:val="multilevel"/>
    <w:tmpl w:val="0DCE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09A090C"/>
    <w:multiLevelType w:val="multilevel"/>
    <w:tmpl w:val="A0067D5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1" w15:restartNumberingAfterBreak="0">
    <w:nsid w:val="41231A37"/>
    <w:multiLevelType w:val="multilevel"/>
    <w:tmpl w:val="D4F2CDD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2" w15:restartNumberingAfterBreak="0">
    <w:nsid w:val="41BC1395"/>
    <w:multiLevelType w:val="multilevel"/>
    <w:tmpl w:val="BC0EE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2823B80"/>
    <w:multiLevelType w:val="multilevel"/>
    <w:tmpl w:val="B12ECA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4" w15:restartNumberingAfterBreak="0">
    <w:nsid w:val="429B79E7"/>
    <w:multiLevelType w:val="multilevel"/>
    <w:tmpl w:val="AFF84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2DF370F"/>
    <w:multiLevelType w:val="multilevel"/>
    <w:tmpl w:val="14B6D8E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6" w15:restartNumberingAfterBreak="0">
    <w:nsid w:val="430312F6"/>
    <w:multiLevelType w:val="multilevel"/>
    <w:tmpl w:val="274CD1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7" w15:restartNumberingAfterBreak="0">
    <w:nsid w:val="439310B2"/>
    <w:multiLevelType w:val="multilevel"/>
    <w:tmpl w:val="45AC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4313B65"/>
    <w:multiLevelType w:val="multilevel"/>
    <w:tmpl w:val="7D70C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4386BF3"/>
    <w:multiLevelType w:val="multilevel"/>
    <w:tmpl w:val="546C0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5A177C8"/>
    <w:multiLevelType w:val="multilevel"/>
    <w:tmpl w:val="ECBEB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5A35442"/>
    <w:multiLevelType w:val="multilevel"/>
    <w:tmpl w:val="7474ED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2" w15:restartNumberingAfterBreak="0">
    <w:nsid w:val="473A371D"/>
    <w:multiLevelType w:val="multilevel"/>
    <w:tmpl w:val="19E27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76D7637"/>
    <w:multiLevelType w:val="multilevel"/>
    <w:tmpl w:val="D708E61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4" w15:restartNumberingAfterBreak="0">
    <w:nsid w:val="477D53A2"/>
    <w:multiLevelType w:val="multilevel"/>
    <w:tmpl w:val="63ECA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7D87F39"/>
    <w:multiLevelType w:val="multilevel"/>
    <w:tmpl w:val="F9CA4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89241BE"/>
    <w:multiLevelType w:val="multilevel"/>
    <w:tmpl w:val="8A98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8D8594D"/>
    <w:multiLevelType w:val="multilevel"/>
    <w:tmpl w:val="3C808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49D7063B"/>
    <w:multiLevelType w:val="multilevel"/>
    <w:tmpl w:val="729437E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9" w15:restartNumberingAfterBreak="0">
    <w:nsid w:val="49F03E6A"/>
    <w:multiLevelType w:val="multilevel"/>
    <w:tmpl w:val="3496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A05674B"/>
    <w:multiLevelType w:val="multilevel"/>
    <w:tmpl w:val="000050B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1" w15:restartNumberingAfterBreak="0">
    <w:nsid w:val="4B51181A"/>
    <w:multiLevelType w:val="multilevel"/>
    <w:tmpl w:val="903612D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2" w15:restartNumberingAfterBreak="0">
    <w:nsid w:val="4B6076AA"/>
    <w:multiLevelType w:val="multilevel"/>
    <w:tmpl w:val="44A6F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BCD2E3D"/>
    <w:multiLevelType w:val="multilevel"/>
    <w:tmpl w:val="243A2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C841C46"/>
    <w:multiLevelType w:val="multilevel"/>
    <w:tmpl w:val="DBE44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D1B409F"/>
    <w:multiLevelType w:val="multilevel"/>
    <w:tmpl w:val="9D12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E6135DC"/>
    <w:multiLevelType w:val="multilevel"/>
    <w:tmpl w:val="EAF43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4F401538"/>
    <w:multiLevelType w:val="multilevel"/>
    <w:tmpl w:val="5C3AB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4FDB46EB"/>
    <w:multiLevelType w:val="multilevel"/>
    <w:tmpl w:val="D83E71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9" w15:restartNumberingAfterBreak="0">
    <w:nsid w:val="503D6F2A"/>
    <w:multiLevelType w:val="hybridMultilevel"/>
    <w:tmpl w:val="CD9A09F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0" w15:restartNumberingAfterBreak="0">
    <w:nsid w:val="50771B82"/>
    <w:multiLevelType w:val="multilevel"/>
    <w:tmpl w:val="00A2A02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1" w15:restartNumberingAfterBreak="0">
    <w:nsid w:val="51475281"/>
    <w:multiLevelType w:val="multilevel"/>
    <w:tmpl w:val="E2044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17A0002"/>
    <w:multiLevelType w:val="multilevel"/>
    <w:tmpl w:val="EFBC9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1D477CD"/>
    <w:multiLevelType w:val="multilevel"/>
    <w:tmpl w:val="885258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28A3A5A"/>
    <w:multiLevelType w:val="multilevel"/>
    <w:tmpl w:val="9606E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2960679"/>
    <w:multiLevelType w:val="multilevel"/>
    <w:tmpl w:val="F964F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33B4062"/>
    <w:multiLevelType w:val="multilevel"/>
    <w:tmpl w:val="823843C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7" w15:restartNumberingAfterBreak="0">
    <w:nsid w:val="5374515C"/>
    <w:multiLevelType w:val="multilevel"/>
    <w:tmpl w:val="118A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49E6689"/>
    <w:multiLevelType w:val="multilevel"/>
    <w:tmpl w:val="A5F06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4BA3144"/>
    <w:multiLevelType w:val="multilevel"/>
    <w:tmpl w:val="7946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4F044A2"/>
    <w:multiLevelType w:val="multilevel"/>
    <w:tmpl w:val="5942B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55670DD9"/>
    <w:multiLevelType w:val="multilevel"/>
    <w:tmpl w:val="C044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6594C26"/>
    <w:multiLevelType w:val="multilevel"/>
    <w:tmpl w:val="09765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56F40D0E"/>
    <w:multiLevelType w:val="multilevel"/>
    <w:tmpl w:val="1F3A6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58C84356"/>
    <w:multiLevelType w:val="multilevel"/>
    <w:tmpl w:val="F8A4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9C52E87"/>
    <w:multiLevelType w:val="multilevel"/>
    <w:tmpl w:val="77B25C2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6" w15:restartNumberingAfterBreak="0">
    <w:nsid w:val="5ACE56FB"/>
    <w:multiLevelType w:val="multilevel"/>
    <w:tmpl w:val="39BA1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BAD53A6"/>
    <w:multiLevelType w:val="multilevel"/>
    <w:tmpl w:val="78F025D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8" w15:restartNumberingAfterBreak="0">
    <w:nsid w:val="5CC070F0"/>
    <w:multiLevelType w:val="multilevel"/>
    <w:tmpl w:val="D4404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CD94485"/>
    <w:multiLevelType w:val="multilevel"/>
    <w:tmpl w:val="E612F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5DB25203"/>
    <w:multiLevelType w:val="multilevel"/>
    <w:tmpl w:val="FF6A2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E430B5C"/>
    <w:multiLevelType w:val="multilevel"/>
    <w:tmpl w:val="0A0EF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EC15B4E"/>
    <w:multiLevelType w:val="multilevel"/>
    <w:tmpl w:val="22DC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F16094C"/>
    <w:multiLevelType w:val="multilevel"/>
    <w:tmpl w:val="8E26A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F476DD3"/>
    <w:multiLevelType w:val="multilevel"/>
    <w:tmpl w:val="FC223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F5F0A36"/>
    <w:multiLevelType w:val="multilevel"/>
    <w:tmpl w:val="BFB61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5FD67132"/>
    <w:multiLevelType w:val="multilevel"/>
    <w:tmpl w:val="939C61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7" w15:restartNumberingAfterBreak="0">
    <w:nsid w:val="60126244"/>
    <w:multiLevelType w:val="multilevel"/>
    <w:tmpl w:val="4856A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60846D45"/>
    <w:multiLevelType w:val="multilevel"/>
    <w:tmpl w:val="6E983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60A2725D"/>
    <w:multiLevelType w:val="multilevel"/>
    <w:tmpl w:val="3CFAA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2A63F6A"/>
    <w:multiLevelType w:val="multilevel"/>
    <w:tmpl w:val="05945D9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1" w15:restartNumberingAfterBreak="0">
    <w:nsid w:val="62A80EDA"/>
    <w:multiLevelType w:val="multilevel"/>
    <w:tmpl w:val="008EA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635163EA"/>
    <w:multiLevelType w:val="multilevel"/>
    <w:tmpl w:val="A9F23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357506A"/>
    <w:multiLevelType w:val="multilevel"/>
    <w:tmpl w:val="4F945B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4" w15:restartNumberingAfterBreak="0">
    <w:nsid w:val="638B09D6"/>
    <w:multiLevelType w:val="multilevel"/>
    <w:tmpl w:val="22322FD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5" w15:restartNumberingAfterBreak="0">
    <w:nsid w:val="64C53728"/>
    <w:multiLevelType w:val="multilevel"/>
    <w:tmpl w:val="8576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5095320"/>
    <w:multiLevelType w:val="multilevel"/>
    <w:tmpl w:val="90EE6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568227F"/>
    <w:multiLevelType w:val="multilevel"/>
    <w:tmpl w:val="4DB21D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8" w15:restartNumberingAfterBreak="0">
    <w:nsid w:val="66132AA6"/>
    <w:multiLevelType w:val="multilevel"/>
    <w:tmpl w:val="B90C9A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7A43AFE"/>
    <w:multiLevelType w:val="multilevel"/>
    <w:tmpl w:val="9E8C1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7A867E0"/>
    <w:multiLevelType w:val="multilevel"/>
    <w:tmpl w:val="B4825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68735F5F"/>
    <w:multiLevelType w:val="multilevel"/>
    <w:tmpl w:val="2DE62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8EE44CA"/>
    <w:multiLevelType w:val="multilevel"/>
    <w:tmpl w:val="64C8A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694423F9"/>
    <w:multiLevelType w:val="multilevel"/>
    <w:tmpl w:val="82903C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4" w15:restartNumberingAfterBreak="0">
    <w:nsid w:val="6A5929D9"/>
    <w:multiLevelType w:val="multilevel"/>
    <w:tmpl w:val="6B062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AA45C92"/>
    <w:multiLevelType w:val="multilevel"/>
    <w:tmpl w:val="0E52C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6B270AE9"/>
    <w:multiLevelType w:val="multilevel"/>
    <w:tmpl w:val="9BCC8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B421227"/>
    <w:multiLevelType w:val="multilevel"/>
    <w:tmpl w:val="0974E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6C0B320D"/>
    <w:multiLevelType w:val="multilevel"/>
    <w:tmpl w:val="ADD2FE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9" w15:restartNumberingAfterBreak="0">
    <w:nsid w:val="6D6A3EDD"/>
    <w:multiLevelType w:val="multilevel"/>
    <w:tmpl w:val="CC64BB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0" w15:restartNumberingAfterBreak="0">
    <w:nsid w:val="705C5C3B"/>
    <w:multiLevelType w:val="multilevel"/>
    <w:tmpl w:val="00AE6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7066477D"/>
    <w:multiLevelType w:val="multilevel"/>
    <w:tmpl w:val="A3F8C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11802C8"/>
    <w:multiLevelType w:val="multilevel"/>
    <w:tmpl w:val="8DB03B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1E65512"/>
    <w:multiLevelType w:val="multilevel"/>
    <w:tmpl w:val="A192D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255063F"/>
    <w:multiLevelType w:val="multilevel"/>
    <w:tmpl w:val="97CE2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3294A23"/>
    <w:multiLevelType w:val="multilevel"/>
    <w:tmpl w:val="D3BC5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3E56B79"/>
    <w:multiLevelType w:val="multilevel"/>
    <w:tmpl w:val="1A406078"/>
    <w:lvl w:ilvl="0">
      <w:start w:val="1"/>
      <w:numFmt w:val="decimal"/>
      <w:lvlText w:val="%1."/>
      <w:lvlJc w:val="left"/>
      <w:pPr>
        <w:ind w:left="720" w:hanging="360"/>
      </w:pPr>
    </w:lvl>
    <w:lvl w:ilvl="1">
      <w:start w:val="1"/>
      <w:numFmt w:val="upperLetter"/>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7" w15:restartNumberingAfterBreak="0">
    <w:nsid w:val="750517B4"/>
    <w:multiLevelType w:val="multilevel"/>
    <w:tmpl w:val="0512C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75284068"/>
    <w:multiLevelType w:val="multilevel"/>
    <w:tmpl w:val="1752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5EB7ECE"/>
    <w:multiLevelType w:val="multilevel"/>
    <w:tmpl w:val="F036D8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0" w15:restartNumberingAfterBreak="0">
    <w:nsid w:val="76A27427"/>
    <w:multiLevelType w:val="multilevel"/>
    <w:tmpl w:val="999A4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76AC6782"/>
    <w:multiLevelType w:val="multilevel"/>
    <w:tmpl w:val="43E88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6C53E48"/>
    <w:multiLevelType w:val="multilevel"/>
    <w:tmpl w:val="2FAE9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6D33B8C"/>
    <w:multiLevelType w:val="hybridMultilevel"/>
    <w:tmpl w:val="49D02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77DD3312"/>
    <w:multiLevelType w:val="multilevel"/>
    <w:tmpl w:val="E6BA0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78036894"/>
    <w:multiLevelType w:val="multilevel"/>
    <w:tmpl w:val="A9941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8471EAC"/>
    <w:multiLevelType w:val="multilevel"/>
    <w:tmpl w:val="B47C9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787456D3"/>
    <w:multiLevelType w:val="multilevel"/>
    <w:tmpl w:val="4602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8883C65"/>
    <w:multiLevelType w:val="multilevel"/>
    <w:tmpl w:val="4C78F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789700DA"/>
    <w:multiLevelType w:val="multilevel"/>
    <w:tmpl w:val="9916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92305A9"/>
    <w:multiLevelType w:val="multilevel"/>
    <w:tmpl w:val="9E18A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9365BF8"/>
    <w:multiLevelType w:val="multilevel"/>
    <w:tmpl w:val="EFCC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93708FA"/>
    <w:multiLevelType w:val="multilevel"/>
    <w:tmpl w:val="3C981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94D501E"/>
    <w:multiLevelType w:val="multilevel"/>
    <w:tmpl w:val="BF9E9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9E77127"/>
    <w:multiLevelType w:val="multilevel"/>
    <w:tmpl w:val="65DAE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A4443B6"/>
    <w:multiLevelType w:val="multilevel"/>
    <w:tmpl w:val="AC28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AA73D30"/>
    <w:multiLevelType w:val="multilevel"/>
    <w:tmpl w:val="215E9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B0010AD"/>
    <w:multiLevelType w:val="multilevel"/>
    <w:tmpl w:val="501CB682"/>
    <w:lvl w:ilvl="0">
      <w:start w:val="1"/>
      <w:numFmt w:val="bullet"/>
      <w:pStyle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BDB5ACA"/>
    <w:multiLevelType w:val="multilevel"/>
    <w:tmpl w:val="639E36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9" w15:restartNumberingAfterBreak="0">
    <w:nsid w:val="7C7E3B92"/>
    <w:multiLevelType w:val="multilevel"/>
    <w:tmpl w:val="01EAB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7C7F6CDD"/>
    <w:multiLevelType w:val="multilevel"/>
    <w:tmpl w:val="5F2A64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1" w15:restartNumberingAfterBreak="0">
    <w:nsid w:val="7D3D6381"/>
    <w:multiLevelType w:val="multilevel"/>
    <w:tmpl w:val="21680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7F5414AD"/>
    <w:multiLevelType w:val="hybridMultilevel"/>
    <w:tmpl w:val="4496C5C6"/>
    <w:lvl w:ilvl="0" w:tplc="8430AA3C">
      <w:numFmt w:val="bullet"/>
      <w:lvlText w:val=""/>
      <w:lvlJc w:val="left"/>
      <w:pPr>
        <w:ind w:left="720" w:hanging="360"/>
      </w:pPr>
      <w:rPr>
        <w:rFonts w:ascii="Wingdings" w:eastAsia="Google Sans Text" w:hAnsi="Wingdings" w:cs="Google Sans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7FF64CDF"/>
    <w:multiLevelType w:val="multilevel"/>
    <w:tmpl w:val="9B802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731">
    <w:nsid w:val="71315dca"/>
    <w:multiLevelType w:val="multilevel"/>
    <w:lvl w:ilvl="0">
      <w:start w:val="1"/>
      <w:numFmt w:val="lowerLetter"/>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Letter"/>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Letter"/>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Letter"/>
      <w:lvlText w:val="(%9)"/>
      <w:lvlJc w:val="left"/>
      <w:pPr>
        <w:tabs>
          <w:tab w:val="num" w:pos="5760"/>
        </w:tabs>
        <w:ind w:left="6240" w:hanging="480"/>
      </w:pPr>
    </w:lvl>
  </w:abstractNum>
  <w:abstractNum w:abstractNumId="99734">
    <w:nsid w:val="47261bad"/>
    <w:multiLevelType w:val="multilevel"/>
    <w:lvl w:ilvl="0">
      <w:start w:val="4"/>
      <w:numFmt w:val="lowerLetter"/>
      <w:lvlText w:val="(%1)"/>
      <w:lvlJc w:val="left"/>
      <w:pPr>
        <w:tabs>
          <w:tab w:val="num" w:pos="0"/>
        </w:tabs>
        <w:ind w:left="480" w:hanging="480"/>
      </w:pPr>
    </w:lvl>
    <w:lvl w:ilvl="1">
      <w:start w:val="4"/>
      <w:numFmt w:val="lowerLetter"/>
      <w:lvlText w:val="(%2)"/>
      <w:lvlJc w:val="left"/>
      <w:pPr>
        <w:tabs>
          <w:tab w:val="num" w:pos="720"/>
        </w:tabs>
        <w:ind w:left="1200" w:hanging="480"/>
      </w:pPr>
    </w:lvl>
    <w:lvl w:ilvl="2">
      <w:start w:val="4"/>
      <w:numFmt w:val="lowerLetter"/>
      <w:lvlText w:val="(%3)"/>
      <w:lvlJc w:val="left"/>
      <w:pPr>
        <w:tabs>
          <w:tab w:val="num" w:pos="1440"/>
        </w:tabs>
        <w:ind w:left="1920" w:hanging="480"/>
      </w:pPr>
    </w:lvl>
    <w:lvl w:ilvl="3">
      <w:start w:val="4"/>
      <w:numFmt w:val="lowerLetter"/>
      <w:lvlText w:val="(%4)"/>
      <w:lvlJc w:val="left"/>
      <w:pPr>
        <w:tabs>
          <w:tab w:val="num" w:pos="2160"/>
        </w:tabs>
        <w:ind w:left="2640" w:hanging="480"/>
      </w:pPr>
    </w:lvl>
    <w:lvl w:ilvl="4">
      <w:start w:val="4"/>
      <w:numFmt w:val="lowerLetter"/>
      <w:lvlText w:val="(%5)"/>
      <w:lvlJc w:val="left"/>
      <w:pPr>
        <w:tabs>
          <w:tab w:val="num" w:pos="2880"/>
        </w:tabs>
        <w:ind w:left="3360" w:hanging="480"/>
      </w:pPr>
    </w:lvl>
    <w:lvl w:ilvl="5">
      <w:start w:val="4"/>
      <w:numFmt w:val="lowerLetter"/>
      <w:lvlText w:val="(%6)"/>
      <w:lvlJc w:val="left"/>
      <w:pPr>
        <w:tabs>
          <w:tab w:val="num" w:pos="3600"/>
        </w:tabs>
        <w:ind w:left="4080" w:hanging="480"/>
      </w:pPr>
    </w:lvl>
    <w:lvl w:ilvl="6">
      <w:start w:val="4"/>
      <w:numFmt w:val="lowerLetter"/>
      <w:lvlText w:val="(%7)"/>
      <w:lvlJc w:val="left"/>
      <w:pPr>
        <w:tabs>
          <w:tab w:val="num" w:pos="4320"/>
        </w:tabs>
        <w:ind w:left="4800" w:hanging="480"/>
      </w:pPr>
    </w:lvl>
    <w:lvl w:ilvl="7">
      <w:start w:val="4"/>
      <w:numFmt w:val="lowerLetter"/>
      <w:lvlText w:val="(%8)"/>
      <w:lvlJc w:val="left"/>
      <w:pPr>
        <w:tabs>
          <w:tab w:val="num" w:pos="5040"/>
        </w:tabs>
        <w:ind w:left="5520" w:hanging="480"/>
      </w:pPr>
    </w:lvl>
    <w:lvl w:ilvl="8">
      <w:start w:val="4"/>
      <w:numFmt w:val="lowerLetter"/>
      <w:lvlText w:val="(%9)"/>
      <w:lvlJc w:val="left"/>
      <w:pPr>
        <w:tabs>
          <w:tab w:val="num" w:pos="5760"/>
        </w:tabs>
        <w:ind w:left="6240" w:hanging="480"/>
      </w:pPr>
    </w:lvl>
  </w:abstractNum>
  <w:abstractNum w:abstractNumId="99431">
    <w:nsid w:val="b3cbbdee"/>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732">
    <w:nsid w:val="4fbe019a"/>
    <w:multiLevelType w:val="multilevel"/>
    <w:lvl w:ilvl="0">
      <w:start w:val="2"/>
      <w:numFmt w:val="lowerLetter"/>
      <w:lvlText w:val="(%1)"/>
      <w:lvlJc w:val="left"/>
      <w:pPr>
        <w:tabs>
          <w:tab w:val="num" w:pos="0"/>
        </w:tabs>
        <w:ind w:left="480" w:hanging="480"/>
      </w:pPr>
    </w:lvl>
    <w:lvl w:ilvl="1">
      <w:start w:val="2"/>
      <w:numFmt w:val="lowerLetter"/>
      <w:lvlText w:val="(%2)"/>
      <w:lvlJc w:val="left"/>
      <w:pPr>
        <w:tabs>
          <w:tab w:val="num" w:pos="720"/>
        </w:tabs>
        <w:ind w:left="1200" w:hanging="480"/>
      </w:pPr>
    </w:lvl>
    <w:lvl w:ilvl="2">
      <w:start w:val="2"/>
      <w:numFmt w:val="lowerLetter"/>
      <w:lvlText w:val="(%3)"/>
      <w:lvlJc w:val="left"/>
      <w:pPr>
        <w:tabs>
          <w:tab w:val="num" w:pos="1440"/>
        </w:tabs>
        <w:ind w:left="1920" w:hanging="480"/>
      </w:pPr>
    </w:lvl>
    <w:lvl w:ilvl="3">
      <w:start w:val="2"/>
      <w:numFmt w:val="lowerLetter"/>
      <w:lvlText w:val="(%4)"/>
      <w:lvlJc w:val="left"/>
      <w:pPr>
        <w:tabs>
          <w:tab w:val="num" w:pos="2160"/>
        </w:tabs>
        <w:ind w:left="2640" w:hanging="480"/>
      </w:pPr>
    </w:lvl>
    <w:lvl w:ilvl="4">
      <w:start w:val="2"/>
      <w:numFmt w:val="lowerLetter"/>
      <w:lvlText w:val="(%5)"/>
      <w:lvlJc w:val="left"/>
      <w:pPr>
        <w:tabs>
          <w:tab w:val="num" w:pos="2880"/>
        </w:tabs>
        <w:ind w:left="3360" w:hanging="480"/>
      </w:pPr>
    </w:lvl>
    <w:lvl w:ilvl="5">
      <w:start w:val="2"/>
      <w:numFmt w:val="lowerLetter"/>
      <w:lvlText w:val="(%6)"/>
      <w:lvlJc w:val="left"/>
      <w:pPr>
        <w:tabs>
          <w:tab w:val="num" w:pos="3600"/>
        </w:tabs>
        <w:ind w:left="4080" w:hanging="480"/>
      </w:pPr>
    </w:lvl>
    <w:lvl w:ilvl="6">
      <w:start w:val="2"/>
      <w:numFmt w:val="lowerLetter"/>
      <w:lvlText w:val="(%7)"/>
      <w:lvlJc w:val="left"/>
      <w:pPr>
        <w:tabs>
          <w:tab w:val="num" w:pos="4320"/>
        </w:tabs>
        <w:ind w:left="4800" w:hanging="480"/>
      </w:pPr>
    </w:lvl>
    <w:lvl w:ilvl="7">
      <w:start w:val="2"/>
      <w:numFmt w:val="lowerLetter"/>
      <w:lvlText w:val="(%8)"/>
      <w:lvlJc w:val="left"/>
      <w:pPr>
        <w:tabs>
          <w:tab w:val="num" w:pos="5040"/>
        </w:tabs>
        <w:ind w:left="5520" w:hanging="480"/>
      </w:pPr>
    </w:lvl>
    <w:lvl w:ilvl="8">
      <w:start w:val="2"/>
      <w:numFmt w:val="lowerLetter"/>
      <w:lvlText w:val="(%9)"/>
      <w:lvlJc w:val="left"/>
      <w:pPr>
        <w:tabs>
          <w:tab w:val="num" w:pos="5760"/>
        </w:tabs>
        <w:ind w:left="6240" w:hanging="480"/>
      </w:pPr>
    </w:lvl>
  </w:abstractNum>
  <w:abstractNum w:abstractNumId="99436">
    <w:nsid w:val="91a27d85"/>
    <w:multiLevelType w:val="multilevel"/>
    <w:lvl w:ilvl="0">
      <w:start w:val="6"/>
      <w:numFmt w:val="decimal"/>
      <w:lvlText w:val="(%1)"/>
      <w:lvlJc w:val="left"/>
      <w:pPr>
        <w:tabs>
          <w:tab w:val="num" w:pos="0"/>
        </w:tabs>
        <w:ind w:left="480" w:hanging="480"/>
      </w:pPr>
    </w:lvl>
    <w:lvl w:ilvl="1">
      <w:start w:val="6"/>
      <w:numFmt w:val="decimal"/>
      <w:lvlText w:val="(%2)"/>
      <w:lvlJc w:val="left"/>
      <w:pPr>
        <w:tabs>
          <w:tab w:val="num" w:pos="720"/>
        </w:tabs>
        <w:ind w:left="1200" w:hanging="480"/>
      </w:pPr>
    </w:lvl>
    <w:lvl w:ilvl="2">
      <w:start w:val="6"/>
      <w:numFmt w:val="decimal"/>
      <w:lvlText w:val="(%3)"/>
      <w:lvlJc w:val="left"/>
      <w:pPr>
        <w:tabs>
          <w:tab w:val="num" w:pos="1440"/>
        </w:tabs>
        <w:ind w:left="1920" w:hanging="480"/>
      </w:pPr>
    </w:lvl>
    <w:lvl w:ilvl="3">
      <w:start w:val="6"/>
      <w:numFmt w:val="decimal"/>
      <w:lvlText w:val="(%4)"/>
      <w:lvlJc w:val="left"/>
      <w:pPr>
        <w:tabs>
          <w:tab w:val="num" w:pos="2160"/>
        </w:tabs>
        <w:ind w:left="2640" w:hanging="480"/>
      </w:pPr>
    </w:lvl>
    <w:lvl w:ilvl="4">
      <w:start w:val="6"/>
      <w:numFmt w:val="decimal"/>
      <w:lvlText w:val="(%5)"/>
      <w:lvlJc w:val="left"/>
      <w:pPr>
        <w:tabs>
          <w:tab w:val="num" w:pos="2880"/>
        </w:tabs>
        <w:ind w:left="3360" w:hanging="480"/>
      </w:pPr>
    </w:lvl>
    <w:lvl w:ilvl="5">
      <w:start w:val="6"/>
      <w:numFmt w:val="decimal"/>
      <w:lvlText w:val="(%6)"/>
      <w:lvlJc w:val="left"/>
      <w:pPr>
        <w:tabs>
          <w:tab w:val="num" w:pos="3600"/>
        </w:tabs>
        <w:ind w:left="4080" w:hanging="480"/>
      </w:pPr>
    </w:lvl>
    <w:lvl w:ilvl="6">
      <w:start w:val="6"/>
      <w:numFmt w:val="decimal"/>
      <w:lvlText w:val="(%7)"/>
      <w:lvlJc w:val="left"/>
      <w:pPr>
        <w:tabs>
          <w:tab w:val="num" w:pos="4320"/>
        </w:tabs>
        <w:ind w:left="4800" w:hanging="480"/>
      </w:pPr>
    </w:lvl>
    <w:lvl w:ilvl="7">
      <w:start w:val="6"/>
      <w:numFmt w:val="decimal"/>
      <w:lvlText w:val="(%8)"/>
      <w:lvlJc w:val="left"/>
      <w:pPr>
        <w:tabs>
          <w:tab w:val="num" w:pos="5040"/>
        </w:tabs>
        <w:ind w:left="5520" w:hanging="480"/>
      </w:pPr>
    </w:lvl>
    <w:lvl w:ilvl="8">
      <w:start w:val="6"/>
      <w:numFmt w:val="decimal"/>
      <w:lvlText w:val="(%9)"/>
      <w:lvlJc w:val="left"/>
      <w:pPr>
        <w:tabs>
          <w:tab w:val="num" w:pos="5760"/>
        </w:tabs>
        <w:ind w:left="6240" w:hanging="480"/>
      </w:pPr>
    </w:lvl>
  </w:abstractNum>
  <w:abstractNum w:abstractNumId="99733">
    <w:nsid w:val="615f1ed2"/>
    <w:multiLevelType w:val="multilevel"/>
    <w:lvl w:ilvl="0">
      <w:start w:val="3"/>
      <w:numFmt w:val="lowerLetter"/>
      <w:lvlText w:val="(%1)"/>
      <w:lvlJc w:val="left"/>
      <w:pPr>
        <w:tabs>
          <w:tab w:val="num" w:pos="0"/>
        </w:tabs>
        <w:ind w:left="480" w:hanging="480"/>
      </w:pPr>
    </w:lvl>
    <w:lvl w:ilvl="1">
      <w:start w:val="3"/>
      <w:numFmt w:val="lowerLetter"/>
      <w:lvlText w:val="(%2)"/>
      <w:lvlJc w:val="left"/>
      <w:pPr>
        <w:tabs>
          <w:tab w:val="num" w:pos="720"/>
        </w:tabs>
        <w:ind w:left="1200" w:hanging="480"/>
      </w:pPr>
    </w:lvl>
    <w:lvl w:ilvl="2">
      <w:start w:val="3"/>
      <w:numFmt w:val="lowerLetter"/>
      <w:lvlText w:val="(%3)"/>
      <w:lvlJc w:val="left"/>
      <w:pPr>
        <w:tabs>
          <w:tab w:val="num" w:pos="1440"/>
        </w:tabs>
        <w:ind w:left="1920" w:hanging="480"/>
      </w:pPr>
    </w:lvl>
    <w:lvl w:ilvl="3">
      <w:start w:val="3"/>
      <w:numFmt w:val="lowerLetter"/>
      <w:lvlText w:val="(%4)"/>
      <w:lvlJc w:val="left"/>
      <w:pPr>
        <w:tabs>
          <w:tab w:val="num" w:pos="2160"/>
        </w:tabs>
        <w:ind w:left="2640" w:hanging="480"/>
      </w:pPr>
    </w:lvl>
    <w:lvl w:ilvl="4">
      <w:start w:val="3"/>
      <w:numFmt w:val="lowerLetter"/>
      <w:lvlText w:val="(%5)"/>
      <w:lvlJc w:val="left"/>
      <w:pPr>
        <w:tabs>
          <w:tab w:val="num" w:pos="2880"/>
        </w:tabs>
        <w:ind w:left="3360" w:hanging="480"/>
      </w:pPr>
    </w:lvl>
    <w:lvl w:ilvl="5">
      <w:start w:val="3"/>
      <w:numFmt w:val="lowerLetter"/>
      <w:lvlText w:val="(%6)"/>
      <w:lvlJc w:val="left"/>
      <w:pPr>
        <w:tabs>
          <w:tab w:val="num" w:pos="3600"/>
        </w:tabs>
        <w:ind w:left="4080" w:hanging="480"/>
      </w:pPr>
    </w:lvl>
    <w:lvl w:ilvl="6">
      <w:start w:val="3"/>
      <w:numFmt w:val="lowerLetter"/>
      <w:lvlText w:val="(%7)"/>
      <w:lvlJc w:val="left"/>
      <w:pPr>
        <w:tabs>
          <w:tab w:val="num" w:pos="4320"/>
        </w:tabs>
        <w:ind w:left="4800" w:hanging="480"/>
      </w:pPr>
    </w:lvl>
    <w:lvl w:ilvl="7">
      <w:start w:val="3"/>
      <w:numFmt w:val="lowerLetter"/>
      <w:lvlText w:val="(%8)"/>
      <w:lvlJc w:val="left"/>
      <w:pPr>
        <w:tabs>
          <w:tab w:val="num" w:pos="5040"/>
        </w:tabs>
        <w:ind w:left="5520" w:hanging="480"/>
      </w:pPr>
    </w:lvl>
    <w:lvl w:ilvl="8">
      <w:start w:val="3"/>
      <w:numFmt w:val="lowerLetter"/>
      <w:lvlText w:val="(%9)"/>
      <w:lvlJc w:val="left"/>
      <w:pPr>
        <w:tabs>
          <w:tab w:val="num" w:pos="5760"/>
        </w:tabs>
        <w:ind w:left="6240" w:hanging="480"/>
      </w:pPr>
    </w:lvl>
  </w:abstractNum>
  <w:abstractNum w:abstractNumId="99737">
    <w:nsid w:val="238d8174"/>
    <w:multiLevelType w:val="multilevel"/>
    <w:lvl w:ilvl="0">
      <w:start w:val="7"/>
      <w:numFmt w:val="lowerLetter"/>
      <w:lvlText w:val="(%1)"/>
      <w:lvlJc w:val="left"/>
      <w:pPr>
        <w:tabs>
          <w:tab w:val="num" w:pos="0"/>
        </w:tabs>
        <w:ind w:left="480" w:hanging="480"/>
      </w:pPr>
    </w:lvl>
    <w:lvl w:ilvl="1">
      <w:start w:val="7"/>
      <w:numFmt w:val="lowerLetter"/>
      <w:lvlText w:val="(%2)"/>
      <w:lvlJc w:val="left"/>
      <w:pPr>
        <w:tabs>
          <w:tab w:val="num" w:pos="720"/>
        </w:tabs>
        <w:ind w:left="1200" w:hanging="480"/>
      </w:pPr>
    </w:lvl>
    <w:lvl w:ilvl="2">
      <w:start w:val="7"/>
      <w:numFmt w:val="lowerLetter"/>
      <w:lvlText w:val="(%3)"/>
      <w:lvlJc w:val="left"/>
      <w:pPr>
        <w:tabs>
          <w:tab w:val="num" w:pos="1440"/>
        </w:tabs>
        <w:ind w:left="1920" w:hanging="480"/>
      </w:pPr>
    </w:lvl>
    <w:lvl w:ilvl="3">
      <w:start w:val="7"/>
      <w:numFmt w:val="lowerLetter"/>
      <w:lvlText w:val="(%4)"/>
      <w:lvlJc w:val="left"/>
      <w:pPr>
        <w:tabs>
          <w:tab w:val="num" w:pos="2160"/>
        </w:tabs>
        <w:ind w:left="2640" w:hanging="480"/>
      </w:pPr>
    </w:lvl>
    <w:lvl w:ilvl="4">
      <w:start w:val="7"/>
      <w:numFmt w:val="lowerLetter"/>
      <w:lvlText w:val="(%5)"/>
      <w:lvlJc w:val="left"/>
      <w:pPr>
        <w:tabs>
          <w:tab w:val="num" w:pos="2880"/>
        </w:tabs>
        <w:ind w:left="3360" w:hanging="480"/>
      </w:pPr>
    </w:lvl>
    <w:lvl w:ilvl="5">
      <w:start w:val="7"/>
      <w:numFmt w:val="lowerLetter"/>
      <w:lvlText w:val="(%6)"/>
      <w:lvlJc w:val="left"/>
      <w:pPr>
        <w:tabs>
          <w:tab w:val="num" w:pos="3600"/>
        </w:tabs>
        <w:ind w:left="4080" w:hanging="480"/>
      </w:pPr>
    </w:lvl>
    <w:lvl w:ilvl="6">
      <w:start w:val="7"/>
      <w:numFmt w:val="lowerLetter"/>
      <w:lvlText w:val="(%7)"/>
      <w:lvlJc w:val="left"/>
      <w:pPr>
        <w:tabs>
          <w:tab w:val="num" w:pos="4320"/>
        </w:tabs>
        <w:ind w:left="4800" w:hanging="480"/>
      </w:pPr>
    </w:lvl>
    <w:lvl w:ilvl="7">
      <w:start w:val="7"/>
      <w:numFmt w:val="lowerLetter"/>
      <w:lvlText w:val="(%8)"/>
      <w:lvlJc w:val="left"/>
      <w:pPr>
        <w:tabs>
          <w:tab w:val="num" w:pos="5040"/>
        </w:tabs>
        <w:ind w:left="5520" w:hanging="480"/>
      </w:pPr>
    </w:lvl>
    <w:lvl w:ilvl="8">
      <w:start w:val="7"/>
      <w:numFmt w:val="lowerLetter"/>
      <w:lvlText w:val="(%9)"/>
      <w:lvlJc w:val="left"/>
      <w:pPr>
        <w:tabs>
          <w:tab w:val="num" w:pos="5760"/>
        </w:tabs>
        <w:ind w:left="6240" w:hanging="480"/>
      </w:pPr>
    </w:lvl>
  </w:abstractNum>
  <w:num w:numId="1" w16cid:durableId="1747649596">
    <w:abstractNumId w:val="131"/>
  </w:num>
  <w:num w:numId="2" w16cid:durableId="883911778">
    <w:abstractNumId w:val="95"/>
  </w:num>
  <w:num w:numId="3" w16cid:durableId="551618336">
    <w:abstractNumId w:val="84"/>
  </w:num>
  <w:num w:numId="4" w16cid:durableId="1401296210">
    <w:abstractNumId w:val="140"/>
  </w:num>
  <w:num w:numId="5" w16cid:durableId="617958071">
    <w:abstractNumId w:val="26"/>
  </w:num>
  <w:num w:numId="6" w16cid:durableId="1880437804">
    <w:abstractNumId w:val="170"/>
  </w:num>
  <w:num w:numId="7" w16cid:durableId="361174028">
    <w:abstractNumId w:val="52"/>
  </w:num>
  <w:num w:numId="8" w16cid:durableId="1960448749">
    <w:abstractNumId w:val="115"/>
  </w:num>
  <w:num w:numId="9" w16cid:durableId="2098363378">
    <w:abstractNumId w:val="42"/>
  </w:num>
  <w:num w:numId="10" w16cid:durableId="1077435058">
    <w:abstractNumId w:val="157"/>
  </w:num>
  <w:num w:numId="11" w16cid:durableId="327710405">
    <w:abstractNumId w:val="130"/>
  </w:num>
  <w:num w:numId="12" w16cid:durableId="1449854649">
    <w:abstractNumId w:val="65"/>
  </w:num>
  <w:num w:numId="13" w16cid:durableId="167453876">
    <w:abstractNumId w:val="111"/>
  </w:num>
  <w:num w:numId="14" w16cid:durableId="188833294">
    <w:abstractNumId w:val="100"/>
  </w:num>
  <w:num w:numId="15" w16cid:durableId="872885304">
    <w:abstractNumId w:val="190"/>
  </w:num>
  <w:num w:numId="16" w16cid:durableId="229772076">
    <w:abstractNumId w:val="222"/>
  </w:num>
  <w:num w:numId="17" w16cid:durableId="6180342">
    <w:abstractNumId w:val="90"/>
  </w:num>
  <w:num w:numId="18" w16cid:durableId="2035112719">
    <w:abstractNumId w:val="31"/>
  </w:num>
  <w:num w:numId="19" w16cid:durableId="342361198">
    <w:abstractNumId w:val="75"/>
  </w:num>
  <w:num w:numId="20" w16cid:durableId="277031651">
    <w:abstractNumId w:val="109"/>
  </w:num>
  <w:num w:numId="21" w16cid:durableId="720052681">
    <w:abstractNumId w:val="37"/>
  </w:num>
  <w:num w:numId="22" w16cid:durableId="190803654">
    <w:abstractNumId w:val="4"/>
  </w:num>
  <w:num w:numId="23" w16cid:durableId="1334071851">
    <w:abstractNumId w:val="9"/>
  </w:num>
  <w:num w:numId="24" w16cid:durableId="1652640673">
    <w:abstractNumId w:val="195"/>
  </w:num>
  <w:num w:numId="25" w16cid:durableId="456874883">
    <w:abstractNumId w:val="68"/>
  </w:num>
  <w:num w:numId="26" w16cid:durableId="604506644">
    <w:abstractNumId w:val="137"/>
  </w:num>
  <w:num w:numId="27" w16cid:durableId="948010113">
    <w:abstractNumId w:val="148"/>
  </w:num>
  <w:num w:numId="28" w16cid:durableId="205262988">
    <w:abstractNumId w:val="172"/>
  </w:num>
  <w:num w:numId="29" w16cid:durableId="1969043435">
    <w:abstractNumId w:val="62"/>
  </w:num>
  <w:num w:numId="30" w16cid:durableId="631597432">
    <w:abstractNumId w:val="64"/>
  </w:num>
  <w:num w:numId="31" w16cid:durableId="1556429664">
    <w:abstractNumId w:val="221"/>
  </w:num>
  <w:num w:numId="32" w16cid:durableId="632832415">
    <w:abstractNumId w:val="39"/>
  </w:num>
  <w:num w:numId="33" w16cid:durableId="1395003120">
    <w:abstractNumId w:val="76"/>
  </w:num>
  <w:num w:numId="34" w16cid:durableId="34896189">
    <w:abstractNumId w:val="85"/>
  </w:num>
  <w:num w:numId="35" w16cid:durableId="429008878">
    <w:abstractNumId w:val="61"/>
  </w:num>
  <w:num w:numId="36" w16cid:durableId="1528762483">
    <w:abstractNumId w:val="12"/>
  </w:num>
  <w:num w:numId="37" w16cid:durableId="212086747">
    <w:abstractNumId w:val="125"/>
  </w:num>
  <w:num w:numId="38" w16cid:durableId="989136311">
    <w:abstractNumId w:val="175"/>
  </w:num>
  <w:num w:numId="39" w16cid:durableId="1379429444">
    <w:abstractNumId w:val="168"/>
  </w:num>
  <w:num w:numId="40" w16cid:durableId="570581103">
    <w:abstractNumId w:val="82"/>
  </w:num>
  <w:num w:numId="41" w16cid:durableId="890919220">
    <w:abstractNumId w:val="135"/>
  </w:num>
  <w:num w:numId="42" w16cid:durableId="48462462">
    <w:abstractNumId w:val="102"/>
  </w:num>
  <w:num w:numId="43" w16cid:durableId="1520923415">
    <w:abstractNumId w:val="50"/>
  </w:num>
  <w:num w:numId="44" w16cid:durableId="1588686787">
    <w:abstractNumId w:val="211"/>
  </w:num>
  <w:num w:numId="45" w16cid:durableId="393967326">
    <w:abstractNumId w:val="15"/>
  </w:num>
  <w:num w:numId="46" w16cid:durableId="438061699">
    <w:abstractNumId w:val="185"/>
  </w:num>
  <w:num w:numId="47" w16cid:durableId="1190754953">
    <w:abstractNumId w:val="81"/>
  </w:num>
  <w:num w:numId="48" w16cid:durableId="90248742">
    <w:abstractNumId w:val="181"/>
  </w:num>
  <w:num w:numId="49" w16cid:durableId="917178225">
    <w:abstractNumId w:val="165"/>
  </w:num>
  <w:num w:numId="50" w16cid:durableId="396244404">
    <w:abstractNumId w:val="20"/>
  </w:num>
  <w:num w:numId="51" w16cid:durableId="585001513">
    <w:abstractNumId w:val="16"/>
  </w:num>
  <w:num w:numId="52" w16cid:durableId="585965262">
    <w:abstractNumId w:val="169"/>
  </w:num>
  <w:num w:numId="53" w16cid:durableId="685837071">
    <w:abstractNumId w:val="210"/>
  </w:num>
  <w:num w:numId="54" w16cid:durableId="1576474405">
    <w:abstractNumId w:val="104"/>
  </w:num>
  <w:num w:numId="55" w16cid:durableId="633945348">
    <w:abstractNumId w:val="118"/>
  </w:num>
  <w:num w:numId="56" w16cid:durableId="294991950">
    <w:abstractNumId w:val="209"/>
  </w:num>
  <w:num w:numId="57" w16cid:durableId="61804189">
    <w:abstractNumId w:val="122"/>
  </w:num>
  <w:num w:numId="58" w16cid:durableId="1165320625">
    <w:abstractNumId w:val="117"/>
  </w:num>
  <w:num w:numId="59" w16cid:durableId="827089927">
    <w:abstractNumId w:val="25"/>
  </w:num>
  <w:num w:numId="60" w16cid:durableId="2043819265">
    <w:abstractNumId w:val="94"/>
  </w:num>
  <w:num w:numId="61" w16cid:durableId="708606461">
    <w:abstractNumId w:val="63"/>
  </w:num>
  <w:num w:numId="62" w16cid:durableId="1864438336">
    <w:abstractNumId w:val="108"/>
  </w:num>
  <w:num w:numId="63" w16cid:durableId="1345788721">
    <w:abstractNumId w:val="149"/>
  </w:num>
  <w:num w:numId="64" w16cid:durableId="960696726">
    <w:abstractNumId w:val="154"/>
  </w:num>
  <w:num w:numId="65" w16cid:durableId="1873609506">
    <w:abstractNumId w:val="160"/>
  </w:num>
  <w:num w:numId="66" w16cid:durableId="460268879">
    <w:abstractNumId w:val="153"/>
  </w:num>
  <w:num w:numId="67" w16cid:durableId="1858152858">
    <w:abstractNumId w:val="171"/>
  </w:num>
  <w:num w:numId="68" w16cid:durableId="83035268">
    <w:abstractNumId w:val="59"/>
  </w:num>
  <w:num w:numId="69" w16cid:durableId="1764715511">
    <w:abstractNumId w:val="147"/>
  </w:num>
  <w:num w:numId="70" w16cid:durableId="1237745521">
    <w:abstractNumId w:val="58"/>
  </w:num>
  <w:num w:numId="71" w16cid:durableId="669791037">
    <w:abstractNumId w:val="152"/>
  </w:num>
  <w:num w:numId="72" w16cid:durableId="2082557437">
    <w:abstractNumId w:val="18"/>
  </w:num>
  <w:num w:numId="73" w16cid:durableId="1841432104">
    <w:abstractNumId w:val="53"/>
  </w:num>
  <w:num w:numId="74" w16cid:durableId="1948850038">
    <w:abstractNumId w:val="73"/>
  </w:num>
  <w:num w:numId="75" w16cid:durableId="2109884301">
    <w:abstractNumId w:val="129"/>
  </w:num>
  <w:num w:numId="76" w16cid:durableId="1018241483">
    <w:abstractNumId w:val="93"/>
  </w:num>
  <w:num w:numId="77" w16cid:durableId="132062523">
    <w:abstractNumId w:val="34"/>
  </w:num>
  <w:num w:numId="78" w16cid:durableId="1863547834">
    <w:abstractNumId w:val="41"/>
  </w:num>
  <w:num w:numId="79" w16cid:durableId="1831361123">
    <w:abstractNumId w:val="87"/>
  </w:num>
  <w:num w:numId="80" w16cid:durableId="1726299848">
    <w:abstractNumId w:val="150"/>
  </w:num>
  <w:num w:numId="81" w16cid:durableId="1483044302">
    <w:abstractNumId w:val="136"/>
  </w:num>
  <w:num w:numId="82" w16cid:durableId="1479616947">
    <w:abstractNumId w:val="40"/>
  </w:num>
  <w:num w:numId="83" w16cid:durableId="947082019">
    <w:abstractNumId w:val="98"/>
  </w:num>
  <w:num w:numId="84" w16cid:durableId="1303778409">
    <w:abstractNumId w:val="96"/>
  </w:num>
  <w:num w:numId="85" w16cid:durableId="2100783447">
    <w:abstractNumId w:val="69"/>
  </w:num>
  <w:num w:numId="86" w16cid:durableId="70858142">
    <w:abstractNumId w:val="214"/>
  </w:num>
  <w:num w:numId="87" w16cid:durableId="859120519">
    <w:abstractNumId w:val="158"/>
  </w:num>
  <w:num w:numId="88" w16cid:durableId="1476987612">
    <w:abstractNumId w:val="78"/>
  </w:num>
  <w:num w:numId="89" w16cid:durableId="1762141280">
    <w:abstractNumId w:val="141"/>
  </w:num>
  <w:num w:numId="90" w16cid:durableId="1976909139">
    <w:abstractNumId w:val="66"/>
  </w:num>
  <w:num w:numId="91" w16cid:durableId="430398597">
    <w:abstractNumId w:val="223"/>
  </w:num>
  <w:num w:numId="92" w16cid:durableId="1173959403">
    <w:abstractNumId w:val="46"/>
  </w:num>
  <w:num w:numId="93" w16cid:durableId="434906350">
    <w:abstractNumId w:val="28"/>
  </w:num>
  <w:num w:numId="94" w16cid:durableId="662706413">
    <w:abstractNumId w:val="213"/>
  </w:num>
  <w:num w:numId="95" w16cid:durableId="1360276423">
    <w:abstractNumId w:val="14"/>
  </w:num>
  <w:num w:numId="96" w16cid:durableId="599145869">
    <w:abstractNumId w:val="86"/>
  </w:num>
  <w:num w:numId="97" w16cid:durableId="1570654677">
    <w:abstractNumId w:val="119"/>
  </w:num>
  <w:num w:numId="98" w16cid:durableId="362681795">
    <w:abstractNumId w:val="91"/>
  </w:num>
  <w:num w:numId="99" w16cid:durableId="441269114">
    <w:abstractNumId w:val="3"/>
  </w:num>
  <w:num w:numId="100" w16cid:durableId="1562204398">
    <w:abstractNumId w:val="202"/>
  </w:num>
  <w:num w:numId="101" w16cid:durableId="779378611">
    <w:abstractNumId w:val="164"/>
  </w:num>
  <w:num w:numId="102" w16cid:durableId="1784494982">
    <w:abstractNumId w:val="77"/>
  </w:num>
  <w:num w:numId="103" w16cid:durableId="1595743273">
    <w:abstractNumId w:val="124"/>
  </w:num>
  <w:num w:numId="104" w16cid:durableId="273904660">
    <w:abstractNumId w:val="54"/>
  </w:num>
  <w:num w:numId="105" w16cid:durableId="1976182414">
    <w:abstractNumId w:val="204"/>
  </w:num>
  <w:num w:numId="106" w16cid:durableId="1446851035">
    <w:abstractNumId w:val="216"/>
  </w:num>
  <w:num w:numId="107" w16cid:durableId="872379869">
    <w:abstractNumId w:val="191"/>
  </w:num>
  <w:num w:numId="108" w16cid:durableId="1020009137">
    <w:abstractNumId w:val="178"/>
  </w:num>
  <w:num w:numId="109" w16cid:durableId="1810896960">
    <w:abstractNumId w:val="27"/>
  </w:num>
  <w:num w:numId="110" w16cid:durableId="248320358">
    <w:abstractNumId w:val="207"/>
  </w:num>
  <w:num w:numId="111" w16cid:durableId="1000347546">
    <w:abstractNumId w:val="92"/>
  </w:num>
  <w:num w:numId="112" w16cid:durableId="1907837805">
    <w:abstractNumId w:val="60"/>
  </w:num>
  <w:num w:numId="113" w16cid:durableId="1805923039">
    <w:abstractNumId w:val="205"/>
  </w:num>
  <w:num w:numId="114" w16cid:durableId="1767336736">
    <w:abstractNumId w:val="193"/>
  </w:num>
  <w:num w:numId="115" w16cid:durableId="2134669207">
    <w:abstractNumId w:val="17"/>
  </w:num>
  <w:num w:numId="116" w16cid:durableId="727189156">
    <w:abstractNumId w:val="67"/>
  </w:num>
  <w:num w:numId="117" w16cid:durableId="233322434">
    <w:abstractNumId w:val="5"/>
  </w:num>
  <w:num w:numId="118" w16cid:durableId="2063097559">
    <w:abstractNumId w:val="103"/>
  </w:num>
  <w:num w:numId="119" w16cid:durableId="1742799338">
    <w:abstractNumId w:val="88"/>
  </w:num>
  <w:num w:numId="120" w16cid:durableId="1761415645">
    <w:abstractNumId w:val="151"/>
  </w:num>
  <w:num w:numId="121" w16cid:durableId="1687439585">
    <w:abstractNumId w:val="133"/>
  </w:num>
  <w:num w:numId="122" w16cid:durableId="431704298">
    <w:abstractNumId w:val="44"/>
  </w:num>
  <w:num w:numId="123" w16cid:durableId="255482916">
    <w:abstractNumId w:val="208"/>
  </w:num>
  <w:num w:numId="124" w16cid:durableId="1178806444">
    <w:abstractNumId w:val="33"/>
  </w:num>
  <w:num w:numId="125" w16cid:durableId="1847548474">
    <w:abstractNumId w:val="184"/>
  </w:num>
  <w:num w:numId="126" w16cid:durableId="350498717">
    <w:abstractNumId w:val="55"/>
  </w:num>
  <w:num w:numId="127" w16cid:durableId="2145155337">
    <w:abstractNumId w:val="145"/>
  </w:num>
  <w:num w:numId="128" w16cid:durableId="614404026">
    <w:abstractNumId w:val="30"/>
  </w:num>
  <w:num w:numId="129" w16cid:durableId="1205170905">
    <w:abstractNumId w:val="182"/>
  </w:num>
  <w:num w:numId="130" w16cid:durableId="1741444944">
    <w:abstractNumId w:val="197"/>
  </w:num>
  <w:num w:numId="131" w16cid:durableId="122040359">
    <w:abstractNumId w:val="83"/>
  </w:num>
  <w:num w:numId="132" w16cid:durableId="304970797">
    <w:abstractNumId w:val="35"/>
  </w:num>
  <w:num w:numId="133" w16cid:durableId="1755128469">
    <w:abstractNumId w:val="74"/>
  </w:num>
  <w:num w:numId="134" w16cid:durableId="542442443">
    <w:abstractNumId w:val="167"/>
  </w:num>
  <w:num w:numId="135" w16cid:durableId="78409045">
    <w:abstractNumId w:val="194"/>
  </w:num>
  <w:num w:numId="136" w16cid:durableId="383720759">
    <w:abstractNumId w:val="127"/>
  </w:num>
  <w:num w:numId="137" w16cid:durableId="451485696">
    <w:abstractNumId w:val="10"/>
  </w:num>
  <w:num w:numId="138" w16cid:durableId="1803688526">
    <w:abstractNumId w:val="217"/>
  </w:num>
  <w:num w:numId="139" w16cid:durableId="1014577321">
    <w:abstractNumId w:val="180"/>
  </w:num>
  <w:num w:numId="140" w16cid:durableId="387850445">
    <w:abstractNumId w:val="212"/>
  </w:num>
  <w:num w:numId="141" w16cid:durableId="743575082">
    <w:abstractNumId w:val="43"/>
  </w:num>
  <w:num w:numId="142" w16cid:durableId="2039888707">
    <w:abstractNumId w:val="45"/>
  </w:num>
  <w:num w:numId="143" w16cid:durableId="223638892">
    <w:abstractNumId w:val="22"/>
  </w:num>
  <w:num w:numId="144" w16cid:durableId="1260404991">
    <w:abstractNumId w:val="155"/>
  </w:num>
  <w:num w:numId="145" w16cid:durableId="1420831479">
    <w:abstractNumId w:val="138"/>
  </w:num>
  <w:num w:numId="146" w16cid:durableId="604266570">
    <w:abstractNumId w:val="183"/>
  </w:num>
  <w:num w:numId="147" w16cid:durableId="939728177">
    <w:abstractNumId w:val="220"/>
  </w:num>
  <w:num w:numId="148" w16cid:durableId="1851791108">
    <w:abstractNumId w:val="106"/>
  </w:num>
  <w:num w:numId="149" w16cid:durableId="1802646557">
    <w:abstractNumId w:val="110"/>
  </w:num>
  <w:num w:numId="150" w16cid:durableId="61224333">
    <w:abstractNumId w:val="173"/>
  </w:num>
  <w:num w:numId="151" w16cid:durableId="561259417">
    <w:abstractNumId w:val="199"/>
  </w:num>
  <w:num w:numId="152" w16cid:durableId="1758401630">
    <w:abstractNumId w:val="79"/>
  </w:num>
  <w:num w:numId="153" w16cid:durableId="908156862">
    <w:abstractNumId w:val="166"/>
  </w:num>
  <w:num w:numId="154" w16cid:durableId="1323583325">
    <w:abstractNumId w:val="7"/>
  </w:num>
  <w:num w:numId="155" w16cid:durableId="561017569">
    <w:abstractNumId w:val="128"/>
  </w:num>
  <w:num w:numId="156" w16cid:durableId="306250680">
    <w:abstractNumId w:val="113"/>
  </w:num>
  <w:num w:numId="157" w16cid:durableId="142476682">
    <w:abstractNumId w:val="49"/>
  </w:num>
  <w:num w:numId="158" w16cid:durableId="2130510687">
    <w:abstractNumId w:val="146"/>
  </w:num>
  <w:num w:numId="159" w16cid:durableId="1998610819">
    <w:abstractNumId w:val="189"/>
  </w:num>
  <w:num w:numId="160" w16cid:durableId="1897083838">
    <w:abstractNumId w:val="123"/>
  </w:num>
  <w:num w:numId="161" w16cid:durableId="2110814498">
    <w:abstractNumId w:val="72"/>
  </w:num>
  <w:num w:numId="162" w16cid:durableId="306516272">
    <w:abstractNumId w:val="51"/>
  </w:num>
  <w:num w:numId="163" w16cid:durableId="272129454">
    <w:abstractNumId w:val="188"/>
  </w:num>
  <w:num w:numId="164" w16cid:durableId="1988165822">
    <w:abstractNumId w:val="196"/>
  </w:num>
  <w:num w:numId="165" w16cid:durableId="2118671223">
    <w:abstractNumId w:val="116"/>
  </w:num>
  <w:num w:numId="166" w16cid:durableId="1229733423">
    <w:abstractNumId w:val="80"/>
  </w:num>
  <w:num w:numId="167" w16cid:durableId="1898123009">
    <w:abstractNumId w:val="29"/>
  </w:num>
  <w:num w:numId="168" w16cid:durableId="621108653">
    <w:abstractNumId w:val="218"/>
  </w:num>
  <w:num w:numId="169" w16cid:durableId="1759712268">
    <w:abstractNumId w:val="174"/>
  </w:num>
  <w:num w:numId="170" w16cid:durableId="381559796">
    <w:abstractNumId w:val="97"/>
  </w:num>
  <w:num w:numId="171" w16cid:durableId="839583911">
    <w:abstractNumId w:val="24"/>
  </w:num>
  <w:num w:numId="172" w16cid:durableId="638343574">
    <w:abstractNumId w:val="177"/>
  </w:num>
  <w:num w:numId="173" w16cid:durableId="1498114944">
    <w:abstractNumId w:val="121"/>
  </w:num>
  <w:num w:numId="174" w16cid:durableId="282221">
    <w:abstractNumId w:val="1"/>
  </w:num>
  <w:num w:numId="175" w16cid:durableId="795022705">
    <w:abstractNumId w:val="134"/>
  </w:num>
  <w:num w:numId="176" w16cid:durableId="1793330212">
    <w:abstractNumId w:val="219"/>
  </w:num>
  <w:num w:numId="177" w16cid:durableId="1938518194">
    <w:abstractNumId w:val="176"/>
  </w:num>
  <w:num w:numId="178" w16cid:durableId="14890569">
    <w:abstractNumId w:val="159"/>
  </w:num>
  <w:num w:numId="179" w16cid:durableId="591351588">
    <w:abstractNumId w:val="70"/>
  </w:num>
  <w:num w:numId="180" w16cid:durableId="1617181281">
    <w:abstractNumId w:val="23"/>
  </w:num>
  <w:num w:numId="181" w16cid:durableId="614016924">
    <w:abstractNumId w:val="161"/>
  </w:num>
  <w:num w:numId="182" w16cid:durableId="1333292323">
    <w:abstractNumId w:val="142"/>
  </w:num>
  <w:num w:numId="183" w16cid:durableId="615454769">
    <w:abstractNumId w:val="57"/>
  </w:num>
  <w:num w:numId="184" w16cid:durableId="748966063">
    <w:abstractNumId w:val="105"/>
  </w:num>
  <w:num w:numId="185" w16cid:durableId="356273885">
    <w:abstractNumId w:val="11"/>
  </w:num>
  <w:num w:numId="186" w16cid:durableId="1852723124">
    <w:abstractNumId w:val="163"/>
  </w:num>
  <w:num w:numId="187" w16cid:durableId="18120394">
    <w:abstractNumId w:val="206"/>
  </w:num>
  <w:num w:numId="188" w16cid:durableId="230623623">
    <w:abstractNumId w:val="186"/>
  </w:num>
  <w:num w:numId="189" w16cid:durableId="6950476">
    <w:abstractNumId w:val="47"/>
  </w:num>
  <w:num w:numId="190" w16cid:durableId="1227447919">
    <w:abstractNumId w:val="71"/>
  </w:num>
  <w:num w:numId="191" w16cid:durableId="983000034">
    <w:abstractNumId w:val="0"/>
  </w:num>
  <w:num w:numId="192" w16cid:durableId="1565948638">
    <w:abstractNumId w:val="126"/>
  </w:num>
  <w:num w:numId="193" w16cid:durableId="1156800600">
    <w:abstractNumId w:val="179"/>
  </w:num>
  <w:num w:numId="194" w16cid:durableId="1646157175">
    <w:abstractNumId w:val="187"/>
  </w:num>
  <w:num w:numId="195" w16cid:durableId="81727290">
    <w:abstractNumId w:val="89"/>
  </w:num>
  <w:num w:numId="196" w16cid:durableId="187062853">
    <w:abstractNumId w:val="120"/>
  </w:num>
  <w:num w:numId="197" w16cid:durableId="1971010502">
    <w:abstractNumId w:val="192"/>
  </w:num>
  <w:num w:numId="198" w16cid:durableId="910696221">
    <w:abstractNumId w:val="132"/>
  </w:num>
  <w:num w:numId="199" w16cid:durableId="120730720">
    <w:abstractNumId w:val="144"/>
  </w:num>
  <w:num w:numId="200" w16cid:durableId="1640064950">
    <w:abstractNumId w:val="99"/>
  </w:num>
  <w:num w:numId="201" w16cid:durableId="2025741294">
    <w:abstractNumId w:val="13"/>
  </w:num>
  <w:num w:numId="202" w16cid:durableId="1349016807">
    <w:abstractNumId w:val="201"/>
  </w:num>
  <w:num w:numId="203" w16cid:durableId="84571000">
    <w:abstractNumId w:val="1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 w16cid:durableId="508639595">
    <w:abstractNumId w:val="215"/>
  </w:num>
  <w:num w:numId="205" w16cid:durableId="1107703135">
    <w:abstractNumId w:val="6"/>
  </w:num>
  <w:num w:numId="206" w16cid:durableId="618339373">
    <w:abstractNumId w:val="198"/>
  </w:num>
  <w:num w:numId="207" w16cid:durableId="1250888040">
    <w:abstractNumId w:val="32"/>
  </w:num>
  <w:num w:numId="208" w16cid:durableId="1838761143">
    <w:abstractNumId w:val="38"/>
  </w:num>
  <w:num w:numId="209" w16cid:durableId="1559432910">
    <w:abstractNumId w:val="114"/>
  </w:num>
  <w:num w:numId="210" w16cid:durableId="486094217">
    <w:abstractNumId w:val="156"/>
  </w:num>
  <w:num w:numId="211" w16cid:durableId="1979797098">
    <w:abstractNumId w:val="56"/>
  </w:num>
  <w:num w:numId="212" w16cid:durableId="1629314137">
    <w:abstractNumId w:val="21"/>
  </w:num>
  <w:num w:numId="213" w16cid:durableId="1419329223">
    <w:abstractNumId w:val="112"/>
  </w:num>
  <w:num w:numId="214" w16cid:durableId="1961256641">
    <w:abstractNumId w:val="200"/>
  </w:num>
  <w:num w:numId="215" w16cid:durableId="927808271">
    <w:abstractNumId w:val="101"/>
  </w:num>
  <w:num w:numId="216" w16cid:durableId="1905752237">
    <w:abstractNumId w:val="139"/>
  </w:num>
  <w:num w:numId="217" w16cid:durableId="1445735079">
    <w:abstractNumId w:val="8"/>
  </w:num>
  <w:num w:numId="218" w16cid:durableId="1090738500">
    <w:abstractNumId w:val="143"/>
  </w:num>
  <w:num w:numId="219" w16cid:durableId="1248925017">
    <w:abstractNumId w:val="36"/>
  </w:num>
  <w:num w:numId="220" w16cid:durableId="364722671">
    <w:abstractNumId w:val="48"/>
  </w:num>
  <w:num w:numId="221" w16cid:durableId="985012261">
    <w:abstractNumId w:val="19"/>
  </w:num>
  <w:num w:numId="222" w16cid:durableId="1527255727">
    <w:abstractNumId w:val="203"/>
  </w:num>
  <w:num w:numId="223" w16cid:durableId="1874999020">
    <w:abstractNumId w:val="107"/>
  </w:num>
  <w:num w:numId="224" w16cid:durableId="2130203210">
    <w:abstractNumId w:val="162"/>
  </w:num>
  <w:num w:numId="225" w16cid:durableId="1772044163">
    <w:abstractNumId w:val="2"/>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290"/>
    <w:rPr>
      <w:rFonts w:ascii="Palatino Linotype" w:hAnsi="Palatino Linotype"/>
      <w:sz w:val="22"/>
    </w:rPr>
  </w:style>
  <w:style w:type="paragraph" w:styleId="Heading1">
    <w:name w:val="heading 1"/>
    <w:basedOn w:val="Normal"/>
    <w:next w:val="Normal"/>
    <w:link w:val="Heading1Char"/>
    <w:uiPriority w:val="9"/>
    <w:qFormat/>
    <w:rsid w:val="00456CD0"/>
    <w:pPr>
      <w:keepNext/>
      <w:keepLines/>
      <w:spacing w:after="240"/>
      <w:outlineLvl w:val="0"/>
    </w:pPr>
    <w:rPr>
      <w:rFonts w:ascii="Source Sans Pro" w:eastAsiaTheme="majorEastAsia" w:hAnsi="Source Sans Pro" w:cstheme="majorBidi"/>
      <w:b/>
      <w:color w:val="164432"/>
      <w:sz w:val="40"/>
      <w:szCs w:val="40"/>
    </w:rPr>
  </w:style>
  <w:style w:type="paragraph" w:styleId="Heading2">
    <w:name w:val="heading 2"/>
    <w:basedOn w:val="Normal"/>
    <w:next w:val="Normal"/>
    <w:link w:val="Heading2Char"/>
    <w:uiPriority w:val="9"/>
    <w:unhideWhenUsed/>
    <w:qFormat/>
    <w:rsid w:val="00456CD0"/>
    <w:pPr>
      <w:keepNext/>
      <w:keepLines/>
      <w:spacing w:before="360" w:after="120"/>
      <w:outlineLvl w:val="1"/>
    </w:pPr>
    <w:rPr>
      <w:rFonts w:ascii="Source Sans Pro" w:eastAsiaTheme="majorEastAsia" w:hAnsi="Source Sans Pro" w:cstheme="majorBidi"/>
      <w:color w:val="164432"/>
      <w:sz w:val="32"/>
      <w:szCs w:val="32"/>
    </w:rPr>
  </w:style>
  <w:style w:type="paragraph" w:styleId="Heading3">
    <w:name w:val="heading 3"/>
    <w:basedOn w:val="Normal"/>
    <w:next w:val="Normal"/>
    <w:link w:val="Heading3Char"/>
    <w:uiPriority w:val="9"/>
    <w:unhideWhenUsed/>
    <w:qFormat/>
    <w:rsid w:val="0076240E"/>
    <w:pPr>
      <w:keepNext/>
      <w:keepLines/>
      <w:spacing w:before="160" w:after="80"/>
      <w:outlineLvl w:val="2"/>
    </w:pPr>
    <w:rPr>
      <w:rFonts w:ascii="Source Sans Pro" w:eastAsiaTheme="majorEastAsia" w:hAnsi="Source Sans Pro" w:cstheme="majorBidi"/>
      <w:color w:val="164432"/>
      <w:sz w:val="28"/>
      <w:szCs w:val="28"/>
    </w:rPr>
  </w:style>
  <w:style w:type="paragraph" w:styleId="Heading4">
    <w:name w:val="heading 4"/>
    <w:basedOn w:val="Normal"/>
    <w:next w:val="Normal"/>
    <w:link w:val="Heading4Char"/>
    <w:uiPriority w:val="9"/>
    <w:unhideWhenUsed/>
    <w:qFormat/>
    <w:rsid w:val="000119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19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19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19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19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19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CD0"/>
    <w:rPr>
      <w:rFonts w:ascii="Source Sans Pro" w:eastAsiaTheme="majorEastAsia" w:hAnsi="Source Sans Pro" w:cstheme="majorBidi"/>
      <w:b/>
      <w:color w:val="164432"/>
      <w:sz w:val="40"/>
      <w:szCs w:val="40"/>
    </w:rPr>
  </w:style>
  <w:style w:type="character" w:customStyle="1" w:styleId="Heading2Char">
    <w:name w:val="Heading 2 Char"/>
    <w:basedOn w:val="DefaultParagraphFont"/>
    <w:link w:val="Heading2"/>
    <w:uiPriority w:val="9"/>
    <w:rsid w:val="00456CD0"/>
    <w:rPr>
      <w:rFonts w:ascii="Source Sans Pro" w:eastAsiaTheme="majorEastAsia" w:hAnsi="Source Sans Pro" w:cstheme="majorBidi"/>
      <w:color w:val="164432"/>
      <w:sz w:val="32"/>
      <w:szCs w:val="32"/>
    </w:rPr>
  </w:style>
  <w:style w:type="character" w:customStyle="1" w:styleId="Heading3Char">
    <w:name w:val="Heading 3 Char"/>
    <w:basedOn w:val="DefaultParagraphFont"/>
    <w:link w:val="Heading3"/>
    <w:uiPriority w:val="9"/>
    <w:rsid w:val="0076240E"/>
    <w:rPr>
      <w:rFonts w:ascii="Source Sans Pro" w:eastAsiaTheme="majorEastAsia" w:hAnsi="Source Sans Pro" w:cstheme="majorBidi"/>
      <w:color w:val="164432"/>
      <w:sz w:val="28"/>
      <w:szCs w:val="28"/>
    </w:rPr>
  </w:style>
  <w:style w:type="character" w:customStyle="1" w:styleId="Heading4Char">
    <w:name w:val="Heading 4 Char"/>
    <w:basedOn w:val="DefaultParagraphFont"/>
    <w:link w:val="Heading4"/>
    <w:uiPriority w:val="9"/>
    <w:rsid w:val="000119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19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19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19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19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198C"/>
    <w:rPr>
      <w:rFonts w:eastAsiaTheme="majorEastAsia" w:cstheme="majorBidi"/>
      <w:color w:val="272727" w:themeColor="text1" w:themeTint="D8"/>
    </w:rPr>
  </w:style>
  <w:style w:type="paragraph" w:styleId="Title">
    <w:name w:val="Title"/>
    <w:basedOn w:val="Normal"/>
    <w:next w:val="Normal"/>
    <w:link w:val="TitleChar"/>
    <w:uiPriority w:val="10"/>
    <w:qFormat/>
    <w:rsid w:val="00985525"/>
    <w:pPr>
      <w:spacing w:after="80" w:line="240" w:lineRule="auto"/>
      <w:contextualSpacing/>
    </w:pPr>
    <w:rPr>
      <w:rFonts w:ascii="Source Sans Pro" w:eastAsiaTheme="majorEastAsia" w:hAnsi="Source Sans Pro" w:cstheme="majorBidi"/>
      <w:color w:val="164432"/>
      <w:spacing w:val="-10"/>
      <w:kern w:val="28"/>
      <w:sz w:val="56"/>
      <w:szCs w:val="56"/>
    </w:rPr>
  </w:style>
  <w:style w:type="character" w:customStyle="1" w:styleId="TitleChar">
    <w:name w:val="Title Char"/>
    <w:basedOn w:val="DefaultParagraphFont"/>
    <w:link w:val="Title"/>
    <w:uiPriority w:val="10"/>
    <w:rsid w:val="00985525"/>
    <w:rPr>
      <w:rFonts w:ascii="Source Sans Pro" w:eastAsiaTheme="majorEastAsia" w:hAnsi="Source Sans Pro" w:cstheme="majorBidi"/>
      <w:color w:val="164432"/>
      <w:spacing w:val="-10"/>
      <w:kern w:val="28"/>
      <w:sz w:val="56"/>
      <w:szCs w:val="56"/>
    </w:rPr>
  </w:style>
  <w:style w:type="paragraph" w:styleId="Subtitle">
    <w:name w:val="Subtitle"/>
    <w:basedOn w:val="Normal"/>
    <w:next w:val="Normal"/>
    <w:link w:val="SubtitleChar"/>
    <w:uiPriority w:val="11"/>
    <w:qFormat/>
    <w:rsid w:val="000119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19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283C"/>
    <w:pPr>
      <w:spacing w:before="160"/>
      <w:ind w:left="720" w:right="720"/>
      <w:jc w:val="center"/>
    </w:pPr>
    <w:rPr>
      <w:i/>
      <w:iCs/>
      <w:color w:val="404040" w:themeColor="text1" w:themeTint="BF"/>
      <w:sz w:val="32"/>
      <w:szCs w:val="32"/>
    </w:rPr>
  </w:style>
  <w:style w:type="character" w:customStyle="1" w:styleId="QuoteChar">
    <w:name w:val="Quote Char"/>
    <w:basedOn w:val="DefaultParagraphFont"/>
    <w:link w:val="Quote"/>
    <w:uiPriority w:val="29"/>
    <w:rsid w:val="0062283C"/>
    <w:rPr>
      <w:i/>
      <w:iCs/>
      <w:color w:val="404040" w:themeColor="text1" w:themeTint="BF"/>
      <w:sz w:val="32"/>
      <w:szCs w:val="32"/>
    </w:rPr>
  </w:style>
  <w:style w:type="paragraph" w:styleId="ListParagraph">
    <w:name w:val="List Paragraph"/>
    <w:basedOn w:val="Normal"/>
    <w:uiPriority w:val="34"/>
    <w:qFormat/>
    <w:rsid w:val="0001198C"/>
    <w:pPr>
      <w:ind w:left="720"/>
      <w:contextualSpacing/>
    </w:pPr>
  </w:style>
  <w:style w:type="character" w:styleId="IntenseEmphasis">
    <w:name w:val="Intense Emphasis"/>
    <w:basedOn w:val="DefaultParagraphFont"/>
    <w:uiPriority w:val="21"/>
    <w:qFormat/>
    <w:rsid w:val="0001198C"/>
    <w:rPr>
      <w:i/>
      <w:iCs/>
      <w:color w:val="0F4761" w:themeColor="accent1" w:themeShade="BF"/>
    </w:rPr>
  </w:style>
  <w:style w:type="paragraph" w:styleId="IntenseQuote">
    <w:name w:val="Intense Quote"/>
    <w:basedOn w:val="Normal"/>
    <w:next w:val="Normal"/>
    <w:link w:val="IntenseQuoteChar"/>
    <w:uiPriority w:val="30"/>
    <w:qFormat/>
    <w:rsid w:val="00166494"/>
    <w:pPr>
      <w:pBdr>
        <w:top w:val="single" w:sz="4" w:space="10" w:color="0F4761" w:themeColor="accent1" w:themeShade="BF"/>
        <w:bottom w:val="single" w:sz="4" w:space="10" w:color="0F4761" w:themeColor="accent1" w:themeShade="BF"/>
      </w:pBdr>
      <w:spacing w:before="360" w:after="360"/>
      <w:ind w:left="864" w:right="864"/>
      <w:jc w:val="center"/>
    </w:pPr>
    <w:rPr>
      <w:b/>
      <w:bCs/>
      <w:i/>
      <w:iCs/>
      <w:color w:val="164432"/>
      <w:sz w:val="24"/>
    </w:rPr>
  </w:style>
  <w:style w:type="character" w:customStyle="1" w:styleId="IntenseQuoteChar">
    <w:name w:val="Intense Quote Char"/>
    <w:basedOn w:val="DefaultParagraphFont"/>
    <w:link w:val="IntenseQuote"/>
    <w:uiPriority w:val="30"/>
    <w:rsid w:val="00166494"/>
    <w:rPr>
      <w:rFonts w:ascii="Palatino Linotype" w:hAnsi="Palatino Linotype"/>
      <w:b/>
      <w:bCs/>
      <w:i/>
      <w:iCs/>
      <w:color w:val="164432"/>
    </w:rPr>
  </w:style>
  <w:style w:type="character" w:styleId="IntenseReference">
    <w:name w:val="Intense Reference"/>
    <w:basedOn w:val="DefaultParagraphFont"/>
    <w:uiPriority w:val="32"/>
    <w:qFormat/>
    <w:rsid w:val="0001198C"/>
    <w:rPr>
      <w:b/>
      <w:bCs/>
      <w:smallCaps/>
      <w:color w:val="0F4761" w:themeColor="accent1" w:themeShade="BF"/>
      <w:spacing w:val="5"/>
    </w:rPr>
  </w:style>
  <w:style w:type="paragraph" w:styleId="TOCHeading">
    <w:name w:val="TOC Heading"/>
    <w:basedOn w:val="Heading1"/>
    <w:next w:val="Normal"/>
    <w:uiPriority w:val="39"/>
    <w:unhideWhenUsed/>
    <w:qFormat/>
    <w:rsid w:val="0001198C"/>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1198C"/>
    <w:pPr>
      <w:spacing w:after="100"/>
    </w:pPr>
  </w:style>
  <w:style w:type="paragraph" w:styleId="TOC2">
    <w:name w:val="toc 2"/>
    <w:basedOn w:val="Normal"/>
    <w:next w:val="Normal"/>
    <w:autoRedefine/>
    <w:uiPriority w:val="39"/>
    <w:unhideWhenUsed/>
    <w:rsid w:val="0001198C"/>
    <w:pPr>
      <w:spacing w:after="100"/>
      <w:ind w:left="240"/>
    </w:pPr>
  </w:style>
  <w:style w:type="character" w:styleId="Hyperlink">
    <w:name w:val="Hyperlink"/>
    <w:basedOn w:val="DefaultParagraphFont"/>
    <w:uiPriority w:val="99"/>
    <w:unhideWhenUsed/>
    <w:rsid w:val="0001198C"/>
    <w:rPr>
      <w:color w:val="467886" w:themeColor="hyperlink"/>
      <w:u w:val="single"/>
    </w:rPr>
  </w:style>
  <w:style w:type="paragraph" w:styleId="TOC3">
    <w:name w:val="toc 3"/>
    <w:basedOn w:val="Normal"/>
    <w:next w:val="Normal"/>
    <w:autoRedefine/>
    <w:uiPriority w:val="39"/>
    <w:unhideWhenUsed/>
    <w:rsid w:val="001332E7"/>
    <w:pPr>
      <w:spacing w:after="100"/>
      <w:ind w:left="480"/>
    </w:pPr>
  </w:style>
  <w:style w:type="table" w:styleId="TableGrid">
    <w:name w:val="Table Grid"/>
    <w:basedOn w:val="TableNormal"/>
    <w:uiPriority w:val="59"/>
    <w:rsid w:val="001E2EDE"/>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xHeader">
    <w:name w:val="Box Header"/>
    <w:basedOn w:val="Normal"/>
    <w:qFormat/>
    <w:rsid w:val="001E2EDE"/>
    <w:pPr>
      <w:keepNext/>
      <w:pBdr>
        <w:top w:val="nil"/>
        <w:left w:val="nil"/>
        <w:bottom w:val="nil"/>
        <w:right w:val="nil"/>
        <w:between w:val="nil"/>
      </w:pBdr>
      <w:shd w:val="clear" w:color="auto" w:fill="DAE9F7" w:themeFill="text2" w:themeFillTint="1A"/>
      <w:spacing w:after="240" w:line="276" w:lineRule="auto"/>
      <w:ind w:left="605" w:right="605"/>
    </w:pPr>
    <w:rPr>
      <w:rFonts w:ascii="Google Sans Text" w:eastAsia="Google Sans Text" w:hAnsi="Google Sans Text" w:cs="Google Sans Text"/>
      <w:b/>
      <w:color w:val="1B1C1D"/>
    </w:rPr>
  </w:style>
  <w:style w:type="paragraph" w:styleId="NormalWeb">
    <w:name w:val="Normal (Web)"/>
    <w:basedOn w:val="Normal"/>
    <w:uiPriority w:val="99"/>
    <w:semiHidden/>
    <w:unhideWhenUsed/>
    <w:rsid w:val="005B566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B5661"/>
    <w:rPr>
      <w:b/>
      <w:bCs/>
    </w:rPr>
  </w:style>
  <w:style w:type="character" w:customStyle="1" w:styleId="button-container">
    <w:name w:val="button-container"/>
    <w:basedOn w:val="DefaultParagraphFont"/>
    <w:rsid w:val="005B5661"/>
  </w:style>
  <w:style w:type="paragraph" w:styleId="Header">
    <w:name w:val="header"/>
    <w:basedOn w:val="Normal"/>
    <w:link w:val="HeaderChar"/>
    <w:uiPriority w:val="99"/>
    <w:unhideWhenUsed/>
    <w:rsid w:val="00CB0463"/>
    <w:pPr>
      <w:tabs>
        <w:tab w:val="center" w:pos="4680"/>
        <w:tab w:val="right" w:pos="9360"/>
      </w:tabs>
      <w:spacing w:after="0" w:line="240" w:lineRule="auto"/>
    </w:pPr>
    <w:rPr>
      <w:color w:val="164432"/>
    </w:rPr>
  </w:style>
  <w:style w:type="character" w:customStyle="1" w:styleId="HeaderChar">
    <w:name w:val="Header Char"/>
    <w:basedOn w:val="DefaultParagraphFont"/>
    <w:link w:val="Header"/>
    <w:uiPriority w:val="99"/>
    <w:rsid w:val="00CB0463"/>
    <w:rPr>
      <w:rFonts w:ascii="Palatino Linotype" w:hAnsi="Palatino Linotype"/>
      <w:color w:val="164432"/>
      <w:sz w:val="22"/>
    </w:rPr>
  </w:style>
  <w:style w:type="paragraph" w:styleId="Footer">
    <w:name w:val="footer"/>
    <w:basedOn w:val="Normal"/>
    <w:link w:val="FooterChar"/>
    <w:uiPriority w:val="99"/>
    <w:unhideWhenUsed/>
    <w:rsid w:val="008F21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215F"/>
  </w:style>
  <w:style w:type="paragraph" w:styleId="Index1">
    <w:name w:val="index 1"/>
    <w:basedOn w:val="Normal"/>
    <w:next w:val="Normal"/>
    <w:autoRedefine/>
    <w:uiPriority w:val="99"/>
    <w:semiHidden/>
    <w:unhideWhenUsed/>
    <w:rsid w:val="004B37AF"/>
    <w:pPr>
      <w:spacing w:after="0" w:line="240" w:lineRule="auto"/>
      <w:ind w:left="240" w:hanging="240"/>
    </w:pPr>
  </w:style>
  <w:style w:type="paragraph" w:customStyle="1" w:styleId="GatewaySign">
    <w:name w:val="GatewaySign"/>
    <w:basedOn w:val="Heading2"/>
    <w:rsid w:val="00AF7650"/>
    <w:pPr>
      <w:spacing w:before="200" w:after="0" w:line="276" w:lineRule="auto"/>
    </w:pPr>
    <w:rPr>
      <w:rFonts w:ascii="Lato" w:hAnsi="Lato"/>
      <w:b/>
      <w:bCs/>
      <w:color w:val="FFFFFF"/>
      <w:kern w:val="0"/>
      <w:szCs w:val="26"/>
      <w14:ligatures w14:val="none"/>
    </w:rPr>
  </w:style>
  <w:style w:type="paragraph" w:customStyle="1" w:styleId="BodyText">
    <w:name w:val="BodyText"/>
    <w:basedOn w:val="Normal"/>
    <w:rsid w:val="00AF7650"/>
    <w:pPr>
      <w:spacing w:after="200" w:line="276" w:lineRule="auto"/>
    </w:pPr>
    <w:rPr>
      <w:rFonts w:eastAsiaTheme="minorEastAsia"/>
      <w:kern w:val="0"/>
      <w:szCs w:val="22"/>
      <w14:ligatures w14:val="none"/>
    </w:rPr>
  </w:style>
  <w:style w:type="paragraph" w:customStyle="1" w:styleId="PullQuote">
    <w:name w:val="PullQuote"/>
    <w:basedOn w:val="Normal"/>
    <w:rsid w:val="00AF7650"/>
    <w:pPr>
      <w:spacing w:after="200" w:line="276" w:lineRule="auto"/>
    </w:pPr>
    <w:rPr>
      <w:rFonts w:ascii="Lato" w:eastAsiaTheme="minorEastAsia" w:hAnsi="Lato"/>
      <w:i/>
      <w:color w:val="B38B00"/>
      <w:kern w:val="0"/>
      <w:szCs w:val="22"/>
      <w14:ligatures w14:val="none"/>
    </w:rPr>
  </w:style>
  <w:style w:type="character" w:styleId="Emphasis">
    <w:name w:val="Emphasis"/>
    <w:basedOn w:val="DefaultParagraphFont"/>
    <w:uiPriority w:val="20"/>
    <w:qFormat/>
    <w:rsid w:val="00AF5BE5"/>
    <w:rPr>
      <w:i/>
      <w:iCs/>
    </w:rPr>
  </w:style>
  <w:style w:type="character" w:styleId="SubtleReference">
    <w:name w:val="Subtle Reference"/>
    <w:basedOn w:val="DefaultParagraphFont"/>
    <w:uiPriority w:val="31"/>
    <w:qFormat/>
    <w:rsid w:val="00AF5BE5"/>
    <w:rPr>
      <w:smallCaps/>
      <w:color w:val="5A5A5A" w:themeColor="text1" w:themeTint="A5"/>
    </w:rPr>
  </w:style>
  <w:style w:type="paragraph" w:customStyle="1" w:styleId="BoxedHeaderSimple">
    <w:name w:val="Boxed Header Simple"/>
    <w:basedOn w:val="Normal"/>
    <w:qFormat/>
    <w:rsid w:val="00456CD0"/>
    <w:pPr>
      <w:keepNext/>
      <w:shd w:val="clear" w:color="auto" w:fill="164432"/>
      <w:spacing w:before="240" w:after="120" w:line="276" w:lineRule="auto"/>
    </w:pPr>
    <w:rPr>
      <w:rFonts w:ascii="Google Sans Text" w:eastAsia="Google Sans Text" w:hAnsi="Google Sans Text" w:cs="Google Sans Text"/>
      <w:color w:val="FFFFFF" w:themeColor="background1"/>
    </w:rPr>
  </w:style>
  <w:style w:type="paragraph" w:customStyle="1" w:styleId="BoxBody">
    <w:name w:val="Box Body"/>
    <w:basedOn w:val="Normal"/>
    <w:qFormat/>
    <w:rsid w:val="00BA5999"/>
    <w:pPr>
      <w:shd w:val="clear" w:color="auto" w:fill="F2F2F2" w:themeFill="background1" w:themeFillShade="F2"/>
    </w:pPr>
    <w:rPr>
      <w:rFonts w:ascii="Google Sans Text" w:eastAsia="Google Sans Text" w:hAnsi="Google Sans Text" w:cs="Google Sans Text"/>
      <w:color w:val="1B1C1D"/>
    </w:rPr>
  </w:style>
  <w:style w:type="paragraph" w:customStyle="1" w:styleId="BoxBullet">
    <w:name w:val="Box Bullet"/>
    <w:basedOn w:val="Normal"/>
    <w:qFormat/>
    <w:rsid w:val="00C958C9"/>
    <w:pPr>
      <w:numPr>
        <w:numId w:val="17"/>
      </w:numPr>
      <w:shd w:val="clear" w:color="auto" w:fill="F2F2F2" w:themeFill="background1" w:themeFillShade="F2"/>
    </w:pPr>
    <w:rPr>
      <w:sz w:val="20"/>
    </w:rPr>
  </w:style>
  <w:style w:type="character" w:styleId="UnresolvedMention">
    <w:name w:val="Unresolved Mention"/>
    <w:basedOn w:val="DefaultParagraphFont"/>
    <w:uiPriority w:val="99"/>
    <w:semiHidden/>
    <w:unhideWhenUsed/>
    <w:rsid w:val="008620E7"/>
    <w:rPr>
      <w:color w:val="605E5C"/>
      <w:shd w:val="clear" w:color="auto" w:fill="E1DFDD"/>
    </w:rPr>
  </w:style>
  <w:style w:type="character" w:styleId="SubtleEmphasis">
    <w:name w:val="Subtle Emphasis"/>
    <w:basedOn w:val="DefaultParagraphFont"/>
    <w:uiPriority w:val="19"/>
    <w:qFormat/>
    <w:rsid w:val="00DA7290"/>
    <w:rPr>
      <w:i/>
      <w:iCs/>
      <w:color w:val="404040" w:themeColor="text1" w:themeTint="BF"/>
    </w:rPr>
  </w:style>
  <w:style w:type="paragraph" w:customStyle="1" w:styleId="FootnotesChapter">
    <w:name w:val="Footnotes Chapter"/>
    <w:basedOn w:val="Heading2"/>
    <w:qFormat/>
    <w:rsid w:val="00D710A3"/>
  </w:style>
  <w:style w:type="paragraph" w:styleId="Caption">
    <w:name w:val="caption"/>
    <w:basedOn w:val="Normal"/>
    <w:next w:val="Normal"/>
    <w:uiPriority w:val="35"/>
    <w:unhideWhenUsed/>
    <w:qFormat/>
    <w:rsid w:val="007C1DFC"/>
    <w:pPr>
      <w:spacing w:after="200" w:line="240" w:lineRule="auto"/>
    </w:pPr>
    <w:rPr>
      <w:i/>
      <w:iCs/>
      <w:color w:val="164432"/>
      <w:szCs w:val="20"/>
    </w:rPr>
  </w:style>
  <w:style w:type="paragraph" w:customStyle="1" w:styleId="Prompt">
    <w:name w:val="Prompt"/>
    <w:basedOn w:val="Normal"/>
    <w:qFormat/>
    <w:rsid w:val="00BF7295"/>
    <w:pPr>
      <w:ind w:left="720" w:right="720"/>
    </w:pPr>
    <w:rPr>
      <w:i/>
      <w:iCs/>
    </w:rPr>
  </w:style>
  <w:style w:type="character" w:styleId="FollowedHyperlink">
    <w:name w:val="FollowedHyperlink"/>
    <w:basedOn w:val="DefaultParagraphFont"/>
    <w:uiPriority w:val="99"/>
    <w:semiHidden/>
    <w:unhideWhenUsed/>
    <w:rsid w:val="00A47D9D"/>
    <w:rPr>
      <w:color w:val="96607D" w:themeColor="followedHyperlink"/>
      <w:u w:val="single"/>
    </w:rPr>
  </w:style>
  <w:style w:type="table" w:styleId="GridTable1Light-Accent3">
    <w:name w:val="Grid Table 1 Light Accent 3"/>
    <w:basedOn w:val="TableNormal"/>
    <w:uiPriority w:val="46"/>
    <w:rsid w:val="00007FA9"/>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paragraph" w:customStyle="1" w:styleId="Bullet">
    <w:name w:val="Bullet"/>
    <w:basedOn w:val="Normal"/>
    <w:qFormat/>
    <w:rsid w:val="0015752D"/>
    <w:pPr>
      <w:numPr>
        <w:numId w:val="138"/>
      </w:numPr>
      <w:tabs>
        <w:tab w:val="clear" w:pos="720"/>
      </w:tabs>
      <w:spacing w:after="120"/>
      <w:ind w:left="374" w:hanging="187"/>
      <w:contextualSpacing/>
    </w:pPr>
    <w:rPr>
      <w:b/>
      <w:bCs/>
    </w:rPr>
  </w:style>
  <w:style w:type="character" w:customStyle="1" w:styleId="selected">
    <w:name w:val="selected"/>
    <w:basedOn w:val="DefaultParagraphFont"/>
    <w:rsid w:val="00B21985"/>
  </w:style>
  <w:style w:type="table" w:customStyle="1" w:styleId="TableNormal0">
    <w:name w:val="TableNormal"/>
    <w:rsid w:val="00BB70DB"/>
    <w:pPr>
      <w:spacing w:line="259" w:lineRule="auto"/>
    </w:pPr>
    <w:rPr>
      <w:rFonts w:eastAsiaTheme="minorEastAsia"/>
      <w:kern w:val="0"/>
      <w:sz w:val="22"/>
      <w:szCs w:val="22"/>
      <w:lang w:val="en"/>
      <w14:ligatures w14:val="none"/>
    </w:rPr>
    <w:tblPr>
      <w:tblCellMar>
        <w:top w:w="0" w:type="dxa"/>
        <w:left w:w="0" w:type="dxa"/>
        <w:bottom w:w="0" w:type="dxa"/>
        <w:right w:w="0" w:type="dxa"/>
      </w:tblCellMar>
    </w:tblPr>
  </w:style>
  <w:style w:type="paragraph" w:styleId="EndnoteText">
    <w:name w:val="endnote text"/>
    <w:basedOn w:val="Normal"/>
    <w:link w:val="EndnoteTextChar"/>
    <w:uiPriority w:val="99"/>
    <w:semiHidden/>
    <w:unhideWhenUsed/>
    <w:rsid w:val="00BB70DB"/>
    <w:pPr>
      <w:spacing w:after="0" w:line="240" w:lineRule="auto"/>
    </w:pPr>
    <w:rPr>
      <w:rFonts w:asciiTheme="minorHAnsi" w:eastAsiaTheme="minorEastAsia" w:hAnsiTheme="minorHAnsi"/>
      <w:kern w:val="0"/>
      <w:sz w:val="20"/>
      <w:szCs w:val="20"/>
      <w:lang w:val="en"/>
      <w14:ligatures w14:val="none"/>
    </w:rPr>
  </w:style>
  <w:style w:type="character" w:customStyle="1" w:styleId="EndnoteTextChar">
    <w:name w:val="Endnote Text Char"/>
    <w:basedOn w:val="DefaultParagraphFont"/>
    <w:link w:val="EndnoteText"/>
    <w:uiPriority w:val="99"/>
    <w:semiHidden/>
    <w:rsid w:val="00BB70DB"/>
    <w:rPr>
      <w:rFonts w:eastAsiaTheme="minorEastAsia"/>
      <w:kern w:val="0"/>
      <w:sz w:val="20"/>
      <w:szCs w:val="20"/>
      <w:lang w:val="en"/>
      <w14:ligatures w14:val="none"/>
    </w:rPr>
  </w:style>
  <w:style w:type="character" w:styleId="EndnoteReference">
    <w:name w:val="endnote reference"/>
    <w:basedOn w:val="DefaultParagraphFont"/>
    <w:uiPriority w:val="99"/>
    <w:semiHidden/>
    <w:unhideWhenUsed/>
    <w:rsid w:val="00BB70DB"/>
    <w:rPr>
      <w:vertAlign w:val="superscript"/>
    </w:rPr>
  </w:style>
  <w:style w:type="table" w:styleId="GridTable1Light">
    <w:name w:val="Grid Table 1 Light"/>
    <w:basedOn w:val="TableNormal"/>
    <w:uiPriority w:val="46"/>
    <w:rsid w:val="00BB70DB"/>
    <w:pPr>
      <w:spacing w:after="0" w:line="240" w:lineRule="auto"/>
    </w:pPr>
    <w:rPr>
      <w:rFonts w:eastAsiaTheme="minorEastAsia"/>
      <w:kern w:val="0"/>
      <w:sz w:val="22"/>
      <w:szCs w:val="22"/>
      <w:lang w:val="en"/>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Spacing">
    <w:name w:val="No Spacing"/>
    <w:uiPriority w:val="1"/>
    <w:qFormat/>
    <w:rsid w:val="00BB70DB"/>
    <w:pPr>
      <w:spacing w:after="0" w:line="240" w:lineRule="auto"/>
    </w:pPr>
    <w:rPr>
      <w:rFonts w:eastAsiaTheme="minorEastAsia"/>
      <w:kern w:val="0"/>
      <w:sz w:val="22"/>
      <w:szCs w:val="22"/>
      <w:lang w:val="en"/>
      <w14:ligatures w14:val="none"/>
    </w:rPr>
  </w:style>
  <w:style w:type="character" w:styleId="BookTitle">
    <w:name w:val="Book Title"/>
    <w:basedOn w:val="DefaultParagraphFont"/>
    <w:uiPriority w:val="33"/>
    <w:qFormat/>
    <w:rsid w:val="00BB70DB"/>
    <w:rPr>
      <w:b/>
      <w:bCs/>
      <w:smallCaps/>
      <w:spacing w:val="7"/>
    </w:rPr>
  </w:style>
  <w:style w:type="paragraph" w:customStyle="1" w:styleId="Footnote">
    <w:name w:val="Footnote"/>
    <w:basedOn w:val="Normal"/>
    <w:qFormat/>
    <w:rsid w:val="00F679EF"/>
    <w:pPr>
      <w:spacing w:after="120" w:line="240" w:lineRule="auto"/>
      <w:ind w:left="86" w:hanging="86"/>
    </w:pPr>
    <w:rPr>
      <w:sz w:val="20"/>
      <w:szCs w:val="22"/>
    </w:rPr>
  </w:style>
  <w:style w:type="table" w:styleId="GridTable1Light-Accent4">
    <w:name w:val="Grid Table 1 Light Accent 4"/>
    <w:basedOn w:val="TableNormal"/>
    <w:uiPriority w:val="46"/>
    <w:rsid w:val="00E005C5"/>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paragraph" w:customStyle="1" w:styleId="BulletNumbeered">
    <w:name w:val="Bullet Numbeered"/>
    <w:basedOn w:val="Normal"/>
    <w:qFormat/>
    <w:rsid w:val="008041A4"/>
    <w:pPr>
      <w:numPr>
        <w:numId w:val="200"/>
      </w:numPr>
      <w:tabs>
        <w:tab w:val="clear" w:pos="720"/>
      </w:tabs>
      <w:spacing w:line="240" w:lineRule="auto"/>
      <w:ind w:left="360" w:hanging="270"/>
      <w:textAlignment w:val="baseline"/>
    </w:pPr>
    <w:rPr>
      <w:rFonts w:eastAsia="Times New Roman" w:cs="Arial"/>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60079">
      <w:bodyDiv w:val="1"/>
      <w:marLeft w:val="0"/>
      <w:marRight w:val="0"/>
      <w:marTop w:val="0"/>
      <w:marBottom w:val="0"/>
      <w:divBdr>
        <w:top w:val="none" w:sz="0" w:space="0" w:color="auto"/>
        <w:left w:val="none" w:sz="0" w:space="0" w:color="auto"/>
        <w:bottom w:val="none" w:sz="0" w:space="0" w:color="auto"/>
        <w:right w:val="none" w:sz="0" w:space="0" w:color="auto"/>
      </w:divBdr>
      <w:divsChild>
        <w:div w:id="654072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18999">
      <w:bodyDiv w:val="1"/>
      <w:marLeft w:val="0"/>
      <w:marRight w:val="0"/>
      <w:marTop w:val="0"/>
      <w:marBottom w:val="0"/>
      <w:divBdr>
        <w:top w:val="none" w:sz="0" w:space="0" w:color="auto"/>
        <w:left w:val="none" w:sz="0" w:space="0" w:color="auto"/>
        <w:bottom w:val="none" w:sz="0" w:space="0" w:color="auto"/>
        <w:right w:val="none" w:sz="0" w:space="0" w:color="auto"/>
      </w:divBdr>
    </w:div>
    <w:div w:id="8533198">
      <w:bodyDiv w:val="1"/>
      <w:marLeft w:val="0"/>
      <w:marRight w:val="0"/>
      <w:marTop w:val="0"/>
      <w:marBottom w:val="0"/>
      <w:divBdr>
        <w:top w:val="none" w:sz="0" w:space="0" w:color="auto"/>
        <w:left w:val="none" w:sz="0" w:space="0" w:color="auto"/>
        <w:bottom w:val="none" w:sz="0" w:space="0" w:color="auto"/>
        <w:right w:val="none" w:sz="0" w:space="0" w:color="auto"/>
      </w:divBdr>
    </w:div>
    <w:div w:id="13848318">
      <w:bodyDiv w:val="1"/>
      <w:marLeft w:val="0"/>
      <w:marRight w:val="0"/>
      <w:marTop w:val="0"/>
      <w:marBottom w:val="0"/>
      <w:divBdr>
        <w:top w:val="none" w:sz="0" w:space="0" w:color="auto"/>
        <w:left w:val="none" w:sz="0" w:space="0" w:color="auto"/>
        <w:bottom w:val="none" w:sz="0" w:space="0" w:color="auto"/>
        <w:right w:val="none" w:sz="0" w:space="0" w:color="auto"/>
      </w:divBdr>
    </w:div>
    <w:div w:id="16003209">
      <w:bodyDiv w:val="1"/>
      <w:marLeft w:val="0"/>
      <w:marRight w:val="0"/>
      <w:marTop w:val="0"/>
      <w:marBottom w:val="0"/>
      <w:divBdr>
        <w:top w:val="none" w:sz="0" w:space="0" w:color="auto"/>
        <w:left w:val="none" w:sz="0" w:space="0" w:color="auto"/>
        <w:bottom w:val="none" w:sz="0" w:space="0" w:color="auto"/>
        <w:right w:val="none" w:sz="0" w:space="0" w:color="auto"/>
      </w:divBdr>
    </w:div>
    <w:div w:id="18705760">
      <w:bodyDiv w:val="1"/>
      <w:marLeft w:val="0"/>
      <w:marRight w:val="0"/>
      <w:marTop w:val="0"/>
      <w:marBottom w:val="0"/>
      <w:divBdr>
        <w:top w:val="none" w:sz="0" w:space="0" w:color="auto"/>
        <w:left w:val="none" w:sz="0" w:space="0" w:color="auto"/>
        <w:bottom w:val="none" w:sz="0" w:space="0" w:color="auto"/>
        <w:right w:val="none" w:sz="0" w:space="0" w:color="auto"/>
      </w:divBdr>
    </w:div>
    <w:div w:id="20592255">
      <w:bodyDiv w:val="1"/>
      <w:marLeft w:val="0"/>
      <w:marRight w:val="0"/>
      <w:marTop w:val="0"/>
      <w:marBottom w:val="0"/>
      <w:divBdr>
        <w:top w:val="none" w:sz="0" w:space="0" w:color="auto"/>
        <w:left w:val="none" w:sz="0" w:space="0" w:color="auto"/>
        <w:bottom w:val="none" w:sz="0" w:space="0" w:color="auto"/>
        <w:right w:val="none" w:sz="0" w:space="0" w:color="auto"/>
      </w:divBdr>
    </w:div>
    <w:div w:id="21369336">
      <w:bodyDiv w:val="1"/>
      <w:marLeft w:val="0"/>
      <w:marRight w:val="0"/>
      <w:marTop w:val="0"/>
      <w:marBottom w:val="0"/>
      <w:divBdr>
        <w:top w:val="none" w:sz="0" w:space="0" w:color="auto"/>
        <w:left w:val="none" w:sz="0" w:space="0" w:color="auto"/>
        <w:bottom w:val="none" w:sz="0" w:space="0" w:color="auto"/>
        <w:right w:val="none" w:sz="0" w:space="0" w:color="auto"/>
      </w:divBdr>
      <w:divsChild>
        <w:div w:id="6123994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872206">
      <w:bodyDiv w:val="1"/>
      <w:marLeft w:val="0"/>
      <w:marRight w:val="0"/>
      <w:marTop w:val="0"/>
      <w:marBottom w:val="0"/>
      <w:divBdr>
        <w:top w:val="none" w:sz="0" w:space="0" w:color="auto"/>
        <w:left w:val="none" w:sz="0" w:space="0" w:color="auto"/>
        <w:bottom w:val="none" w:sz="0" w:space="0" w:color="auto"/>
        <w:right w:val="none" w:sz="0" w:space="0" w:color="auto"/>
      </w:divBdr>
    </w:div>
    <w:div w:id="32119249">
      <w:bodyDiv w:val="1"/>
      <w:marLeft w:val="0"/>
      <w:marRight w:val="0"/>
      <w:marTop w:val="0"/>
      <w:marBottom w:val="0"/>
      <w:divBdr>
        <w:top w:val="none" w:sz="0" w:space="0" w:color="auto"/>
        <w:left w:val="none" w:sz="0" w:space="0" w:color="auto"/>
        <w:bottom w:val="none" w:sz="0" w:space="0" w:color="auto"/>
        <w:right w:val="none" w:sz="0" w:space="0" w:color="auto"/>
      </w:divBdr>
    </w:div>
    <w:div w:id="35158023">
      <w:bodyDiv w:val="1"/>
      <w:marLeft w:val="0"/>
      <w:marRight w:val="0"/>
      <w:marTop w:val="0"/>
      <w:marBottom w:val="0"/>
      <w:divBdr>
        <w:top w:val="none" w:sz="0" w:space="0" w:color="auto"/>
        <w:left w:val="none" w:sz="0" w:space="0" w:color="auto"/>
        <w:bottom w:val="none" w:sz="0" w:space="0" w:color="auto"/>
        <w:right w:val="none" w:sz="0" w:space="0" w:color="auto"/>
      </w:divBdr>
    </w:div>
    <w:div w:id="37819461">
      <w:bodyDiv w:val="1"/>
      <w:marLeft w:val="0"/>
      <w:marRight w:val="0"/>
      <w:marTop w:val="0"/>
      <w:marBottom w:val="0"/>
      <w:divBdr>
        <w:top w:val="none" w:sz="0" w:space="0" w:color="auto"/>
        <w:left w:val="none" w:sz="0" w:space="0" w:color="auto"/>
        <w:bottom w:val="none" w:sz="0" w:space="0" w:color="auto"/>
        <w:right w:val="none" w:sz="0" w:space="0" w:color="auto"/>
      </w:divBdr>
    </w:div>
    <w:div w:id="38239741">
      <w:bodyDiv w:val="1"/>
      <w:marLeft w:val="0"/>
      <w:marRight w:val="0"/>
      <w:marTop w:val="0"/>
      <w:marBottom w:val="0"/>
      <w:divBdr>
        <w:top w:val="none" w:sz="0" w:space="0" w:color="auto"/>
        <w:left w:val="none" w:sz="0" w:space="0" w:color="auto"/>
        <w:bottom w:val="none" w:sz="0" w:space="0" w:color="auto"/>
        <w:right w:val="none" w:sz="0" w:space="0" w:color="auto"/>
      </w:divBdr>
    </w:div>
    <w:div w:id="38432204">
      <w:bodyDiv w:val="1"/>
      <w:marLeft w:val="0"/>
      <w:marRight w:val="0"/>
      <w:marTop w:val="0"/>
      <w:marBottom w:val="0"/>
      <w:divBdr>
        <w:top w:val="none" w:sz="0" w:space="0" w:color="auto"/>
        <w:left w:val="none" w:sz="0" w:space="0" w:color="auto"/>
        <w:bottom w:val="none" w:sz="0" w:space="0" w:color="auto"/>
        <w:right w:val="none" w:sz="0" w:space="0" w:color="auto"/>
      </w:divBdr>
    </w:div>
    <w:div w:id="41557824">
      <w:bodyDiv w:val="1"/>
      <w:marLeft w:val="0"/>
      <w:marRight w:val="0"/>
      <w:marTop w:val="0"/>
      <w:marBottom w:val="0"/>
      <w:divBdr>
        <w:top w:val="none" w:sz="0" w:space="0" w:color="auto"/>
        <w:left w:val="none" w:sz="0" w:space="0" w:color="auto"/>
        <w:bottom w:val="none" w:sz="0" w:space="0" w:color="auto"/>
        <w:right w:val="none" w:sz="0" w:space="0" w:color="auto"/>
      </w:divBdr>
      <w:divsChild>
        <w:div w:id="12738962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142007">
      <w:bodyDiv w:val="1"/>
      <w:marLeft w:val="0"/>
      <w:marRight w:val="0"/>
      <w:marTop w:val="0"/>
      <w:marBottom w:val="0"/>
      <w:divBdr>
        <w:top w:val="none" w:sz="0" w:space="0" w:color="auto"/>
        <w:left w:val="none" w:sz="0" w:space="0" w:color="auto"/>
        <w:bottom w:val="none" w:sz="0" w:space="0" w:color="auto"/>
        <w:right w:val="none" w:sz="0" w:space="0" w:color="auto"/>
      </w:divBdr>
    </w:div>
    <w:div w:id="44648582">
      <w:bodyDiv w:val="1"/>
      <w:marLeft w:val="0"/>
      <w:marRight w:val="0"/>
      <w:marTop w:val="0"/>
      <w:marBottom w:val="0"/>
      <w:divBdr>
        <w:top w:val="none" w:sz="0" w:space="0" w:color="auto"/>
        <w:left w:val="none" w:sz="0" w:space="0" w:color="auto"/>
        <w:bottom w:val="none" w:sz="0" w:space="0" w:color="auto"/>
        <w:right w:val="none" w:sz="0" w:space="0" w:color="auto"/>
      </w:divBdr>
    </w:div>
    <w:div w:id="45613059">
      <w:bodyDiv w:val="1"/>
      <w:marLeft w:val="0"/>
      <w:marRight w:val="0"/>
      <w:marTop w:val="0"/>
      <w:marBottom w:val="0"/>
      <w:divBdr>
        <w:top w:val="none" w:sz="0" w:space="0" w:color="auto"/>
        <w:left w:val="none" w:sz="0" w:space="0" w:color="auto"/>
        <w:bottom w:val="none" w:sz="0" w:space="0" w:color="auto"/>
        <w:right w:val="none" w:sz="0" w:space="0" w:color="auto"/>
      </w:divBdr>
    </w:div>
    <w:div w:id="46495983">
      <w:bodyDiv w:val="1"/>
      <w:marLeft w:val="0"/>
      <w:marRight w:val="0"/>
      <w:marTop w:val="0"/>
      <w:marBottom w:val="0"/>
      <w:divBdr>
        <w:top w:val="none" w:sz="0" w:space="0" w:color="auto"/>
        <w:left w:val="none" w:sz="0" w:space="0" w:color="auto"/>
        <w:bottom w:val="none" w:sz="0" w:space="0" w:color="auto"/>
        <w:right w:val="none" w:sz="0" w:space="0" w:color="auto"/>
      </w:divBdr>
    </w:div>
    <w:div w:id="46802933">
      <w:bodyDiv w:val="1"/>
      <w:marLeft w:val="0"/>
      <w:marRight w:val="0"/>
      <w:marTop w:val="0"/>
      <w:marBottom w:val="0"/>
      <w:divBdr>
        <w:top w:val="none" w:sz="0" w:space="0" w:color="auto"/>
        <w:left w:val="none" w:sz="0" w:space="0" w:color="auto"/>
        <w:bottom w:val="none" w:sz="0" w:space="0" w:color="auto"/>
        <w:right w:val="none" w:sz="0" w:space="0" w:color="auto"/>
      </w:divBdr>
      <w:divsChild>
        <w:div w:id="190388501">
          <w:blockQuote w:val="1"/>
          <w:marLeft w:val="720"/>
          <w:marRight w:val="720"/>
          <w:marTop w:val="100"/>
          <w:marBottom w:val="100"/>
          <w:divBdr>
            <w:top w:val="none" w:sz="0" w:space="0" w:color="auto"/>
            <w:left w:val="none" w:sz="0" w:space="0" w:color="auto"/>
            <w:bottom w:val="none" w:sz="0" w:space="0" w:color="auto"/>
            <w:right w:val="none" w:sz="0" w:space="0" w:color="auto"/>
          </w:divBdr>
        </w:div>
        <w:div w:id="1049108026">
          <w:blockQuote w:val="1"/>
          <w:marLeft w:val="720"/>
          <w:marRight w:val="720"/>
          <w:marTop w:val="100"/>
          <w:marBottom w:val="100"/>
          <w:divBdr>
            <w:top w:val="none" w:sz="0" w:space="0" w:color="auto"/>
            <w:left w:val="none" w:sz="0" w:space="0" w:color="auto"/>
            <w:bottom w:val="none" w:sz="0" w:space="0" w:color="auto"/>
            <w:right w:val="none" w:sz="0" w:space="0" w:color="auto"/>
          </w:divBdr>
        </w:div>
        <w:div w:id="9228399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505713">
      <w:bodyDiv w:val="1"/>
      <w:marLeft w:val="0"/>
      <w:marRight w:val="0"/>
      <w:marTop w:val="0"/>
      <w:marBottom w:val="0"/>
      <w:divBdr>
        <w:top w:val="none" w:sz="0" w:space="0" w:color="auto"/>
        <w:left w:val="none" w:sz="0" w:space="0" w:color="auto"/>
        <w:bottom w:val="none" w:sz="0" w:space="0" w:color="auto"/>
        <w:right w:val="none" w:sz="0" w:space="0" w:color="auto"/>
      </w:divBdr>
    </w:div>
    <w:div w:id="55010246">
      <w:bodyDiv w:val="1"/>
      <w:marLeft w:val="0"/>
      <w:marRight w:val="0"/>
      <w:marTop w:val="0"/>
      <w:marBottom w:val="0"/>
      <w:divBdr>
        <w:top w:val="none" w:sz="0" w:space="0" w:color="auto"/>
        <w:left w:val="none" w:sz="0" w:space="0" w:color="auto"/>
        <w:bottom w:val="none" w:sz="0" w:space="0" w:color="auto"/>
        <w:right w:val="none" w:sz="0" w:space="0" w:color="auto"/>
      </w:divBdr>
    </w:div>
    <w:div w:id="56125214">
      <w:bodyDiv w:val="1"/>
      <w:marLeft w:val="0"/>
      <w:marRight w:val="0"/>
      <w:marTop w:val="0"/>
      <w:marBottom w:val="0"/>
      <w:divBdr>
        <w:top w:val="none" w:sz="0" w:space="0" w:color="auto"/>
        <w:left w:val="none" w:sz="0" w:space="0" w:color="auto"/>
        <w:bottom w:val="none" w:sz="0" w:space="0" w:color="auto"/>
        <w:right w:val="none" w:sz="0" w:space="0" w:color="auto"/>
      </w:divBdr>
    </w:div>
    <w:div w:id="56982402">
      <w:bodyDiv w:val="1"/>
      <w:marLeft w:val="0"/>
      <w:marRight w:val="0"/>
      <w:marTop w:val="0"/>
      <w:marBottom w:val="0"/>
      <w:divBdr>
        <w:top w:val="none" w:sz="0" w:space="0" w:color="auto"/>
        <w:left w:val="none" w:sz="0" w:space="0" w:color="auto"/>
        <w:bottom w:val="none" w:sz="0" w:space="0" w:color="auto"/>
        <w:right w:val="none" w:sz="0" w:space="0" w:color="auto"/>
      </w:divBdr>
    </w:div>
    <w:div w:id="57632116">
      <w:bodyDiv w:val="1"/>
      <w:marLeft w:val="0"/>
      <w:marRight w:val="0"/>
      <w:marTop w:val="0"/>
      <w:marBottom w:val="0"/>
      <w:divBdr>
        <w:top w:val="none" w:sz="0" w:space="0" w:color="auto"/>
        <w:left w:val="none" w:sz="0" w:space="0" w:color="auto"/>
        <w:bottom w:val="none" w:sz="0" w:space="0" w:color="auto"/>
        <w:right w:val="none" w:sz="0" w:space="0" w:color="auto"/>
      </w:divBdr>
    </w:div>
    <w:div w:id="63340141">
      <w:bodyDiv w:val="1"/>
      <w:marLeft w:val="0"/>
      <w:marRight w:val="0"/>
      <w:marTop w:val="0"/>
      <w:marBottom w:val="0"/>
      <w:divBdr>
        <w:top w:val="none" w:sz="0" w:space="0" w:color="auto"/>
        <w:left w:val="none" w:sz="0" w:space="0" w:color="auto"/>
        <w:bottom w:val="none" w:sz="0" w:space="0" w:color="auto"/>
        <w:right w:val="none" w:sz="0" w:space="0" w:color="auto"/>
      </w:divBdr>
    </w:div>
    <w:div w:id="72553962">
      <w:bodyDiv w:val="1"/>
      <w:marLeft w:val="0"/>
      <w:marRight w:val="0"/>
      <w:marTop w:val="0"/>
      <w:marBottom w:val="0"/>
      <w:divBdr>
        <w:top w:val="none" w:sz="0" w:space="0" w:color="auto"/>
        <w:left w:val="none" w:sz="0" w:space="0" w:color="auto"/>
        <w:bottom w:val="none" w:sz="0" w:space="0" w:color="auto"/>
        <w:right w:val="none" w:sz="0" w:space="0" w:color="auto"/>
      </w:divBdr>
    </w:div>
    <w:div w:id="76679183">
      <w:bodyDiv w:val="1"/>
      <w:marLeft w:val="0"/>
      <w:marRight w:val="0"/>
      <w:marTop w:val="0"/>
      <w:marBottom w:val="0"/>
      <w:divBdr>
        <w:top w:val="none" w:sz="0" w:space="0" w:color="auto"/>
        <w:left w:val="none" w:sz="0" w:space="0" w:color="auto"/>
        <w:bottom w:val="none" w:sz="0" w:space="0" w:color="auto"/>
        <w:right w:val="none" w:sz="0" w:space="0" w:color="auto"/>
      </w:divBdr>
    </w:div>
    <w:div w:id="76951222">
      <w:bodyDiv w:val="1"/>
      <w:marLeft w:val="0"/>
      <w:marRight w:val="0"/>
      <w:marTop w:val="0"/>
      <w:marBottom w:val="0"/>
      <w:divBdr>
        <w:top w:val="none" w:sz="0" w:space="0" w:color="auto"/>
        <w:left w:val="none" w:sz="0" w:space="0" w:color="auto"/>
        <w:bottom w:val="none" w:sz="0" w:space="0" w:color="auto"/>
        <w:right w:val="none" w:sz="0" w:space="0" w:color="auto"/>
      </w:divBdr>
    </w:div>
    <w:div w:id="78329617">
      <w:bodyDiv w:val="1"/>
      <w:marLeft w:val="0"/>
      <w:marRight w:val="0"/>
      <w:marTop w:val="0"/>
      <w:marBottom w:val="0"/>
      <w:divBdr>
        <w:top w:val="none" w:sz="0" w:space="0" w:color="auto"/>
        <w:left w:val="none" w:sz="0" w:space="0" w:color="auto"/>
        <w:bottom w:val="none" w:sz="0" w:space="0" w:color="auto"/>
        <w:right w:val="none" w:sz="0" w:space="0" w:color="auto"/>
      </w:divBdr>
    </w:div>
    <w:div w:id="79370440">
      <w:bodyDiv w:val="1"/>
      <w:marLeft w:val="0"/>
      <w:marRight w:val="0"/>
      <w:marTop w:val="0"/>
      <w:marBottom w:val="0"/>
      <w:divBdr>
        <w:top w:val="none" w:sz="0" w:space="0" w:color="auto"/>
        <w:left w:val="none" w:sz="0" w:space="0" w:color="auto"/>
        <w:bottom w:val="none" w:sz="0" w:space="0" w:color="auto"/>
        <w:right w:val="none" w:sz="0" w:space="0" w:color="auto"/>
      </w:divBdr>
    </w:div>
    <w:div w:id="84226965">
      <w:bodyDiv w:val="1"/>
      <w:marLeft w:val="0"/>
      <w:marRight w:val="0"/>
      <w:marTop w:val="0"/>
      <w:marBottom w:val="0"/>
      <w:divBdr>
        <w:top w:val="none" w:sz="0" w:space="0" w:color="auto"/>
        <w:left w:val="none" w:sz="0" w:space="0" w:color="auto"/>
        <w:bottom w:val="none" w:sz="0" w:space="0" w:color="auto"/>
        <w:right w:val="none" w:sz="0" w:space="0" w:color="auto"/>
      </w:divBdr>
    </w:div>
    <w:div w:id="93213298">
      <w:bodyDiv w:val="1"/>
      <w:marLeft w:val="0"/>
      <w:marRight w:val="0"/>
      <w:marTop w:val="0"/>
      <w:marBottom w:val="0"/>
      <w:divBdr>
        <w:top w:val="none" w:sz="0" w:space="0" w:color="auto"/>
        <w:left w:val="none" w:sz="0" w:space="0" w:color="auto"/>
        <w:bottom w:val="none" w:sz="0" w:space="0" w:color="auto"/>
        <w:right w:val="none" w:sz="0" w:space="0" w:color="auto"/>
      </w:divBdr>
      <w:divsChild>
        <w:div w:id="16099649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107807">
      <w:bodyDiv w:val="1"/>
      <w:marLeft w:val="0"/>
      <w:marRight w:val="0"/>
      <w:marTop w:val="0"/>
      <w:marBottom w:val="0"/>
      <w:divBdr>
        <w:top w:val="none" w:sz="0" w:space="0" w:color="auto"/>
        <w:left w:val="none" w:sz="0" w:space="0" w:color="auto"/>
        <w:bottom w:val="none" w:sz="0" w:space="0" w:color="auto"/>
        <w:right w:val="none" w:sz="0" w:space="0" w:color="auto"/>
      </w:divBdr>
    </w:div>
    <w:div w:id="107242499">
      <w:bodyDiv w:val="1"/>
      <w:marLeft w:val="0"/>
      <w:marRight w:val="0"/>
      <w:marTop w:val="0"/>
      <w:marBottom w:val="0"/>
      <w:divBdr>
        <w:top w:val="none" w:sz="0" w:space="0" w:color="auto"/>
        <w:left w:val="none" w:sz="0" w:space="0" w:color="auto"/>
        <w:bottom w:val="none" w:sz="0" w:space="0" w:color="auto"/>
        <w:right w:val="none" w:sz="0" w:space="0" w:color="auto"/>
      </w:divBdr>
    </w:div>
    <w:div w:id="108941219">
      <w:bodyDiv w:val="1"/>
      <w:marLeft w:val="0"/>
      <w:marRight w:val="0"/>
      <w:marTop w:val="0"/>
      <w:marBottom w:val="0"/>
      <w:divBdr>
        <w:top w:val="none" w:sz="0" w:space="0" w:color="auto"/>
        <w:left w:val="none" w:sz="0" w:space="0" w:color="auto"/>
        <w:bottom w:val="none" w:sz="0" w:space="0" w:color="auto"/>
        <w:right w:val="none" w:sz="0" w:space="0" w:color="auto"/>
      </w:divBdr>
    </w:div>
    <w:div w:id="109663971">
      <w:bodyDiv w:val="1"/>
      <w:marLeft w:val="0"/>
      <w:marRight w:val="0"/>
      <w:marTop w:val="0"/>
      <w:marBottom w:val="0"/>
      <w:divBdr>
        <w:top w:val="none" w:sz="0" w:space="0" w:color="auto"/>
        <w:left w:val="none" w:sz="0" w:space="0" w:color="auto"/>
        <w:bottom w:val="none" w:sz="0" w:space="0" w:color="auto"/>
        <w:right w:val="none" w:sz="0" w:space="0" w:color="auto"/>
      </w:divBdr>
    </w:div>
    <w:div w:id="126434751">
      <w:bodyDiv w:val="1"/>
      <w:marLeft w:val="0"/>
      <w:marRight w:val="0"/>
      <w:marTop w:val="0"/>
      <w:marBottom w:val="0"/>
      <w:divBdr>
        <w:top w:val="none" w:sz="0" w:space="0" w:color="auto"/>
        <w:left w:val="none" w:sz="0" w:space="0" w:color="auto"/>
        <w:bottom w:val="none" w:sz="0" w:space="0" w:color="auto"/>
        <w:right w:val="none" w:sz="0" w:space="0" w:color="auto"/>
      </w:divBdr>
      <w:divsChild>
        <w:div w:id="1114132301">
          <w:blockQuote w:val="1"/>
          <w:marLeft w:val="720"/>
          <w:marRight w:val="720"/>
          <w:marTop w:val="100"/>
          <w:marBottom w:val="100"/>
          <w:divBdr>
            <w:top w:val="none" w:sz="0" w:space="0" w:color="auto"/>
            <w:left w:val="none" w:sz="0" w:space="0" w:color="auto"/>
            <w:bottom w:val="none" w:sz="0" w:space="0" w:color="auto"/>
            <w:right w:val="none" w:sz="0" w:space="0" w:color="auto"/>
          </w:divBdr>
        </w:div>
        <w:div w:id="15292220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949231">
      <w:bodyDiv w:val="1"/>
      <w:marLeft w:val="0"/>
      <w:marRight w:val="0"/>
      <w:marTop w:val="0"/>
      <w:marBottom w:val="0"/>
      <w:divBdr>
        <w:top w:val="none" w:sz="0" w:space="0" w:color="auto"/>
        <w:left w:val="none" w:sz="0" w:space="0" w:color="auto"/>
        <w:bottom w:val="none" w:sz="0" w:space="0" w:color="auto"/>
        <w:right w:val="none" w:sz="0" w:space="0" w:color="auto"/>
      </w:divBdr>
    </w:div>
    <w:div w:id="131992594">
      <w:bodyDiv w:val="1"/>
      <w:marLeft w:val="0"/>
      <w:marRight w:val="0"/>
      <w:marTop w:val="0"/>
      <w:marBottom w:val="0"/>
      <w:divBdr>
        <w:top w:val="none" w:sz="0" w:space="0" w:color="auto"/>
        <w:left w:val="none" w:sz="0" w:space="0" w:color="auto"/>
        <w:bottom w:val="none" w:sz="0" w:space="0" w:color="auto"/>
        <w:right w:val="none" w:sz="0" w:space="0" w:color="auto"/>
      </w:divBdr>
    </w:div>
    <w:div w:id="133185386">
      <w:bodyDiv w:val="1"/>
      <w:marLeft w:val="0"/>
      <w:marRight w:val="0"/>
      <w:marTop w:val="0"/>
      <w:marBottom w:val="0"/>
      <w:divBdr>
        <w:top w:val="none" w:sz="0" w:space="0" w:color="auto"/>
        <w:left w:val="none" w:sz="0" w:space="0" w:color="auto"/>
        <w:bottom w:val="none" w:sz="0" w:space="0" w:color="auto"/>
        <w:right w:val="none" w:sz="0" w:space="0" w:color="auto"/>
      </w:divBdr>
      <w:divsChild>
        <w:div w:id="4452748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530256">
      <w:bodyDiv w:val="1"/>
      <w:marLeft w:val="0"/>
      <w:marRight w:val="0"/>
      <w:marTop w:val="0"/>
      <w:marBottom w:val="0"/>
      <w:divBdr>
        <w:top w:val="none" w:sz="0" w:space="0" w:color="auto"/>
        <w:left w:val="none" w:sz="0" w:space="0" w:color="auto"/>
        <w:bottom w:val="none" w:sz="0" w:space="0" w:color="auto"/>
        <w:right w:val="none" w:sz="0" w:space="0" w:color="auto"/>
      </w:divBdr>
    </w:div>
    <w:div w:id="137185087">
      <w:bodyDiv w:val="1"/>
      <w:marLeft w:val="0"/>
      <w:marRight w:val="0"/>
      <w:marTop w:val="0"/>
      <w:marBottom w:val="0"/>
      <w:divBdr>
        <w:top w:val="none" w:sz="0" w:space="0" w:color="auto"/>
        <w:left w:val="none" w:sz="0" w:space="0" w:color="auto"/>
        <w:bottom w:val="none" w:sz="0" w:space="0" w:color="auto"/>
        <w:right w:val="none" w:sz="0" w:space="0" w:color="auto"/>
      </w:divBdr>
    </w:div>
    <w:div w:id="139546383">
      <w:bodyDiv w:val="1"/>
      <w:marLeft w:val="0"/>
      <w:marRight w:val="0"/>
      <w:marTop w:val="0"/>
      <w:marBottom w:val="0"/>
      <w:divBdr>
        <w:top w:val="none" w:sz="0" w:space="0" w:color="auto"/>
        <w:left w:val="none" w:sz="0" w:space="0" w:color="auto"/>
        <w:bottom w:val="none" w:sz="0" w:space="0" w:color="auto"/>
        <w:right w:val="none" w:sz="0" w:space="0" w:color="auto"/>
      </w:divBdr>
    </w:div>
    <w:div w:id="144931325">
      <w:bodyDiv w:val="1"/>
      <w:marLeft w:val="0"/>
      <w:marRight w:val="0"/>
      <w:marTop w:val="0"/>
      <w:marBottom w:val="0"/>
      <w:divBdr>
        <w:top w:val="none" w:sz="0" w:space="0" w:color="auto"/>
        <w:left w:val="none" w:sz="0" w:space="0" w:color="auto"/>
        <w:bottom w:val="none" w:sz="0" w:space="0" w:color="auto"/>
        <w:right w:val="none" w:sz="0" w:space="0" w:color="auto"/>
      </w:divBdr>
    </w:div>
    <w:div w:id="148638872">
      <w:bodyDiv w:val="1"/>
      <w:marLeft w:val="0"/>
      <w:marRight w:val="0"/>
      <w:marTop w:val="0"/>
      <w:marBottom w:val="0"/>
      <w:divBdr>
        <w:top w:val="none" w:sz="0" w:space="0" w:color="auto"/>
        <w:left w:val="none" w:sz="0" w:space="0" w:color="auto"/>
        <w:bottom w:val="none" w:sz="0" w:space="0" w:color="auto"/>
        <w:right w:val="none" w:sz="0" w:space="0" w:color="auto"/>
      </w:divBdr>
    </w:div>
    <w:div w:id="156118029">
      <w:bodyDiv w:val="1"/>
      <w:marLeft w:val="0"/>
      <w:marRight w:val="0"/>
      <w:marTop w:val="0"/>
      <w:marBottom w:val="0"/>
      <w:divBdr>
        <w:top w:val="none" w:sz="0" w:space="0" w:color="auto"/>
        <w:left w:val="none" w:sz="0" w:space="0" w:color="auto"/>
        <w:bottom w:val="none" w:sz="0" w:space="0" w:color="auto"/>
        <w:right w:val="none" w:sz="0" w:space="0" w:color="auto"/>
      </w:divBdr>
      <w:divsChild>
        <w:div w:id="2072774143">
          <w:marLeft w:val="0"/>
          <w:marRight w:val="0"/>
          <w:marTop w:val="0"/>
          <w:marBottom w:val="0"/>
          <w:divBdr>
            <w:top w:val="none" w:sz="0" w:space="0" w:color="auto"/>
            <w:left w:val="none" w:sz="0" w:space="0" w:color="auto"/>
            <w:bottom w:val="none" w:sz="0" w:space="0" w:color="auto"/>
            <w:right w:val="none" w:sz="0" w:space="0" w:color="auto"/>
          </w:divBdr>
        </w:div>
      </w:divsChild>
    </w:div>
    <w:div w:id="168984245">
      <w:bodyDiv w:val="1"/>
      <w:marLeft w:val="0"/>
      <w:marRight w:val="0"/>
      <w:marTop w:val="0"/>
      <w:marBottom w:val="0"/>
      <w:divBdr>
        <w:top w:val="none" w:sz="0" w:space="0" w:color="auto"/>
        <w:left w:val="none" w:sz="0" w:space="0" w:color="auto"/>
        <w:bottom w:val="none" w:sz="0" w:space="0" w:color="auto"/>
        <w:right w:val="none" w:sz="0" w:space="0" w:color="auto"/>
      </w:divBdr>
      <w:divsChild>
        <w:div w:id="2105103092">
          <w:marLeft w:val="0"/>
          <w:marRight w:val="0"/>
          <w:marTop w:val="0"/>
          <w:marBottom w:val="0"/>
          <w:divBdr>
            <w:top w:val="none" w:sz="0" w:space="0" w:color="auto"/>
            <w:left w:val="none" w:sz="0" w:space="0" w:color="auto"/>
            <w:bottom w:val="none" w:sz="0" w:space="0" w:color="auto"/>
            <w:right w:val="none" w:sz="0" w:space="0" w:color="auto"/>
          </w:divBdr>
          <w:divsChild>
            <w:div w:id="32685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81294">
      <w:bodyDiv w:val="1"/>
      <w:marLeft w:val="0"/>
      <w:marRight w:val="0"/>
      <w:marTop w:val="0"/>
      <w:marBottom w:val="0"/>
      <w:divBdr>
        <w:top w:val="none" w:sz="0" w:space="0" w:color="auto"/>
        <w:left w:val="none" w:sz="0" w:space="0" w:color="auto"/>
        <w:bottom w:val="none" w:sz="0" w:space="0" w:color="auto"/>
        <w:right w:val="none" w:sz="0" w:space="0" w:color="auto"/>
      </w:divBdr>
    </w:div>
    <w:div w:id="171261722">
      <w:bodyDiv w:val="1"/>
      <w:marLeft w:val="0"/>
      <w:marRight w:val="0"/>
      <w:marTop w:val="0"/>
      <w:marBottom w:val="0"/>
      <w:divBdr>
        <w:top w:val="none" w:sz="0" w:space="0" w:color="auto"/>
        <w:left w:val="none" w:sz="0" w:space="0" w:color="auto"/>
        <w:bottom w:val="none" w:sz="0" w:space="0" w:color="auto"/>
        <w:right w:val="none" w:sz="0" w:space="0" w:color="auto"/>
      </w:divBdr>
    </w:div>
    <w:div w:id="180630373">
      <w:bodyDiv w:val="1"/>
      <w:marLeft w:val="0"/>
      <w:marRight w:val="0"/>
      <w:marTop w:val="0"/>
      <w:marBottom w:val="0"/>
      <w:divBdr>
        <w:top w:val="none" w:sz="0" w:space="0" w:color="auto"/>
        <w:left w:val="none" w:sz="0" w:space="0" w:color="auto"/>
        <w:bottom w:val="none" w:sz="0" w:space="0" w:color="auto"/>
        <w:right w:val="none" w:sz="0" w:space="0" w:color="auto"/>
      </w:divBdr>
      <w:divsChild>
        <w:div w:id="7613382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124479">
      <w:bodyDiv w:val="1"/>
      <w:marLeft w:val="0"/>
      <w:marRight w:val="0"/>
      <w:marTop w:val="0"/>
      <w:marBottom w:val="0"/>
      <w:divBdr>
        <w:top w:val="none" w:sz="0" w:space="0" w:color="auto"/>
        <w:left w:val="none" w:sz="0" w:space="0" w:color="auto"/>
        <w:bottom w:val="none" w:sz="0" w:space="0" w:color="auto"/>
        <w:right w:val="none" w:sz="0" w:space="0" w:color="auto"/>
      </w:divBdr>
    </w:div>
    <w:div w:id="202639302">
      <w:bodyDiv w:val="1"/>
      <w:marLeft w:val="0"/>
      <w:marRight w:val="0"/>
      <w:marTop w:val="0"/>
      <w:marBottom w:val="0"/>
      <w:divBdr>
        <w:top w:val="none" w:sz="0" w:space="0" w:color="auto"/>
        <w:left w:val="none" w:sz="0" w:space="0" w:color="auto"/>
        <w:bottom w:val="none" w:sz="0" w:space="0" w:color="auto"/>
        <w:right w:val="none" w:sz="0" w:space="0" w:color="auto"/>
      </w:divBdr>
    </w:div>
    <w:div w:id="204414316">
      <w:bodyDiv w:val="1"/>
      <w:marLeft w:val="0"/>
      <w:marRight w:val="0"/>
      <w:marTop w:val="0"/>
      <w:marBottom w:val="0"/>
      <w:divBdr>
        <w:top w:val="none" w:sz="0" w:space="0" w:color="auto"/>
        <w:left w:val="none" w:sz="0" w:space="0" w:color="auto"/>
        <w:bottom w:val="none" w:sz="0" w:space="0" w:color="auto"/>
        <w:right w:val="none" w:sz="0" w:space="0" w:color="auto"/>
      </w:divBdr>
    </w:div>
    <w:div w:id="204486688">
      <w:bodyDiv w:val="1"/>
      <w:marLeft w:val="0"/>
      <w:marRight w:val="0"/>
      <w:marTop w:val="0"/>
      <w:marBottom w:val="0"/>
      <w:divBdr>
        <w:top w:val="none" w:sz="0" w:space="0" w:color="auto"/>
        <w:left w:val="none" w:sz="0" w:space="0" w:color="auto"/>
        <w:bottom w:val="none" w:sz="0" w:space="0" w:color="auto"/>
        <w:right w:val="none" w:sz="0" w:space="0" w:color="auto"/>
      </w:divBdr>
    </w:div>
    <w:div w:id="220556487">
      <w:bodyDiv w:val="1"/>
      <w:marLeft w:val="0"/>
      <w:marRight w:val="0"/>
      <w:marTop w:val="0"/>
      <w:marBottom w:val="0"/>
      <w:divBdr>
        <w:top w:val="none" w:sz="0" w:space="0" w:color="auto"/>
        <w:left w:val="none" w:sz="0" w:space="0" w:color="auto"/>
        <w:bottom w:val="none" w:sz="0" w:space="0" w:color="auto"/>
        <w:right w:val="none" w:sz="0" w:space="0" w:color="auto"/>
      </w:divBdr>
    </w:div>
    <w:div w:id="223640557">
      <w:bodyDiv w:val="1"/>
      <w:marLeft w:val="0"/>
      <w:marRight w:val="0"/>
      <w:marTop w:val="0"/>
      <w:marBottom w:val="0"/>
      <w:divBdr>
        <w:top w:val="none" w:sz="0" w:space="0" w:color="auto"/>
        <w:left w:val="none" w:sz="0" w:space="0" w:color="auto"/>
        <w:bottom w:val="none" w:sz="0" w:space="0" w:color="auto"/>
        <w:right w:val="none" w:sz="0" w:space="0" w:color="auto"/>
      </w:divBdr>
      <w:divsChild>
        <w:div w:id="2105374743">
          <w:marLeft w:val="0"/>
          <w:marRight w:val="0"/>
          <w:marTop w:val="0"/>
          <w:marBottom w:val="0"/>
          <w:divBdr>
            <w:top w:val="none" w:sz="0" w:space="0" w:color="auto"/>
            <w:left w:val="none" w:sz="0" w:space="0" w:color="auto"/>
            <w:bottom w:val="none" w:sz="0" w:space="0" w:color="auto"/>
            <w:right w:val="none" w:sz="0" w:space="0" w:color="auto"/>
          </w:divBdr>
          <w:divsChild>
            <w:div w:id="1223518048">
              <w:marLeft w:val="0"/>
              <w:marRight w:val="0"/>
              <w:marTop w:val="0"/>
              <w:marBottom w:val="0"/>
              <w:divBdr>
                <w:top w:val="none" w:sz="0" w:space="0" w:color="auto"/>
                <w:left w:val="none" w:sz="0" w:space="0" w:color="auto"/>
                <w:bottom w:val="none" w:sz="0" w:space="0" w:color="auto"/>
                <w:right w:val="none" w:sz="0" w:space="0" w:color="auto"/>
              </w:divBdr>
            </w:div>
          </w:divsChild>
        </w:div>
        <w:div w:id="795097252">
          <w:marLeft w:val="0"/>
          <w:marRight w:val="0"/>
          <w:marTop w:val="0"/>
          <w:marBottom w:val="0"/>
          <w:divBdr>
            <w:top w:val="none" w:sz="0" w:space="0" w:color="auto"/>
            <w:left w:val="none" w:sz="0" w:space="0" w:color="auto"/>
            <w:bottom w:val="none" w:sz="0" w:space="0" w:color="auto"/>
            <w:right w:val="none" w:sz="0" w:space="0" w:color="auto"/>
          </w:divBdr>
          <w:divsChild>
            <w:div w:id="82104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340350">
      <w:bodyDiv w:val="1"/>
      <w:marLeft w:val="0"/>
      <w:marRight w:val="0"/>
      <w:marTop w:val="0"/>
      <w:marBottom w:val="0"/>
      <w:divBdr>
        <w:top w:val="none" w:sz="0" w:space="0" w:color="auto"/>
        <w:left w:val="none" w:sz="0" w:space="0" w:color="auto"/>
        <w:bottom w:val="none" w:sz="0" w:space="0" w:color="auto"/>
        <w:right w:val="none" w:sz="0" w:space="0" w:color="auto"/>
      </w:divBdr>
    </w:div>
    <w:div w:id="228539655">
      <w:bodyDiv w:val="1"/>
      <w:marLeft w:val="0"/>
      <w:marRight w:val="0"/>
      <w:marTop w:val="0"/>
      <w:marBottom w:val="0"/>
      <w:divBdr>
        <w:top w:val="none" w:sz="0" w:space="0" w:color="auto"/>
        <w:left w:val="none" w:sz="0" w:space="0" w:color="auto"/>
        <w:bottom w:val="none" w:sz="0" w:space="0" w:color="auto"/>
        <w:right w:val="none" w:sz="0" w:space="0" w:color="auto"/>
      </w:divBdr>
    </w:div>
    <w:div w:id="229847652">
      <w:bodyDiv w:val="1"/>
      <w:marLeft w:val="0"/>
      <w:marRight w:val="0"/>
      <w:marTop w:val="0"/>
      <w:marBottom w:val="0"/>
      <w:divBdr>
        <w:top w:val="none" w:sz="0" w:space="0" w:color="auto"/>
        <w:left w:val="none" w:sz="0" w:space="0" w:color="auto"/>
        <w:bottom w:val="none" w:sz="0" w:space="0" w:color="auto"/>
        <w:right w:val="none" w:sz="0" w:space="0" w:color="auto"/>
      </w:divBdr>
    </w:div>
    <w:div w:id="231963601">
      <w:bodyDiv w:val="1"/>
      <w:marLeft w:val="0"/>
      <w:marRight w:val="0"/>
      <w:marTop w:val="0"/>
      <w:marBottom w:val="0"/>
      <w:divBdr>
        <w:top w:val="none" w:sz="0" w:space="0" w:color="auto"/>
        <w:left w:val="none" w:sz="0" w:space="0" w:color="auto"/>
        <w:bottom w:val="none" w:sz="0" w:space="0" w:color="auto"/>
        <w:right w:val="none" w:sz="0" w:space="0" w:color="auto"/>
      </w:divBdr>
    </w:div>
    <w:div w:id="236786594">
      <w:bodyDiv w:val="1"/>
      <w:marLeft w:val="0"/>
      <w:marRight w:val="0"/>
      <w:marTop w:val="0"/>
      <w:marBottom w:val="0"/>
      <w:divBdr>
        <w:top w:val="none" w:sz="0" w:space="0" w:color="auto"/>
        <w:left w:val="none" w:sz="0" w:space="0" w:color="auto"/>
        <w:bottom w:val="none" w:sz="0" w:space="0" w:color="auto"/>
        <w:right w:val="none" w:sz="0" w:space="0" w:color="auto"/>
      </w:divBdr>
      <w:divsChild>
        <w:div w:id="856889812">
          <w:marLeft w:val="0"/>
          <w:marRight w:val="0"/>
          <w:marTop w:val="0"/>
          <w:marBottom w:val="0"/>
          <w:divBdr>
            <w:top w:val="none" w:sz="0" w:space="0" w:color="auto"/>
            <w:left w:val="none" w:sz="0" w:space="0" w:color="auto"/>
            <w:bottom w:val="none" w:sz="0" w:space="0" w:color="auto"/>
            <w:right w:val="none" w:sz="0" w:space="0" w:color="auto"/>
          </w:divBdr>
        </w:div>
        <w:div w:id="1155924255">
          <w:marLeft w:val="0"/>
          <w:marRight w:val="0"/>
          <w:marTop w:val="0"/>
          <w:marBottom w:val="0"/>
          <w:divBdr>
            <w:top w:val="none" w:sz="0" w:space="0" w:color="auto"/>
            <w:left w:val="none" w:sz="0" w:space="0" w:color="auto"/>
            <w:bottom w:val="none" w:sz="0" w:space="0" w:color="auto"/>
            <w:right w:val="none" w:sz="0" w:space="0" w:color="auto"/>
          </w:divBdr>
          <w:divsChild>
            <w:div w:id="871377995">
              <w:marLeft w:val="0"/>
              <w:marRight w:val="0"/>
              <w:marTop w:val="0"/>
              <w:marBottom w:val="0"/>
              <w:divBdr>
                <w:top w:val="none" w:sz="0" w:space="0" w:color="auto"/>
                <w:left w:val="none" w:sz="0" w:space="0" w:color="auto"/>
                <w:bottom w:val="none" w:sz="0" w:space="0" w:color="auto"/>
                <w:right w:val="none" w:sz="0" w:space="0" w:color="auto"/>
              </w:divBdr>
              <w:divsChild>
                <w:div w:id="1629164076">
                  <w:marLeft w:val="0"/>
                  <w:marRight w:val="0"/>
                  <w:marTop w:val="0"/>
                  <w:marBottom w:val="0"/>
                  <w:divBdr>
                    <w:top w:val="none" w:sz="0" w:space="0" w:color="auto"/>
                    <w:left w:val="none" w:sz="0" w:space="0" w:color="auto"/>
                    <w:bottom w:val="none" w:sz="0" w:space="0" w:color="auto"/>
                    <w:right w:val="none" w:sz="0" w:space="0" w:color="auto"/>
                  </w:divBdr>
                  <w:divsChild>
                    <w:div w:id="518742022">
                      <w:marLeft w:val="0"/>
                      <w:marRight w:val="0"/>
                      <w:marTop w:val="0"/>
                      <w:marBottom w:val="0"/>
                      <w:divBdr>
                        <w:top w:val="none" w:sz="0" w:space="0" w:color="auto"/>
                        <w:left w:val="none" w:sz="0" w:space="0" w:color="auto"/>
                        <w:bottom w:val="none" w:sz="0" w:space="0" w:color="auto"/>
                        <w:right w:val="none" w:sz="0" w:space="0" w:color="auto"/>
                      </w:divBdr>
                      <w:divsChild>
                        <w:div w:id="1867057407">
                          <w:marLeft w:val="0"/>
                          <w:marRight w:val="0"/>
                          <w:marTop w:val="0"/>
                          <w:marBottom w:val="0"/>
                          <w:divBdr>
                            <w:top w:val="none" w:sz="0" w:space="0" w:color="auto"/>
                            <w:left w:val="none" w:sz="0" w:space="0" w:color="auto"/>
                            <w:bottom w:val="none" w:sz="0" w:space="0" w:color="auto"/>
                            <w:right w:val="none" w:sz="0" w:space="0" w:color="auto"/>
                          </w:divBdr>
                        </w:div>
                      </w:divsChild>
                    </w:div>
                    <w:div w:id="2094163051">
                      <w:marLeft w:val="0"/>
                      <w:marRight w:val="0"/>
                      <w:marTop w:val="0"/>
                      <w:marBottom w:val="0"/>
                      <w:divBdr>
                        <w:top w:val="none" w:sz="0" w:space="0" w:color="auto"/>
                        <w:left w:val="none" w:sz="0" w:space="0" w:color="auto"/>
                        <w:bottom w:val="none" w:sz="0" w:space="0" w:color="auto"/>
                        <w:right w:val="none" w:sz="0" w:space="0" w:color="auto"/>
                      </w:divBdr>
                      <w:divsChild>
                        <w:div w:id="1519927354">
                          <w:marLeft w:val="0"/>
                          <w:marRight w:val="0"/>
                          <w:marTop w:val="0"/>
                          <w:marBottom w:val="0"/>
                          <w:divBdr>
                            <w:top w:val="none" w:sz="0" w:space="0" w:color="auto"/>
                            <w:left w:val="none" w:sz="0" w:space="0" w:color="auto"/>
                            <w:bottom w:val="none" w:sz="0" w:space="0" w:color="auto"/>
                            <w:right w:val="none" w:sz="0" w:space="0" w:color="auto"/>
                          </w:divBdr>
                        </w:div>
                      </w:divsChild>
                    </w:div>
                    <w:div w:id="379281563">
                      <w:marLeft w:val="0"/>
                      <w:marRight w:val="0"/>
                      <w:marTop w:val="0"/>
                      <w:marBottom w:val="0"/>
                      <w:divBdr>
                        <w:top w:val="none" w:sz="0" w:space="0" w:color="auto"/>
                        <w:left w:val="none" w:sz="0" w:space="0" w:color="auto"/>
                        <w:bottom w:val="none" w:sz="0" w:space="0" w:color="auto"/>
                        <w:right w:val="none" w:sz="0" w:space="0" w:color="auto"/>
                      </w:divBdr>
                      <w:divsChild>
                        <w:div w:id="172494176">
                          <w:marLeft w:val="0"/>
                          <w:marRight w:val="0"/>
                          <w:marTop w:val="0"/>
                          <w:marBottom w:val="0"/>
                          <w:divBdr>
                            <w:top w:val="none" w:sz="0" w:space="0" w:color="auto"/>
                            <w:left w:val="none" w:sz="0" w:space="0" w:color="auto"/>
                            <w:bottom w:val="none" w:sz="0" w:space="0" w:color="auto"/>
                            <w:right w:val="none" w:sz="0" w:space="0" w:color="auto"/>
                          </w:divBdr>
                        </w:div>
                      </w:divsChild>
                    </w:div>
                    <w:div w:id="131487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7327436">
      <w:bodyDiv w:val="1"/>
      <w:marLeft w:val="0"/>
      <w:marRight w:val="0"/>
      <w:marTop w:val="0"/>
      <w:marBottom w:val="0"/>
      <w:divBdr>
        <w:top w:val="none" w:sz="0" w:space="0" w:color="auto"/>
        <w:left w:val="none" w:sz="0" w:space="0" w:color="auto"/>
        <w:bottom w:val="none" w:sz="0" w:space="0" w:color="auto"/>
        <w:right w:val="none" w:sz="0" w:space="0" w:color="auto"/>
      </w:divBdr>
    </w:div>
    <w:div w:id="239606479">
      <w:bodyDiv w:val="1"/>
      <w:marLeft w:val="0"/>
      <w:marRight w:val="0"/>
      <w:marTop w:val="0"/>
      <w:marBottom w:val="0"/>
      <w:divBdr>
        <w:top w:val="none" w:sz="0" w:space="0" w:color="auto"/>
        <w:left w:val="none" w:sz="0" w:space="0" w:color="auto"/>
        <w:bottom w:val="none" w:sz="0" w:space="0" w:color="auto"/>
        <w:right w:val="none" w:sz="0" w:space="0" w:color="auto"/>
      </w:divBdr>
    </w:div>
    <w:div w:id="239875572">
      <w:bodyDiv w:val="1"/>
      <w:marLeft w:val="0"/>
      <w:marRight w:val="0"/>
      <w:marTop w:val="0"/>
      <w:marBottom w:val="0"/>
      <w:divBdr>
        <w:top w:val="none" w:sz="0" w:space="0" w:color="auto"/>
        <w:left w:val="none" w:sz="0" w:space="0" w:color="auto"/>
        <w:bottom w:val="none" w:sz="0" w:space="0" w:color="auto"/>
        <w:right w:val="none" w:sz="0" w:space="0" w:color="auto"/>
      </w:divBdr>
    </w:div>
    <w:div w:id="243540687">
      <w:bodyDiv w:val="1"/>
      <w:marLeft w:val="0"/>
      <w:marRight w:val="0"/>
      <w:marTop w:val="0"/>
      <w:marBottom w:val="0"/>
      <w:divBdr>
        <w:top w:val="none" w:sz="0" w:space="0" w:color="auto"/>
        <w:left w:val="none" w:sz="0" w:space="0" w:color="auto"/>
        <w:bottom w:val="none" w:sz="0" w:space="0" w:color="auto"/>
        <w:right w:val="none" w:sz="0" w:space="0" w:color="auto"/>
      </w:divBdr>
      <w:divsChild>
        <w:div w:id="218592902">
          <w:marLeft w:val="0"/>
          <w:marRight w:val="0"/>
          <w:marTop w:val="0"/>
          <w:marBottom w:val="0"/>
          <w:divBdr>
            <w:top w:val="none" w:sz="0" w:space="0" w:color="auto"/>
            <w:left w:val="none" w:sz="0" w:space="0" w:color="auto"/>
            <w:bottom w:val="none" w:sz="0" w:space="0" w:color="auto"/>
            <w:right w:val="none" w:sz="0" w:space="0" w:color="auto"/>
          </w:divBdr>
        </w:div>
      </w:divsChild>
    </w:div>
    <w:div w:id="244414055">
      <w:bodyDiv w:val="1"/>
      <w:marLeft w:val="0"/>
      <w:marRight w:val="0"/>
      <w:marTop w:val="0"/>
      <w:marBottom w:val="0"/>
      <w:divBdr>
        <w:top w:val="none" w:sz="0" w:space="0" w:color="auto"/>
        <w:left w:val="none" w:sz="0" w:space="0" w:color="auto"/>
        <w:bottom w:val="none" w:sz="0" w:space="0" w:color="auto"/>
        <w:right w:val="none" w:sz="0" w:space="0" w:color="auto"/>
      </w:divBdr>
      <w:divsChild>
        <w:div w:id="2131893630">
          <w:marLeft w:val="0"/>
          <w:marRight w:val="0"/>
          <w:marTop w:val="0"/>
          <w:marBottom w:val="0"/>
          <w:divBdr>
            <w:top w:val="none" w:sz="0" w:space="0" w:color="auto"/>
            <w:left w:val="none" w:sz="0" w:space="0" w:color="auto"/>
            <w:bottom w:val="none" w:sz="0" w:space="0" w:color="auto"/>
            <w:right w:val="none" w:sz="0" w:space="0" w:color="auto"/>
          </w:divBdr>
        </w:div>
      </w:divsChild>
    </w:div>
    <w:div w:id="248735701">
      <w:bodyDiv w:val="1"/>
      <w:marLeft w:val="0"/>
      <w:marRight w:val="0"/>
      <w:marTop w:val="0"/>
      <w:marBottom w:val="0"/>
      <w:divBdr>
        <w:top w:val="none" w:sz="0" w:space="0" w:color="auto"/>
        <w:left w:val="none" w:sz="0" w:space="0" w:color="auto"/>
        <w:bottom w:val="none" w:sz="0" w:space="0" w:color="auto"/>
        <w:right w:val="none" w:sz="0" w:space="0" w:color="auto"/>
      </w:divBdr>
    </w:div>
    <w:div w:id="249437274">
      <w:bodyDiv w:val="1"/>
      <w:marLeft w:val="0"/>
      <w:marRight w:val="0"/>
      <w:marTop w:val="0"/>
      <w:marBottom w:val="0"/>
      <w:divBdr>
        <w:top w:val="none" w:sz="0" w:space="0" w:color="auto"/>
        <w:left w:val="none" w:sz="0" w:space="0" w:color="auto"/>
        <w:bottom w:val="none" w:sz="0" w:space="0" w:color="auto"/>
        <w:right w:val="none" w:sz="0" w:space="0" w:color="auto"/>
      </w:divBdr>
      <w:divsChild>
        <w:div w:id="2263075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0087189">
      <w:bodyDiv w:val="1"/>
      <w:marLeft w:val="0"/>
      <w:marRight w:val="0"/>
      <w:marTop w:val="0"/>
      <w:marBottom w:val="0"/>
      <w:divBdr>
        <w:top w:val="none" w:sz="0" w:space="0" w:color="auto"/>
        <w:left w:val="none" w:sz="0" w:space="0" w:color="auto"/>
        <w:bottom w:val="none" w:sz="0" w:space="0" w:color="auto"/>
        <w:right w:val="none" w:sz="0" w:space="0" w:color="auto"/>
      </w:divBdr>
      <w:divsChild>
        <w:div w:id="1470634373">
          <w:marLeft w:val="0"/>
          <w:marRight w:val="0"/>
          <w:marTop w:val="0"/>
          <w:marBottom w:val="0"/>
          <w:divBdr>
            <w:top w:val="none" w:sz="0" w:space="0" w:color="auto"/>
            <w:left w:val="none" w:sz="0" w:space="0" w:color="auto"/>
            <w:bottom w:val="none" w:sz="0" w:space="0" w:color="auto"/>
            <w:right w:val="none" w:sz="0" w:space="0" w:color="auto"/>
          </w:divBdr>
        </w:div>
      </w:divsChild>
    </w:div>
    <w:div w:id="252856939">
      <w:bodyDiv w:val="1"/>
      <w:marLeft w:val="0"/>
      <w:marRight w:val="0"/>
      <w:marTop w:val="0"/>
      <w:marBottom w:val="0"/>
      <w:divBdr>
        <w:top w:val="none" w:sz="0" w:space="0" w:color="auto"/>
        <w:left w:val="none" w:sz="0" w:space="0" w:color="auto"/>
        <w:bottom w:val="none" w:sz="0" w:space="0" w:color="auto"/>
        <w:right w:val="none" w:sz="0" w:space="0" w:color="auto"/>
      </w:divBdr>
    </w:div>
    <w:div w:id="262765563">
      <w:bodyDiv w:val="1"/>
      <w:marLeft w:val="0"/>
      <w:marRight w:val="0"/>
      <w:marTop w:val="0"/>
      <w:marBottom w:val="0"/>
      <w:divBdr>
        <w:top w:val="none" w:sz="0" w:space="0" w:color="auto"/>
        <w:left w:val="none" w:sz="0" w:space="0" w:color="auto"/>
        <w:bottom w:val="none" w:sz="0" w:space="0" w:color="auto"/>
        <w:right w:val="none" w:sz="0" w:space="0" w:color="auto"/>
      </w:divBdr>
    </w:div>
    <w:div w:id="264265351">
      <w:bodyDiv w:val="1"/>
      <w:marLeft w:val="0"/>
      <w:marRight w:val="0"/>
      <w:marTop w:val="0"/>
      <w:marBottom w:val="0"/>
      <w:divBdr>
        <w:top w:val="none" w:sz="0" w:space="0" w:color="auto"/>
        <w:left w:val="none" w:sz="0" w:space="0" w:color="auto"/>
        <w:bottom w:val="none" w:sz="0" w:space="0" w:color="auto"/>
        <w:right w:val="none" w:sz="0" w:space="0" w:color="auto"/>
      </w:divBdr>
    </w:div>
    <w:div w:id="266471292">
      <w:bodyDiv w:val="1"/>
      <w:marLeft w:val="0"/>
      <w:marRight w:val="0"/>
      <w:marTop w:val="0"/>
      <w:marBottom w:val="0"/>
      <w:divBdr>
        <w:top w:val="none" w:sz="0" w:space="0" w:color="auto"/>
        <w:left w:val="none" w:sz="0" w:space="0" w:color="auto"/>
        <w:bottom w:val="none" w:sz="0" w:space="0" w:color="auto"/>
        <w:right w:val="none" w:sz="0" w:space="0" w:color="auto"/>
      </w:divBdr>
    </w:div>
    <w:div w:id="269094722">
      <w:bodyDiv w:val="1"/>
      <w:marLeft w:val="0"/>
      <w:marRight w:val="0"/>
      <w:marTop w:val="0"/>
      <w:marBottom w:val="0"/>
      <w:divBdr>
        <w:top w:val="none" w:sz="0" w:space="0" w:color="auto"/>
        <w:left w:val="none" w:sz="0" w:space="0" w:color="auto"/>
        <w:bottom w:val="none" w:sz="0" w:space="0" w:color="auto"/>
        <w:right w:val="none" w:sz="0" w:space="0" w:color="auto"/>
      </w:divBdr>
    </w:div>
    <w:div w:id="276720037">
      <w:bodyDiv w:val="1"/>
      <w:marLeft w:val="0"/>
      <w:marRight w:val="0"/>
      <w:marTop w:val="0"/>
      <w:marBottom w:val="0"/>
      <w:divBdr>
        <w:top w:val="none" w:sz="0" w:space="0" w:color="auto"/>
        <w:left w:val="none" w:sz="0" w:space="0" w:color="auto"/>
        <w:bottom w:val="none" w:sz="0" w:space="0" w:color="auto"/>
        <w:right w:val="none" w:sz="0" w:space="0" w:color="auto"/>
      </w:divBdr>
    </w:div>
    <w:div w:id="276911616">
      <w:bodyDiv w:val="1"/>
      <w:marLeft w:val="0"/>
      <w:marRight w:val="0"/>
      <w:marTop w:val="0"/>
      <w:marBottom w:val="0"/>
      <w:divBdr>
        <w:top w:val="none" w:sz="0" w:space="0" w:color="auto"/>
        <w:left w:val="none" w:sz="0" w:space="0" w:color="auto"/>
        <w:bottom w:val="none" w:sz="0" w:space="0" w:color="auto"/>
        <w:right w:val="none" w:sz="0" w:space="0" w:color="auto"/>
      </w:divBdr>
    </w:div>
    <w:div w:id="280038722">
      <w:bodyDiv w:val="1"/>
      <w:marLeft w:val="0"/>
      <w:marRight w:val="0"/>
      <w:marTop w:val="0"/>
      <w:marBottom w:val="0"/>
      <w:divBdr>
        <w:top w:val="none" w:sz="0" w:space="0" w:color="auto"/>
        <w:left w:val="none" w:sz="0" w:space="0" w:color="auto"/>
        <w:bottom w:val="none" w:sz="0" w:space="0" w:color="auto"/>
        <w:right w:val="none" w:sz="0" w:space="0" w:color="auto"/>
      </w:divBdr>
      <w:divsChild>
        <w:div w:id="1781871209">
          <w:marLeft w:val="0"/>
          <w:marRight w:val="0"/>
          <w:marTop w:val="0"/>
          <w:marBottom w:val="0"/>
          <w:divBdr>
            <w:top w:val="none" w:sz="0" w:space="0" w:color="auto"/>
            <w:left w:val="none" w:sz="0" w:space="0" w:color="auto"/>
            <w:bottom w:val="none" w:sz="0" w:space="0" w:color="auto"/>
            <w:right w:val="none" w:sz="0" w:space="0" w:color="auto"/>
          </w:divBdr>
        </w:div>
        <w:div w:id="1379625148">
          <w:marLeft w:val="0"/>
          <w:marRight w:val="0"/>
          <w:marTop w:val="0"/>
          <w:marBottom w:val="0"/>
          <w:divBdr>
            <w:top w:val="none" w:sz="0" w:space="0" w:color="auto"/>
            <w:left w:val="none" w:sz="0" w:space="0" w:color="auto"/>
            <w:bottom w:val="none" w:sz="0" w:space="0" w:color="auto"/>
            <w:right w:val="none" w:sz="0" w:space="0" w:color="auto"/>
          </w:divBdr>
          <w:divsChild>
            <w:div w:id="1052803056">
              <w:marLeft w:val="0"/>
              <w:marRight w:val="0"/>
              <w:marTop w:val="0"/>
              <w:marBottom w:val="0"/>
              <w:divBdr>
                <w:top w:val="none" w:sz="0" w:space="0" w:color="auto"/>
                <w:left w:val="none" w:sz="0" w:space="0" w:color="auto"/>
                <w:bottom w:val="none" w:sz="0" w:space="0" w:color="auto"/>
                <w:right w:val="none" w:sz="0" w:space="0" w:color="auto"/>
              </w:divBdr>
              <w:divsChild>
                <w:div w:id="1835097723">
                  <w:marLeft w:val="0"/>
                  <w:marRight w:val="0"/>
                  <w:marTop w:val="0"/>
                  <w:marBottom w:val="0"/>
                  <w:divBdr>
                    <w:top w:val="none" w:sz="0" w:space="0" w:color="auto"/>
                    <w:left w:val="none" w:sz="0" w:space="0" w:color="auto"/>
                    <w:bottom w:val="none" w:sz="0" w:space="0" w:color="auto"/>
                    <w:right w:val="none" w:sz="0" w:space="0" w:color="auto"/>
                  </w:divBdr>
                  <w:divsChild>
                    <w:div w:id="1207639249">
                      <w:marLeft w:val="0"/>
                      <w:marRight w:val="0"/>
                      <w:marTop w:val="0"/>
                      <w:marBottom w:val="0"/>
                      <w:divBdr>
                        <w:top w:val="none" w:sz="0" w:space="0" w:color="auto"/>
                        <w:left w:val="none" w:sz="0" w:space="0" w:color="auto"/>
                        <w:bottom w:val="none" w:sz="0" w:space="0" w:color="auto"/>
                        <w:right w:val="none" w:sz="0" w:space="0" w:color="auto"/>
                      </w:divBdr>
                      <w:divsChild>
                        <w:div w:id="1844734525">
                          <w:marLeft w:val="0"/>
                          <w:marRight w:val="0"/>
                          <w:marTop w:val="0"/>
                          <w:marBottom w:val="0"/>
                          <w:divBdr>
                            <w:top w:val="none" w:sz="0" w:space="0" w:color="auto"/>
                            <w:left w:val="none" w:sz="0" w:space="0" w:color="auto"/>
                            <w:bottom w:val="none" w:sz="0" w:space="0" w:color="auto"/>
                            <w:right w:val="none" w:sz="0" w:space="0" w:color="auto"/>
                          </w:divBdr>
                        </w:div>
                      </w:divsChild>
                    </w:div>
                    <w:div w:id="887104892">
                      <w:marLeft w:val="0"/>
                      <w:marRight w:val="0"/>
                      <w:marTop w:val="0"/>
                      <w:marBottom w:val="0"/>
                      <w:divBdr>
                        <w:top w:val="none" w:sz="0" w:space="0" w:color="auto"/>
                        <w:left w:val="none" w:sz="0" w:space="0" w:color="auto"/>
                        <w:bottom w:val="none" w:sz="0" w:space="0" w:color="auto"/>
                        <w:right w:val="none" w:sz="0" w:space="0" w:color="auto"/>
                      </w:divBdr>
                      <w:divsChild>
                        <w:div w:id="298072873">
                          <w:marLeft w:val="0"/>
                          <w:marRight w:val="0"/>
                          <w:marTop w:val="0"/>
                          <w:marBottom w:val="0"/>
                          <w:divBdr>
                            <w:top w:val="none" w:sz="0" w:space="0" w:color="auto"/>
                            <w:left w:val="none" w:sz="0" w:space="0" w:color="auto"/>
                            <w:bottom w:val="none" w:sz="0" w:space="0" w:color="auto"/>
                            <w:right w:val="none" w:sz="0" w:space="0" w:color="auto"/>
                          </w:divBdr>
                        </w:div>
                      </w:divsChild>
                    </w:div>
                    <w:div w:id="982193609">
                      <w:marLeft w:val="0"/>
                      <w:marRight w:val="0"/>
                      <w:marTop w:val="0"/>
                      <w:marBottom w:val="0"/>
                      <w:divBdr>
                        <w:top w:val="none" w:sz="0" w:space="0" w:color="auto"/>
                        <w:left w:val="none" w:sz="0" w:space="0" w:color="auto"/>
                        <w:bottom w:val="none" w:sz="0" w:space="0" w:color="auto"/>
                        <w:right w:val="none" w:sz="0" w:space="0" w:color="auto"/>
                      </w:divBdr>
                      <w:divsChild>
                        <w:div w:id="300774800">
                          <w:marLeft w:val="0"/>
                          <w:marRight w:val="0"/>
                          <w:marTop w:val="0"/>
                          <w:marBottom w:val="0"/>
                          <w:divBdr>
                            <w:top w:val="none" w:sz="0" w:space="0" w:color="auto"/>
                            <w:left w:val="none" w:sz="0" w:space="0" w:color="auto"/>
                            <w:bottom w:val="none" w:sz="0" w:space="0" w:color="auto"/>
                            <w:right w:val="none" w:sz="0" w:space="0" w:color="auto"/>
                          </w:divBdr>
                        </w:div>
                      </w:divsChild>
                    </w:div>
                    <w:div w:id="105095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5745035">
      <w:bodyDiv w:val="1"/>
      <w:marLeft w:val="0"/>
      <w:marRight w:val="0"/>
      <w:marTop w:val="0"/>
      <w:marBottom w:val="0"/>
      <w:divBdr>
        <w:top w:val="none" w:sz="0" w:space="0" w:color="auto"/>
        <w:left w:val="none" w:sz="0" w:space="0" w:color="auto"/>
        <w:bottom w:val="none" w:sz="0" w:space="0" w:color="auto"/>
        <w:right w:val="none" w:sz="0" w:space="0" w:color="auto"/>
      </w:divBdr>
    </w:div>
    <w:div w:id="291903904">
      <w:bodyDiv w:val="1"/>
      <w:marLeft w:val="0"/>
      <w:marRight w:val="0"/>
      <w:marTop w:val="0"/>
      <w:marBottom w:val="0"/>
      <w:divBdr>
        <w:top w:val="none" w:sz="0" w:space="0" w:color="auto"/>
        <w:left w:val="none" w:sz="0" w:space="0" w:color="auto"/>
        <w:bottom w:val="none" w:sz="0" w:space="0" w:color="auto"/>
        <w:right w:val="none" w:sz="0" w:space="0" w:color="auto"/>
      </w:divBdr>
    </w:div>
    <w:div w:id="296568772">
      <w:bodyDiv w:val="1"/>
      <w:marLeft w:val="0"/>
      <w:marRight w:val="0"/>
      <w:marTop w:val="0"/>
      <w:marBottom w:val="0"/>
      <w:divBdr>
        <w:top w:val="none" w:sz="0" w:space="0" w:color="auto"/>
        <w:left w:val="none" w:sz="0" w:space="0" w:color="auto"/>
        <w:bottom w:val="none" w:sz="0" w:space="0" w:color="auto"/>
        <w:right w:val="none" w:sz="0" w:space="0" w:color="auto"/>
      </w:divBdr>
      <w:divsChild>
        <w:div w:id="2060704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7416344">
      <w:bodyDiv w:val="1"/>
      <w:marLeft w:val="0"/>
      <w:marRight w:val="0"/>
      <w:marTop w:val="0"/>
      <w:marBottom w:val="0"/>
      <w:divBdr>
        <w:top w:val="none" w:sz="0" w:space="0" w:color="auto"/>
        <w:left w:val="none" w:sz="0" w:space="0" w:color="auto"/>
        <w:bottom w:val="none" w:sz="0" w:space="0" w:color="auto"/>
        <w:right w:val="none" w:sz="0" w:space="0" w:color="auto"/>
      </w:divBdr>
    </w:div>
    <w:div w:id="299893730">
      <w:bodyDiv w:val="1"/>
      <w:marLeft w:val="0"/>
      <w:marRight w:val="0"/>
      <w:marTop w:val="0"/>
      <w:marBottom w:val="0"/>
      <w:divBdr>
        <w:top w:val="none" w:sz="0" w:space="0" w:color="auto"/>
        <w:left w:val="none" w:sz="0" w:space="0" w:color="auto"/>
        <w:bottom w:val="none" w:sz="0" w:space="0" w:color="auto"/>
        <w:right w:val="none" w:sz="0" w:space="0" w:color="auto"/>
      </w:divBdr>
    </w:div>
    <w:div w:id="313334209">
      <w:bodyDiv w:val="1"/>
      <w:marLeft w:val="0"/>
      <w:marRight w:val="0"/>
      <w:marTop w:val="0"/>
      <w:marBottom w:val="0"/>
      <w:divBdr>
        <w:top w:val="none" w:sz="0" w:space="0" w:color="auto"/>
        <w:left w:val="none" w:sz="0" w:space="0" w:color="auto"/>
        <w:bottom w:val="none" w:sz="0" w:space="0" w:color="auto"/>
        <w:right w:val="none" w:sz="0" w:space="0" w:color="auto"/>
      </w:divBdr>
      <w:divsChild>
        <w:div w:id="168566022">
          <w:blockQuote w:val="1"/>
          <w:marLeft w:val="720"/>
          <w:marRight w:val="720"/>
          <w:marTop w:val="100"/>
          <w:marBottom w:val="100"/>
          <w:divBdr>
            <w:top w:val="none" w:sz="0" w:space="0" w:color="auto"/>
            <w:left w:val="none" w:sz="0" w:space="0" w:color="auto"/>
            <w:bottom w:val="none" w:sz="0" w:space="0" w:color="auto"/>
            <w:right w:val="none" w:sz="0" w:space="0" w:color="auto"/>
          </w:divBdr>
        </w:div>
        <w:div w:id="304314438">
          <w:blockQuote w:val="1"/>
          <w:marLeft w:val="720"/>
          <w:marRight w:val="720"/>
          <w:marTop w:val="100"/>
          <w:marBottom w:val="100"/>
          <w:divBdr>
            <w:top w:val="none" w:sz="0" w:space="0" w:color="auto"/>
            <w:left w:val="none" w:sz="0" w:space="0" w:color="auto"/>
            <w:bottom w:val="none" w:sz="0" w:space="0" w:color="auto"/>
            <w:right w:val="none" w:sz="0" w:space="0" w:color="auto"/>
          </w:divBdr>
        </w:div>
        <w:div w:id="1071193493">
          <w:blockQuote w:val="1"/>
          <w:marLeft w:val="720"/>
          <w:marRight w:val="720"/>
          <w:marTop w:val="100"/>
          <w:marBottom w:val="100"/>
          <w:divBdr>
            <w:top w:val="none" w:sz="0" w:space="0" w:color="auto"/>
            <w:left w:val="none" w:sz="0" w:space="0" w:color="auto"/>
            <w:bottom w:val="none" w:sz="0" w:space="0" w:color="auto"/>
            <w:right w:val="none" w:sz="0" w:space="0" w:color="auto"/>
          </w:divBdr>
        </w:div>
        <w:div w:id="11104382">
          <w:blockQuote w:val="1"/>
          <w:marLeft w:val="720"/>
          <w:marRight w:val="720"/>
          <w:marTop w:val="100"/>
          <w:marBottom w:val="100"/>
          <w:divBdr>
            <w:top w:val="none" w:sz="0" w:space="0" w:color="auto"/>
            <w:left w:val="none" w:sz="0" w:space="0" w:color="auto"/>
            <w:bottom w:val="none" w:sz="0" w:space="0" w:color="auto"/>
            <w:right w:val="none" w:sz="0" w:space="0" w:color="auto"/>
          </w:divBdr>
        </w:div>
        <w:div w:id="758407781">
          <w:blockQuote w:val="1"/>
          <w:marLeft w:val="720"/>
          <w:marRight w:val="720"/>
          <w:marTop w:val="100"/>
          <w:marBottom w:val="100"/>
          <w:divBdr>
            <w:top w:val="none" w:sz="0" w:space="0" w:color="auto"/>
            <w:left w:val="none" w:sz="0" w:space="0" w:color="auto"/>
            <w:bottom w:val="none" w:sz="0" w:space="0" w:color="auto"/>
            <w:right w:val="none" w:sz="0" w:space="0" w:color="auto"/>
          </w:divBdr>
        </w:div>
        <w:div w:id="14825728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5694707">
      <w:bodyDiv w:val="1"/>
      <w:marLeft w:val="0"/>
      <w:marRight w:val="0"/>
      <w:marTop w:val="0"/>
      <w:marBottom w:val="0"/>
      <w:divBdr>
        <w:top w:val="none" w:sz="0" w:space="0" w:color="auto"/>
        <w:left w:val="none" w:sz="0" w:space="0" w:color="auto"/>
        <w:bottom w:val="none" w:sz="0" w:space="0" w:color="auto"/>
        <w:right w:val="none" w:sz="0" w:space="0" w:color="auto"/>
      </w:divBdr>
      <w:divsChild>
        <w:div w:id="993988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9231063">
      <w:bodyDiv w:val="1"/>
      <w:marLeft w:val="0"/>
      <w:marRight w:val="0"/>
      <w:marTop w:val="0"/>
      <w:marBottom w:val="0"/>
      <w:divBdr>
        <w:top w:val="none" w:sz="0" w:space="0" w:color="auto"/>
        <w:left w:val="none" w:sz="0" w:space="0" w:color="auto"/>
        <w:bottom w:val="none" w:sz="0" w:space="0" w:color="auto"/>
        <w:right w:val="none" w:sz="0" w:space="0" w:color="auto"/>
      </w:divBdr>
      <w:divsChild>
        <w:div w:id="16877132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2784589">
      <w:bodyDiv w:val="1"/>
      <w:marLeft w:val="0"/>
      <w:marRight w:val="0"/>
      <w:marTop w:val="0"/>
      <w:marBottom w:val="0"/>
      <w:divBdr>
        <w:top w:val="none" w:sz="0" w:space="0" w:color="auto"/>
        <w:left w:val="none" w:sz="0" w:space="0" w:color="auto"/>
        <w:bottom w:val="none" w:sz="0" w:space="0" w:color="auto"/>
        <w:right w:val="none" w:sz="0" w:space="0" w:color="auto"/>
      </w:divBdr>
      <w:divsChild>
        <w:div w:id="969554235">
          <w:blockQuote w:val="1"/>
          <w:marLeft w:val="720"/>
          <w:marRight w:val="720"/>
          <w:marTop w:val="100"/>
          <w:marBottom w:val="100"/>
          <w:divBdr>
            <w:top w:val="none" w:sz="0" w:space="0" w:color="auto"/>
            <w:left w:val="none" w:sz="0" w:space="0" w:color="auto"/>
            <w:bottom w:val="none" w:sz="0" w:space="0" w:color="auto"/>
            <w:right w:val="none" w:sz="0" w:space="0" w:color="auto"/>
          </w:divBdr>
        </w:div>
        <w:div w:id="700283059">
          <w:blockQuote w:val="1"/>
          <w:marLeft w:val="720"/>
          <w:marRight w:val="720"/>
          <w:marTop w:val="100"/>
          <w:marBottom w:val="100"/>
          <w:divBdr>
            <w:top w:val="none" w:sz="0" w:space="0" w:color="auto"/>
            <w:left w:val="none" w:sz="0" w:space="0" w:color="auto"/>
            <w:bottom w:val="none" w:sz="0" w:space="0" w:color="auto"/>
            <w:right w:val="none" w:sz="0" w:space="0" w:color="auto"/>
          </w:divBdr>
        </w:div>
        <w:div w:id="185289958">
          <w:blockQuote w:val="1"/>
          <w:marLeft w:val="720"/>
          <w:marRight w:val="720"/>
          <w:marTop w:val="100"/>
          <w:marBottom w:val="100"/>
          <w:divBdr>
            <w:top w:val="none" w:sz="0" w:space="0" w:color="auto"/>
            <w:left w:val="none" w:sz="0" w:space="0" w:color="auto"/>
            <w:bottom w:val="none" w:sz="0" w:space="0" w:color="auto"/>
            <w:right w:val="none" w:sz="0" w:space="0" w:color="auto"/>
          </w:divBdr>
        </w:div>
        <w:div w:id="891038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3345443">
      <w:bodyDiv w:val="1"/>
      <w:marLeft w:val="0"/>
      <w:marRight w:val="0"/>
      <w:marTop w:val="0"/>
      <w:marBottom w:val="0"/>
      <w:divBdr>
        <w:top w:val="none" w:sz="0" w:space="0" w:color="auto"/>
        <w:left w:val="none" w:sz="0" w:space="0" w:color="auto"/>
        <w:bottom w:val="none" w:sz="0" w:space="0" w:color="auto"/>
        <w:right w:val="none" w:sz="0" w:space="0" w:color="auto"/>
      </w:divBdr>
    </w:div>
    <w:div w:id="333460445">
      <w:bodyDiv w:val="1"/>
      <w:marLeft w:val="0"/>
      <w:marRight w:val="0"/>
      <w:marTop w:val="0"/>
      <w:marBottom w:val="0"/>
      <w:divBdr>
        <w:top w:val="none" w:sz="0" w:space="0" w:color="auto"/>
        <w:left w:val="none" w:sz="0" w:space="0" w:color="auto"/>
        <w:bottom w:val="none" w:sz="0" w:space="0" w:color="auto"/>
        <w:right w:val="none" w:sz="0" w:space="0" w:color="auto"/>
      </w:divBdr>
    </w:div>
    <w:div w:id="335352141">
      <w:bodyDiv w:val="1"/>
      <w:marLeft w:val="0"/>
      <w:marRight w:val="0"/>
      <w:marTop w:val="0"/>
      <w:marBottom w:val="0"/>
      <w:divBdr>
        <w:top w:val="none" w:sz="0" w:space="0" w:color="auto"/>
        <w:left w:val="none" w:sz="0" w:space="0" w:color="auto"/>
        <w:bottom w:val="none" w:sz="0" w:space="0" w:color="auto"/>
        <w:right w:val="none" w:sz="0" w:space="0" w:color="auto"/>
      </w:divBdr>
    </w:div>
    <w:div w:id="337316878">
      <w:bodyDiv w:val="1"/>
      <w:marLeft w:val="0"/>
      <w:marRight w:val="0"/>
      <w:marTop w:val="0"/>
      <w:marBottom w:val="0"/>
      <w:divBdr>
        <w:top w:val="none" w:sz="0" w:space="0" w:color="auto"/>
        <w:left w:val="none" w:sz="0" w:space="0" w:color="auto"/>
        <w:bottom w:val="none" w:sz="0" w:space="0" w:color="auto"/>
        <w:right w:val="none" w:sz="0" w:space="0" w:color="auto"/>
      </w:divBdr>
    </w:div>
    <w:div w:id="339087131">
      <w:bodyDiv w:val="1"/>
      <w:marLeft w:val="0"/>
      <w:marRight w:val="0"/>
      <w:marTop w:val="0"/>
      <w:marBottom w:val="0"/>
      <w:divBdr>
        <w:top w:val="none" w:sz="0" w:space="0" w:color="auto"/>
        <w:left w:val="none" w:sz="0" w:space="0" w:color="auto"/>
        <w:bottom w:val="none" w:sz="0" w:space="0" w:color="auto"/>
        <w:right w:val="none" w:sz="0" w:space="0" w:color="auto"/>
      </w:divBdr>
      <w:divsChild>
        <w:div w:id="2594592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1711407">
      <w:bodyDiv w:val="1"/>
      <w:marLeft w:val="0"/>
      <w:marRight w:val="0"/>
      <w:marTop w:val="0"/>
      <w:marBottom w:val="0"/>
      <w:divBdr>
        <w:top w:val="none" w:sz="0" w:space="0" w:color="auto"/>
        <w:left w:val="none" w:sz="0" w:space="0" w:color="auto"/>
        <w:bottom w:val="none" w:sz="0" w:space="0" w:color="auto"/>
        <w:right w:val="none" w:sz="0" w:space="0" w:color="auto"/>
      </w:divBdr>
      <w:divsChild>
        <w:div w:id="1073284633">
          <w:blockQuote w:val="1"/>
          <w:marLeft w:val="720"/>
          <w:marRight w:val="720"/>
          <w:marTop w:val="100"/>
          <w:marBottom w:val="100"/>
          <w:divBdr>
            <w:top w:val="none" w:sz="0" w:space="0" w:color="auto"/>
            <w:left w:val="none" w:sz="0" w:space="0" w:color="auto"/>
            <w:bottom w:val="none" w:sz="0" w:space="0" w:color="auto"/>
            <w:right w:val="none" w:sz="0" w:space="0" w:color="auto"/>
          </w:divBdr>
        </w:div>
        <w:div w:id="537431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2878394">
      <w:bodyDiv w:val="1"/>
      <w:marLeft w:val="0"/>
      <w:marRight w:val="0"/>
      <w:marTop w:val="0"/>
      <w:marBottom w:val="0"/>
      <w:divBdr>
        <w:top w:val="none" w:sz="0" w:space="0" w:color="auto"/>
        <w:left w:val="none" w:sz="0" w:space="0" w:color="auto"/>
        <w:bottom w:val="none" w:sz="0" w:space="0" w:color="auto"/>
        <w:right w:val="none" w:sz="0" w:space="0" w:color="auto"/>
      </w:divBdr>
    </w:div>
    <w:div w:id="359354440">
      <w:bodyDiv w:val="1"/>
      <w:marLeft w:val="0"/>
      <w:marRight w:val="0"/>
      <w:marTop w:val="0"/>
      <w:marBottom w:val="0"/>
      <w:divBdr>
        <w:top w:val="none" w:sz="0" w:space="0" w:color="auto"/>
        <w:left w:val="none" w:sz="0" w:space="0" w:color="auto"/>
        <w:bottom w:val="none" w:sz="0" w:space="0" w:color="auto"/>
        <w:right w:val="none" w:sz="0" w:space="0" w:color="auto"/>
      </w:divBdr>
      <w:divsChild>
        <w:div w:id="1594432940">
          <w:blockQuote w:val="1"/>
          <w:marLeft w:val="720"/>
          <w:marRight w:val="720"/>
          <w:marTop w:val="100"/>
          <w:marBottom w:val="100"/>
          <w:divBdr>
            <w:top w:val="none" w:sz="0" w:space="0" w:color="auto"/>
            <w:left w:val="none" w:sz="0" w:space="0" w:color="auto"/>
            <w:bottom w:val="none" w:sz="0" w:space="0" w:color="auto"/>
            <w:right w:val="none" w:sz="0" w:space="0" w:color="auto"/>
          </w:divBdr>
        </w:div>
        <w:div w:id="2010063538">
          <w:blockQuote w:val="1"/>
          <w:marLeft w:val="720"/>
          <w:marRight w:val="720"/>
          <w:marTop w:val="100"/>
          <w:marBottom w:val="100"/>
          <w:divBdr>
            <w:top w:val="none" w:sz="0" w:space="0" w:color="auto"/>
            <w:left w:val="none" w:sz="0" w:space="0" w:color="auto"/>
            <w:bottom w:val="none" w:sz="0" w:space="0" w:color="auto"/>
            <w:right w:val="none" w:sz="0" w:space="0" w:color="auto"/>
          </w:divBdr>
        </w:div>
        <w:div w:id="231279919">
          <w:blockQuote w:val="1"/>
          <w:marLeft w:val="720"/>
          <w:marRight w:val="720"/>
          <w:marTop w:val="100"/>
          <w:marBottom w:val="100"/>
          <w:divBdr>
            <w:top w:val="none" w:sz="0" w:space="0" w:color="auto"/>
            <w:left w:val="none" w:sz="0" w:space="0" w:color="auto"/>
            <w:bottom w:val="none" w:sz="0" w:space="0" w:color="auto"/>
            <w:right w:val="none" w:sz="0" w:space="0" w:color="auto"/>
          </w:divBdr>
        </w:div>
        <w:div w:id="1574049424">
          <w:blockQuote w:val="1"/>
          <w:marLeft w:val="720"/>
          <w:marRight w:val="720"/>
          <w:marTop w:val="100"/>
          <w:marBottom w:val="100"/>
          <w:divBdr>
            <w:top w:val="none" w:sz="0" w:space="0" w:color="auto"/>
            <w:left w:val="none" w:sz="0" w:space="0" w:color="auto"/>
            <w:bottom w:val="none" w:sz="0" w:space="0" w:color="auto"/>
            <w:right w:val="none" w:sz="0" w:space="0" w:color="auto"/>
          </w:divBdr>
        </w:div>
        <w:div w:id="584612330">
          <w:blockQuote w:val="1"/>
          <w:marLeft w:val="720"/>
          <w:marRight w:val="720"/>
          <w:marTop w:val="100"/>
          <w:marBottom w:val="100"/>
          <w:divBdr>
            <w:top w:val="none" w:sz="0" w:space="0" w:color="auto"/>
            <w:left w:val="none" w:sz="0" w:space="0" w:color="auto"/>
            <w:bottom w:val="none" w:sz="0" w:space="0" w:color="auto"/>
            <w:right w:val="none" w:sz="0" w:space="0" w:color="auto"/>
          </w:divBdr>
        </w:div>
        <w:div w:id="5487605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8998639">
      <w:bodyDiv w:val="1"/>
      <w:marLeft w:val="0"/>
      <w:marRight w:val="0"/>
      <w:marTop w:val="0"/>
      <w:marBottom w:val="0"/>
      <w:divBdr>
        <w:top w:val="none" w:sz="0" w:space="0" w:color="auto"/>
        <w:left w:val="none" w:sz="0" w:space="0" w:color="auto"/>
        <w:bottom w:val="none" w:sz="0" w:space="0" w:color="auto"/>
        <w:right w:val="none" w:sz="0" w:space="0" w:color="auto"/>
      </w:divBdr>
    </w:div>
    <w:div w:id="369232894">
      <w:bodyDiv w:val="1"/>
      <w:marLeft w:val="0"/>
      <w:marRight w:val="0"/>
      <w:marTop w:val="0"/>
      <w:marBottom w:val="0"/>
      <w:divBdr>
        <w:top w:val="none" w:sz="0" w:space="0" w:color="auto"/>
        <w:left w:val="none" w:sz="0" w:space="0" w:color="auto"/>
        <w:bottom w:val="none" w:sz="0" w:space="0" w:color="auto"/>
        <w:right w:val="none" w:sz="0" w:space="0" w:color="auto"/>
      </w:divBdr>
    </w:div>
    <w:div w:id="370611691">
      <w:bodyDiv w:val="1"/>
      <w:marLeft w:val="0"/>
      <w:marRight w:val="0"/>
      <w:marTop w:val="0"/>
      <w:marBottom w:val="0"/>
      <w:divBdr>
        <w:top w:val="none" w:sz="0" w:space="0" w:color="auto"/>
        <w:left w:val="none" w:sz="0" w:space="0" w:color="auto"/>
        <w:bottom w:val="none" w:sz="0" w:space="0" w:color="auto"/>
        <w:right w:val="none" w:sz="0" w:space="0" w:color="auto"/>
      </w:divBdr>
    </w:div>
    <w:div w:id="372466432">
      <w:bodyDiv w:val="1"/>
      <w:marLeft w:val="0"/>
      <w:marRight w:val="0"/>
      <w:marTop w:val="0"/>
      <w:marBottom w:val="0"/>
      <w:divBdr>
        <w:top w:val="none" w:sz="0" w:space="0" w:color="auto"/>
        <w:left w:val="none" w:sz="0" w:space="0" w:color="auto"/>
        <w:bottom w:val="none" w:sz="0" w:space="0" w:color="auto"/>
        <w:right w:val="none" w:sz="0" w:space="0" w:color="auto"/>
      </w:divBdr>
      <w:divsChild>
        <w:div w:id="157772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0496022">
      <w:bodyDiv w:val="1"/>
      <w:marLeft w:val="0"/>
      <w:marRight w:val="0"/>
      <w:marTop w:val="0"/>
      <w:marBottom w:val="0"/>
      <w:divBdr>
        <w:top w:val="none" w:sz="0" w:space="0" w:color="auto"/>
        <w:left w:val="none" w:sz="0" w:space="0" w:color="auto"/>
        <w:bottom w:val="none" w:sz="0" w:space="0" w:color="auto"/>
        <w:right w:val="none" w:sz="0" w:space="0" w:color="auto"/>
      </w:divBdr>
    </w:div>
    <w:div w:id="392192377">
      <w:bodyDiv w:val="1"/>
      <w:marLeft w:val="0"/>
      <w:marRight w:val="0"/>
      <w:marTop w:val="0"/>
      <w:marBottom w:val="0"/>
      <w:divBdr>
        <w:top w:val="none" w:sz="0" w:space="0" w:color="auto"/>
        <w:left w:val="none" w:sz="0" w:space="0" w:color="auto"/>
        <w:bottom w:val="none" w:sz="0" w:space="0" w:color="auto"/>
        <w:right w:val="none" w:sz="0" w:space="0" w:color="auto"/>
      </w:divBdr>
    </w:div>
    <w:div w:id="392630164">
      <w:bodyDiv w:val="1"/>
      <w:marLeft w:val="0"/>
      <w:marRight w:val="0"/>
      <w:marTop w:val="0"/>
      <w:marBottom w:val="0"/>
      <w:divBdr>
        <w:top w:val="none" w:sz="0" w:space="0" w:color="auto"/>
        <w:left w:val="none" w:sz="0" w:space="0" w:color="auto"/>
        <w:bottom w:val="none" w:sz="0" w:space="0" w:color="auto"/>
        <w:right w:val="none" w:sz="0" w:space="0" w:color="auto"/>
      </w:divBdr>
    </w:div>
    <w:div w:id="397483998">
      <w:bodyDiv w:val="1"/>
      <w:marLeft w:val="0"/>
      <w:marRight w:val="0"/>
      <w:marTop w:val="0"/>
      <w:marBottom w:val="0"/>
      <w:divBdr>
        <w:top w:val="none" w:sz="0" w:space="0" w:color="auto"/>
        <w:left w:val="none" w:sz="0" w:space="0" w:color="auto"/>
        <w:bottom w:val="none" w:sz="0" w:space="0" w:color="auto"/>
        <w:right w:val="none" w:sz="0" w:space="0" w:color="auto"/>
      </w:divBdr>
    </w:div>
    <w:div w:id="398674750">
      <w:bodyDiv w:val="1"/>
      <w:marLeft w:val="0"/>
      <w:marRight w:val="0"/>
      <w:marTop w:val="0"/>
      <w:marBottom w:val="0"/>
      <w:divBdr>
        <w:top w:val="none" w:sz="0" w:space="0" w:color="auto"/>
        <w:left w:val="none" w:sz="0" w:space="0" w:color="auto"/>
        <w:bottom w:val="none" w:sz="0" w:space="0" w:color="auto"/>
        <w:right w:val="none" w:sz="0" w:space="0" w:color="auto"/>
      </w:divBdr>
    </w:div>
    <w:div w:id="399912601">
      <w:bodyDiv w:val="1"/>
      <w:marLeft w:val="0"/>
      <w:marRight w:val="0"/>
      <w:marTop w:val="0"/>
      <w:marBottom w:val="0"/>
      <w:divBdr>
        <w:top w:val="none" w:sz="0" w:space="0" w:color="auto"/>
        <w:left w:val="none" w:sz="0" w:space="0" w:color="auto"/>
        <w:bottom w:val="none" w:sz="0" w:space="0" w:color="auto"/>
        <w:right w:val="none" w:sz="0" w:space="0" w:color="auto"/>
      </w:divBdr>
    </w:div>
    <w:div w:id="406807104">
      <w:bodyDiv w:val="1"/>
      <w:marLeft w:val="0"/>
      <w:marRight w:val="0"/>
      <w:marTop w:val="0"/>
      <w:marBottom w:val="0"/>
      <w:divBdr>
        <w:top w:val="none" w:sz="0" w:space="0" w:color="auto"/>
        <w:left w:val="none" w:sz="0" w:space="0" w:color="auto"/>
        <w:bottom w:val="none" w:sz="0" w:space="0" w:color="auto"/>
        <w:right w:val="none" w:sz="0" w:space="0" w:color="auto"/>
      </w:divBdr>
    </w:div>
    <w:div w:id="410129009">
      <w:bodyDiv w:val="1"/>
      <w:marLeft w:val="0"/>
      <w:marRight w:val="0"/>
      <w:marTop w:val="0"/>
      <w:marBottom w:val="0"/>
      <w:divBdr>
        <w:top w:val="none" w:sz="0" w:space="0" w:color="auto"/>
        <w:left w:val="none" w:sz="0" w:space="0" w:color="auto"/>
        <w:bottom w:val="none" w:sz="0" w:space="0" w:color="auto"/>
        <w:right w:val="none" w:sz="0" w:space="0" w:color="auto"/>
      </w:divBdr>
    </w:div>
    <w:div w:id="414908953">
      <w:bodyDiv w:val="1"/>
      <w:marLeft w:val="0"/>
      <w:marRight w:val="0"/>
      <w:marTop w:val="0"/>
      <w:marBottom w:val="0"/>
      <w:divBdr>
        <w:top w:val="none" w:sz="0" w:space="0" w:color="auto"/>
        <w:left w:val="none" w:sz="0" w:space="0" w:color="auto"/>
        <w:bottom w:val="none" w:sz="0" w:space="0" w:color="auto"/>
        <w:right w:val="none" w:sz="0" w:space="0" w:color="auto"/>
      </w:divBdr>
    </w:div>
    <w:div w:id="420444077">
      <w:bodyDiv w:val="1"/>
      <w:marLeft w:val="0"/>
      <w:marRight w:val="0"/>
      <w:marTop w:val="0"/>
      <w:marBottom w:val="0"/>
      <w:divBdr>
        <w:top w:val="none" w:sz="0" w:space="0" w:color="auto"/>
        <w:left w:val="none" w:sz="0" w:space="0" w:color="auto"/>
        <w:bottom w:val="none" w:sz="0" w:space="0" w:color="auto"/>
        <w:right w:val="none" w:sz="0" w:space="0" w:color="auto"/>
      </w:divBdr>
      <w:divsChild>
        <w:div w:id="1227838014">
          <w:marLeft w:val="0"/>
          <w:marRight w:val="0"/>
          <w:marTop w:val="0"/>
          <w:marBottom w:val="0"/>
          <w:divBdr>
            <w:top w:val="none" w:sz="0" w:space="0" w:color="auto"/>
            <w:left w:val="none" w:sz="0" w:space="0" w:color="auto"/>
            <w:bottom w:val="none" w:sz="0" w:space="0" w:color="auto"/>
            <w:right w:val="none" w:sz="0" w:space="0" w:color="auto"/>
          </w:divBdr>
          <w:divsChild>
            <w:div w:id="1668047257">
              <w:marLeft w:val="0"/>
              <w:marRight w:val="0"/>
              <w:marTop w:val="0"/>
              <w:marBottom w:val="0"/>
              <w:divBdr>
                <w:top w:val="none" w:sz="0" w:space="0" w:color="auto"/>
                <w:left w:val="none" w:sz="0" w:space="0" w:color="auto"/>
                <w:bottom w:val="none" w:sz="0" w:space="0" w:color="auto"/>
                <w:right w:val="none" w:sz="0" w:space="0" w:color="auto"/>
              </w:divBdr>
            </w:div>
          </w:divsChild>
        </w:div>
        <w:div w:id="60718166">
          <w:marLeft w:val="0"/>
          <w:marRight w:val="0"/>
          <w:marTop w:val="0"/>
          <w:marBottom w:val="0"/>
          <w:divBdr>
            <w:top w:val="none" w:sz="0" w:space="0" w:color="auto"/>
            <w:left w:val="none" w:sz="0" w:space="0" w:color="auto"/>
            <w:bottom w:val="none" w:sz="0" w:space="0" w:color="auto"/>
            <w:right w:val="none" w:sz="0" w:space="0" w:color="auto"/>
          </w:divBdr>
          <w:divsChild>
            <w:div w:id="115090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833920">
      <w:bodyDiv w:val="1"/>
      <w:marLeft w:val="0"/>
      <w:marRight w:val="0"/>
      <w:marTop w:val="0"/>
      <w:marBottom w:val="0"/>
      <w:divBdr>
        <w:top w:val="none" w:sz="0" w:space="0" w:color="auto"/>
        <w:left w:val="none" w:sz="0" w:space="0" w:color="auto"/>
        <w:bottom w:val="none" w:sz="0" w:space="0" w:color="auto"/>
        <w:right w:val="none" w:sz="0" w:space="0" w:color="auto"/>
      </w:divBdr>
    </w:div>
    <w:div w:id="426535590">
      <w:bodyDiv w:val="1"/>
      <w:marLeft w:val="0"/>
      <w:marRight w:val="0"/>
      <w:marTop w:val="0"/>
      <w:marBottom w:val="0"/>
      <w:divBdr>
        <w:top w:val="none" w:sz="0" w:space="0" w:color="auto"/>
        <w:left w:val="none" w:sz="0" w:space="0" w:color="auto"/>
        <w:bottom w:val="none" w:sz="0" w:space="0" w:color="auto"/>
        <w:right w:val="none" w:sz="0" w:space="0" w:color="auto"/>
      </w:divBdr>
      <w:divsChild>
        <w:div w:id="212355050">
          <w:blockQuote w:val="1"/>
          <w:marLeft w:val="720"/>
          <w:marRight w:val="720"/>
          <w:marTop w:val="100"/>
          <w:marBottom w:val="100"/>
          <w:divBdr>
            <w:top w:val="none" w:sz="0" w:space="0" w:color="auto"/>
            <w:left w:val="none" w:sz="0" w:space="0" w:color="auto"/>
            <w:bottom w:val="none" w:sz="0" w:space="0" w:color="auto"/>
            <w:right w:val="none" w:sz="0" w:space="0" w:color="auto"/>
          </w:divBdr>
        </w:div>
        <w:div w:id="18076248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2366402">
      <w:bodyDiv w:val="1"/>
      <w:marLeft w:val="0"/>
      <w:marRight w:val="0"/>
      <w:marTop w:val="0"/>
      <w:marBottom w:val="0"/>
      <w:divBdr>
        <w:top w:val="none" w:sz="0" w:space="0" w:color="auto"/>
        <w:left w:val="none" w:sz="0" w:space="0" w:color="auto"/>
        <w:bottom w:val="none" w:sz="0" w:space="0" w:color="auto"/>
        <w:right w:val="none" w:sz="0" w:space="0" w:color="auto"/>
      </w:divBdr>
    </w:div>
    <w:div w:id="440684728">
      <w:bodyDiv w:val="1"/>
      <w:marLeft w:val="0"/>
      <w:marRight w:val="0"/>
      <w:marTop w:val="0"/>
      <w:marBottom w:val="0"/>
      <w:divBdr>
        <w:top w:val="none" w:sz="0" w:space="0" w:color="auto"/>
        <w:left w:val="none" w:sz="0" w:space="0" w:color="auto"/>
        <w:bottom w:val="none" w:sz="0" w:space="0" w:color="auto"/>
        <w:right w:val="none" w:sz="0" w:space="0" w:color="auto"/>
      </w:divBdr>
    </w:div>
    <w:div w:id="443305217">
      <w:bodyDiv w:val="1"/>
      <w:marLeft w:val="0"/>
      <w:marRight w:val="0"/>
      <w:marTop w:val="0"/>
      <w:marBottom w:val="0"/>
      <w:divBdr>
        <w:top w:val="none" w:sz="0" w:space="0" w:color="auto"/>
        <w:left w:val="none" w:sz="0" w:space="0" w:color="auto"/>
        <w:bottom w:val="none" w:sz="0" w:space="0" w:color="auto"/>
        <w:right w:val="none" w:sz="0" w:space="0" w:color="auto"/>
      </w:divBdr>
      <w:divsChild>
        <w:div w:id="128592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5394055">
      <w:bodyDiv w:val="1"/>
      <w:marLeft w:val="0"/>
      <w:marRight w:val="0"/>
      <w:marTop w:val="0"/>
      <w:marBottom w:val="0"/>
      <w:divBdr>
        <w:top w:val="none" w:sz="0" w:space="0" w:color="auto"/>
        <w:left w:val="none" w:sz="0" w:space="0" w:color="auto"/>
        <w:bottom w:val="none" w:sz="0" w:space="0" w:color="auto"/>
        <w:right w:val="none" w:sz="0" w:space="0" w:color="auto"/>
      </w:divBdr>
      <w:divsChild>
        <w:div w:id="934551936">
          <w:blockQuote w:val="1"/>
          <w:marLeft w:val="720"/>
          <w:marRight w:val="720"/>
          <w:marTop w:val="100"/>
          <w:marBottom w:val="100"/>
          <w:divBdr>
            <w:top w:val="none" w:sz="0" w:space="0" w:color="auto"/>
            <w:left w:val="none" w:sz="0" w:space="0" w:color="auto"/>
            <w:bottom w:val="none" w:sz="0" w:space="0" w:color="auto"/>
            <w:right w:val="none" w:sz="0" w:space="0" w:color="auto"/>
          </w:divBdr>
        </w:div>
        <w:div w:id="1150289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5514194">
      <w:bodyDiv w:val="1"/>
      <w:marLeft w:val="0"/>
      <w:marRight w:val="0"/>
      <w:marTop w:val="0"/>
      <w:marBottom w:val="0"/>
      <w:divBdr>
        <w:top w:val="none" w:sz="0" w:space="0" w:color="auto"/>
        <w:left w:val="none" w:sz="0" w:space="0" w:color="auto"/>
        <w:bottom w:val="none" w:sz="0" w:space="0" w:color="auto"/>
        <w:right w:val="none" w:sz="0" w:space="0" w:color="auto"/>
      </w:divBdr>
    </w:div>
    <w:div w:id="445583948">
      <w:bodyDiv w:val="1"/>
      <w:marLeft w:val="0"/>
      <w:marRight w:val="0"/>
      <w:marTop w:val="0"/>
      <w:marBottom w:val="0"/>
      <w:divBdr>
        <w:top w:val="none" w:sz="0" w:space="0" w:color="auto"/>
        <w:left w:val="none" w:sz="0" w:space="0" w:color="auto"/>
        <w:bottom w:val="none" w:sz="0" w:space="0" w:color="auto"/>
        <w:right w:val="none" w:sz="0" w:space="0" w:color="auto"/>
      </w:divBdr>
    </w:div>
    <w:div w:id="446199153">
      <w:bodyDiv w:val="1"/>
      <w:marLeft w:val="0"/>
      <w:marRight w:val="0"/>
      <w:marTop w:val="0"/>
      <w:marBottom w:val="0"/>
      <w:divBdr>
        <w:top w:val="none" w:sz="0" w:space="0" w:color="auto"/>
        <w:left w:val="none" w:sz="0" w:space="0" w:color="auto"/>
        <w:bottom w:val="none" w:sz="0" w:space="0" w:color="auto"/>
        <w:right w:val="none" w:sz="0" w:space="0" w:color="auto"/>
      </w:divBdr>
    </w:div>
    <w:div w:id="447625606">
      <w:bodyDiv w:val="1"/>
      <w:marLeft w:val="0"/>
      <w:marRight w:val="0"/>
      <w:marTop w:val="0"/>
      <w:marBottom w:val="0"/>
      <w:divBdr>
        <w:top w:val="none" w:sz="0" w:space="0" w:color="auto"/>
        <w:left w:val="none" w:sz="0" w:space="0" w:color="auto"/>
        <w:bottom w:val="none" w:sz="0" w:space="0" w:color="auto"/>
        <w:right w:val="none" w:sz="0" w:space="0" w:color="auto"/>
      </w:divBdr>
    </w:div>
    <w:div w:id="450831109">
      <w:bodyDiv w:val="1"/>
      <w:marLeft w:val="0"/>
      <w:marRight w:val="0"/>
      <w:marTop w:val="0"/>
      <w:marBottom w:val="0"/>
      <w:divBdr>
        <w:top w:val="none" w:sz="0" w:space="0" w:color="auto"/>
        <w:left w:val="none" w:sz="0" w:space="0" w:color="auto"/>
        <w:bottom w:val="none" w:sz="0" w:space="0" w:color="auto"/>
        <w:right w:val="none" w:sz="0" w:space="0" w:color="auto"/>
      </w:divBdr>
    </w:div>
    <w:div w:id="453208716">
      <w:bodyDiv w:val="1"/>
      <w:marLeft w:val="0"/>
      <w:marRight w:val="0"/>
      <w:marTop w:val="0"/>
      <w:marBottom w:val="0"/>
      <w:divBdr>
        <w:top w:val="none" w:sz="0" w:space="0" w:color="auto"/>
        <w:left w:val="none" w:sz="0" w:space="0" w:color="auto"/>
        <w:bottom w:val="none" w:sz="0" w:space="0" w:color="auto"/>
        <w:right w:val="none" w:sz="0" w:space="0" w:color="auto"/>
      </w:divBdr>
    </w:div>
    <w:div w:id="453334529">
      <w:bodyDiv w:val="1"/>
      <w:marLeft w:val="0"/>
      <w:marRight w:val="0"/>
      <w:marTop w:val="0"/>
      <w:marBottom w:val="0"/>
      <w:divBdr>
        <w:top w:val="none" w:sz="0" w:space="0" w:color="auto"/>
        <w:left w:val="none" w:sz="0" w:space="0" w:color="auto"/>
        <w:bottom w:val="none" w:sz="0" w:space="0" w:color="auto"/>
        <w:right w:val="none" w:sz="0" w:space="0" w:color="auto"/>
      </w:divBdr>
      <w:divsChild>
        <w:div w:id="1128864377">
          <w:marLeft w:val="0"/>
          <w:marRight w:val="0"/>
          <w:marTop w:val="0"/>
          <w:marBottom w:val="0"/>
          <w:divBdr>
            <w:top w:val="none" w:sz="0" w:space="0" w:color="auto"/>
            <w:left w:val="none" w:sz="0" w:space="0" w:color="auto"/>
            <w:bottom w:val="none" w:sz="0" w:space="0" w:color="auto"/>
            <w:right w:val="none" w:sz="0" w:space="0" w:color="auto"/>
          </w:divBdr>
        </w:div>
        <w:div w:id="820081926">
          <w:marLeft w:val="0"/>
          <w:marRight w:val="0"/>
          <w:marTop w:val="0"/>
          <w:marBottom w:val="0"/>
          <w:divBdr>
            <w:top w:val="none" w:sz="0" w:space="0" w:color="auto"/>
            <w:left w:val="none" w:sz="0" w:space="0" w:color="auto"/>
            <w:bottom w:val="none" w:sz="0" w:space="0" w:color="auto"/>
            <w:right w:val="none" w:sz="0" w:space="0" w:color="auto"/>
          </w:divBdr>
        </w:div>
        <w:div w:id="504630328">
          <w:marLeft w:val="0"/>
          <w:marRight w:val="0"/>
          <w:marTop w:val="0"/>
          <w:marBottom w:val="0"/>
          <w:divBdr>
            <w:top w:val="none" w:sz="0" w:space="0" w:color="auto"/>
            <w:left w:val="none" w:sz="0" w:space="0" w:color="auto"/>
            <w:bottom w:val="none" w:sz="0" w:space="0" w:color="auto"/>
            <w:right w:val="none" w:sz="0" w:space="0" w:color="auto"/>
          </w:divBdr>
        </w:div>
        <w:div w:id="1103301158">
          <w:marLeft w:val="0"/>
          <w:marRight w:val="0"/>
          <w:marTop w:val="0"/>
          <w:marBottom w:val="0"/>
          <w:divBdr>
            <w:top w:val="none" w:sz="0" w:space="0" w:color="auto"/>
            <w:left w:val="none" w:sz="0" w:space="0" w:color="auto"/>
            <w:bottom w:val="none" w:sz="0" w:space="0" w:color="auto"/>
            <w:right w:val="none" w:sz="0" w:space="0" w:color="auto"/>
          </w:divBdr>
        </w:div>
        <w:div w:id="1269578203">
          <w:marLeft w:val="0"/>
          <w:marRight w:val="0"/>
          <w:marTop w:val="0"/>
          <w:marBottom w:val="0"/>
          <w:divBdr>
            <w:top w:val="none" w:sz="0" w:space="0" w:color="auto"/>
            <w:left w:val="none" w:sz="0" w:space="0" w:color="auto"/>
            <w:bottom w:val="none" w:sz="0" w:space="0" w:color="auto"/>
            <w:right w:val="none" w:sz="0" w:space="0" w:color="auto"/>
          </w:divBdr>
        </w:div>
        <w:div w:id="492138602">
          <w:marLeft w:val="0"/>
          <w:marRight w:val="0"/>
          <w:marTop w:val="0"/>
          <w:marBottom w:val="0"/>
          <w:divBdr>
            <w:top w:val="none" w:sz="0" w:space="0" w:color="auto"/>
            <w:left w:val="none" w:sz="0" w:space="0" w:color="auto"/>
            <w:bottom w:val="none" w:sz="0" w:space="0" w:color="auto"/>
            <w:right w:val="none" w:sz="0" w:space="0" w:color="auto"/>
          </w:divBdr>
        </w:div>
        <w:div w:id="768237584">
          <w:marLeft w:val="0"/>
          <w:marRight w:val="0"/>
          <w:marTop w:val="0"/>
          <w:marBottom w:val="0"/>
          <w:divBdr>
            <w:top w:val="none" w:sz="0" w:space="0" w:color="auto"/>
            <w:left w:val="none" w:sz="0" w:space="0" w:color="auto"/>
            <w:bottom w:val="none" w:sz="0" w:space="0" w:color="auto"/>
            <w:right w:val="none" w:sz="0" w:space="0" w:color="auto"/>
          </w:divBdr>
        </w:div>
        <w:div w:id="1571115855">
          <w:marLeft w:val="0"/>
          <w:marRight w:val="0"/>
          <w:marTop w:val="0"/>
          <w:marBottom w:val="0"/>
          <w:divBdr>
            <w:top w:val="none" w:sz="0" w:space="0" w:color="auto"/>
            <w:left w:val="none" w:sz="0" w:space="0" w:color="auto"/>
            <w:bottom w:val="none" w:sz="0" w:space="0" w:color="auto"/>
            <w:right w:val="none" w:sz="0" w:space="0" w:color="auto"/>
          </w:divBdr>
        </w:div>
      </w:divsChild>
    </w:div>
    <w:div w:id="460999438">
      <w:bodyDiv w:val="1"/>
      <w:marLeft w:val="0"/>
      <w:marRight w:val="0"/>
      <w:marTop w:val="0"/>
      <w:marBottom w:val="0"/>
      <w:divBdr>
        <w:top w:val="none" w:sz="0" w:space="0" w:color="auto"/>
        <w:left w:val="none" w:sz="0" w:space="0" w:color="auto"/>
        <w:bottom w:val="none" w:sz="0" w:space="0" w:color="auto"/>
        <w:right w:val="none" w:sz="0" w:space="0" w:color="auto"/>
      </w:divBdr>
    </w:div>
    <w:div w:id="476259868">
      <w:bodyDiv w:val="1"/>
      <w:marLeft w:val="0"/>
      <w:marRight w:val="0"/>
      <w:marTop w:val="0"/>
      <w:marBottom w:val="0"/>
      <w:divBdr>
        <w:top w:val="none" w:sz="0" w:space="0" w:color="auto"/>
        <w:left w:val="none" w:sz="0" w:space="0" w:color="auto"/>
        <w:bottom w:val="none" w:sz="0" w:space="0" w:color="auto"/>
        <w:right w:val="none" w:sz="0" w:space="0" w:color="auto"/>
      </w:divBdr>
    </w:div>
    <w:div w:id="478308841">
      <w:bodyDiv w:val="1"/>
      <w:marLeft w:val="0"/>
      <w:marRight w:val="0"/>
      <w:marTop w:val="0"/>
      <w:marBottom w:val="0"/>
      <w:divBdr>
        <w:top w:val="none" w:sz="0" w:space="0" w:color="auto"/>
        <w:left w:val="none" w:sz="0" w:space="0" w:color="auto"/>
        <w:bottom w:val="none" w:sz="0" w:space="0" w:color="auto"/>
        <w:right w:val="none" w:sz="0" w:space="0" w:color="auto"/>
      </w:divBdr>
    </w:div>
    <w:div w:id="478810980">
      <w:bodyDiv w:val="1"/>
      <w:marLeft w:val="0"/>
      <w:marRight w:val="0"/>
      <w:marTop w:val="0"/>
      <w:marBottom w:val="0"/>
      <w:divBdr>
        <w:top w:val="none" w:sz="0" w:space="0" w:color="auto"/>
        <w:left w:val="none" w:sz="0" w:space="0" w:color="auto"/>
        <w:bottom w:val="none" w:sz="0" w:space="0" w:color="auto"/>
        <w:right w:val="none" w:sz="0" w:space="0" w:color="auto"/>
      </w:divBdr>
      <w:divsChild>
        <w:div w:id="18903380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2622925">
      <w:bodyDiv w:val="1"/>
      <w:marLeft w:val="0"/>
      <w:marRight w:val="0"/>
      <w:marTop w:val="0"/>
      <w:marBottom w:val="0"/>
      <w:divBdr>
        <w:top w:val="none" w:sz="0" w:space="0" w:color="auto"/>
        <w:left w:val="none" w:sz="0" w:space="0" w:color="auto"/>
        <w:bottom w:val="none" w:sz="0" w:space="0" w:color="auto"/>
        <w:right w:val="none" w:sz="0" w:space="0" w:color="auto"/>
      </w:divBdr>
    </w:div>
    <w:div w:id="482893104">
      <w:bodyDiv w:val="1"/>
      <w:marLeft w:val="0"/>
      <w:marRight w:val="0"/>
      <w:marTop w:val="0"/>
      <w:marBottom w:val="0"/>
      <w:divBdr>
        <w:top w:val="none" w:sz="0" w:space="0" w:color="auto"/>
        <w:left w:val="none" w:sz="0" w:space="0" w:color="auto"/>
        <w:bottom w:val="none" w:sz="0" w:space="0" w:color="auto"/>
        <w:right w:val="none" w:sz="0" w:space="0" w:color="auto"/>
      </w:divBdr>
      <w:divsChild>
        <w:div w:id="11987401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3133434">
      <w:bodyDiv w:val="1"/>
      <w:marLeft w:val="0"/>
      <w:marRight w:val="0"/>
      <w:marTop w:val="0"/>
      <w:marBottom w:val="0"/>
      <w:divBdr>
        <w:top w:val="none" w:sz="0" w:space="0" w:color="auto"/>
        <w:left w:val="none" w:sz="0" w:space="0" w:color="auto"/>
        <w:bottom w:val="none" w:sz="0" w:space="0" w:color="auto"/>
        <w:right w:val="none" w:sz="0" w:space="0" w:color="auto"/>
      </w:divBdr>
    </w:div>
    <w:div w:id="483819478">
      <w:bodyDiv w:val="1"/>
      <w:marLeft w:val="0"/>
      <w:marRight w:val="0"/>
      <w:marTop w:val="0"/>
      <w:marBottom w:val="0"/>
      <w:divBdr>
        <w:top w:val="none" w:sz="0" w:space="0" w:color="auto"/>
        <w:left w:val="none" w:sz="0" w:space="0" w:color="auto"/>
        <w:bottom w:val="none" w:sz="0" w:space="0" w:color="auto"/>
        <w:right w:val="none" w:sz="0" w:space="0" w:color="auto"/>
      </w:divBdr>
    </w:div>
    <w:div w:id="490105392">
      <w:bodyDiv w:val="1"/>
      <w:marLeft w:val="0"/>
      <w:marRight w:val="0"/>
      <w:marTop w:val="0"/>
      <w:marBottom w:val="0"/>
      <w:divBdr>
        <w:top w:val="none" w:sz="0" w:space="0" w:color="auto"/>
        <w:left w:val="none" w:sz="0" w:space="0" w:color="auto"/>
        <w:bottom w:val="none" w:sz="0" w:space="0" w:color="auto"/>
        <w:right w:val="none" w:sz="0" w:space="0" w:color="auto"/>
      </w:divBdr>
    </w:div>
    <w:div w:id="493572090">
      <w:bodyDiv w:val="1"/>
      <w:marLeft w:val="0"/>
      <w:marRight w:val="0"/>
      <w:marTop w:val="0"/>
      <w:marBottom w:val="0"/>
      <w:divBdr>
        <w:top w:val="none" w:sz="0" w:space="0" w:color="auto"/>
        <w:left w:val="none" w:sz="0" w:space="0" w:color="auto"/>
        <w:bottom w:val="none" w:sz="0" w:space="0" w:color="auto"/>
        <w:right w:val="none" w:sz="0" w:space="0" w:color="auto"/>
      </w:divBdr>
      <w:divsChild>
        <w:div w:id="229658226">
          <w:marLeft w:val="0"/>
          <w:marRight w:val="0"/>
          <w:marTop w:val="0"/>
          <w:marBottom w:val="0"/>
          <w:divBdr>
            <w:top w:val="none" w:sz="0" w:space="0" w:color="auto"/>
            <w:left w:val="none" w:sz="0" w:space="0" w:color="auto"/>
            <w:bottom w:val="none" w:sz="0" w:space="0" w:color="auto"/>
            <w:right w:val="none" w:sz="0" w:space="0" w:color="auto"/>
          </w:divBdr>
        </w:div>
      </w:divsChild>
    </w:div>
    <w:div w:id="500196110">
      <w:bodyDiv w:val="1"/>
      <w:marLeft w:val="0"/>
      <w:marRight w:val="0"/>
      <w:marTop w:val="0"/>
      <w:marBottom w:val="0"/>
      <w:divBdr>
        <w:top w:val="none" w:sz="0" w:space="0" w:color="auto"/>
        <w:left w:val="none" w:sz="0" w:space="0" w:color="auto"/>
        <w:bottom w:val="none" w:sz="0" w:space="0" w:color="auto"/>
        <w:right w:val="none" w:sz="0" w:space="0" w:color="auto"/>
      </w:divBdr>
    </w:div>
    <w:div w:id="506794649">
      <w:bodyDiv w:val="1"/>
      <w:marLeft w:val="0"/>
      <w:marRight w:val="0"/>
      <w:marTop w:val="0"/>
      <w:marBottom w:val="0"/>
      <w:divBdr>
        <w:top w:val="none" w:sz="0" w:space="0" w:color="auto"/>
        <w:left w:val="none" w:sz="0" w:space="0" w:color="auto"/>
        <w:bottom w:val="none" w:sz="0" w:space="0" w:color="auto"/>
        <w:right w:val="none" w:sz="0" w:space="0" w:color="auto"/>
      </w:divBdr>
    </w:div>
    <w:div w:id="515774199">
      <w:bodyDiv w:val="1"/>
      <w:marLeft w:val="0"/>
      <w:marRight w:val="0"/>
      <w:marTop w:val="0"/>
      <w:marBottom w:val="0"/>
      <w:divBdr>
        <w:top w:val="none" w:sz="0" w:space="0" w:color="auto"/>
        <w:left w:val="none" w:sz="0" w:space="0" w:color="auto"/>
        <w:bottom w:val="none" w:sz="0" w:space="0" w:color="auto"/>
        <w:right w:val="none" w:sz="0" w:space="0" w:color="auto"/>
      </w:divBdr>
    </w:div>
    <w:div w:id="520627245">
      <w:bodyDiv w:val="1"/>
      <w:marLeft w:val="0"/>
      <w:marRight w:val="0"/>
      <w:marTop w:val="0"/>
      <w:marBottom w:val="0"/>
      <w:divBdr>
        <w:top w:val="none" w:sz="0" w:space="0" w:color="auto"/>
        <w:left w:val="none" w:sz="0" w:space="0" w:color="auto"/>
        <w:bottom w:val="none" w:sz="0" w:space="0" w:color="auto"/>
        <w:right w:val="none" w:sz="0" w:space="0" w:color="auto"/>
      </w:divBdr>
    </w:div>
    <w:div w:id="530070618">
      <w:bodyDiv w:val="1"/>
      <w:marLeft w:val="0"/>
      <w:marRight w:val="0"/>
      <w:marTop w:val="0"/>
      <w:marBottom w:val="0"/>
      <w:divBdr>
        <w:top w:val="none" w:sz="0" w:space="0" w:color="auto"/>
        <w:left w:val="none" w:sz="0" w:space="0" w:color="auto"/>
        <w:bottom w:val="none" w:sz="0" w:space="0" w:color="auto"/>
        <w:right w:val="none" w:sz="0" w:space="0" w:color="auto"/>
      </w:divBdr>
    </w:div>
    <w:div w:id="533422037">
      <w:bodyDiv w:val="1"/>
      <w:marLeft w:val="0"/>
      <w:marRight w:val="0"/>
      <w:marTop w:val="0"/>
      <w:marBottom w:val="0"/>
      <w:divBdr>
        <w:top w:val="none" w:sz="0" w:space="0" w:color="auto"/>
        <w:left w:val="none" w:sz="0" w:space="0" w:color="auto"/>
        <w:bottom w:val="none" w:sz="0" w:space="0" w:color="auto"/>
        <w:right w:val="none" w:sz="0" w:space="0" w:color="auto"/>
      </w:divBdr>
    </w:div>
    <w:div w:id="535581406">
      <w:bodyDiv w:val="1"/>
      <w:marLeft w:val="0"/>
      <w:marRight w:val="0"/>
      <w:marTop w:val="0"/>
      <w:marBottom w:val="0"/>
      <w:divBdr>
        <w:top w:val="none" w:sz="0" w:space="0" w:color="auto"/>
        <w:left w:val="none" w:sz="0" w:space="0" w:color="auto"/>
        <w:bottom w:val="none" w:sz="0" w:space="0" w:color="auto"/>
        <w:right w:val="none" w:sz="0" w:space="0" w:color="auto"/>
      </w:divBdr>
    </w:div>
    <w:div w:id="544372669">
      <w:bodyDiv w:val="1"/>
      <w:marLeft w:val="0"/>
      <w:marRight w:val="0"/>
      <w:marTop w:val="0"/>
      <w:marBottom w:val="0"/>
      <w:divBdr>
        <w:top w:val="none" w:sz="0" w:space="0" w:color="auto"/>
        <w:left w:val="none" w:sz="0" w:space="0" w:color="auto"/>
        <w:bottom w:val="none" w:sz="0" w:space="0" w:color="auto"/>
        <w:right w:val="none" w:sz="0" w:space="0" w:color="auto"/>
      </w:divBdr>
      <w:divsChild>
        <w:div w:id="433481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5409154">
      <w:bodyDiv w:val="1"/>
      <w:marLeft w:val="0"/>
      <w:marRight w:val="0"/>
      <w:marTop w:val="0"/>
      <w:marBottom w:val="0"/>
      <w:divBdr>
        <w:top w:val="none" w:sz="0" w:space="0" w:color="auto"/>
        <w:left w:val="none" w:sz="0" w:space="0" w:color="auto"/>
        <w:bottom w:val="none" w:sz="0" w:space="0" w:color="auto"/>
        <w:right w:val="none" w:sz="0" w:space="0" w:color="auto"/>
      </w:divBdr>
    </w:div>
    <w:div w:id="566452794">
      <w:bodyDiv w:val="1"/>
      <w:marLeft w:val="0"/>
      <w:marRight w:val="0"/>
      <w:marTop w:val="0"/>
      <w:marBottom w:val="0"/>
      <w:divBdr>
        <w:top w:val="none" w:sz="0" w:space="0" w:color="auto"/>
        <w:left w:val="none" w:sz="0" w:space="0" w:color="auto"/>
        <w:bottom w:val="none" w:sz="0" w:space="0" w:color="auto"/>
        <w:right w:val="none" w:sz="0" w:space="0" w:color="auto"/>
      </w:divBdr>
    </w:div>
    <w:div w:id="568735477">
      <w:bodyDiv w:val="1"/>
      <w:marLeft w:val="0"/>
      <w:marRight w:val="0"/>
      <w:marTop w:val="0"/>
      <w:marBottom w:val="0"/>
      <w:divBdr>
        <w:top w:val="none" w:sz="0" w:space="0" w:color="auto"/>
        <w:left w:val="none" w:sz="0" w:space="0" w:color="auto"/>
        <w:bottom w:val="none" w:sz="0" w:space="0" w:color="auto"/>
        <w:right w:val="none" w:sz="0" w:space="0" w:color="auto"/>
      </w:divBdr>
    </w:div>
    <w:div w:id="575476017">
      <w:bodyDiv w:val="1"/>
      <w:marLeft w:val="0"/>
      <w:marRight w:val="0"/>
      <w:marTop w:val="0"/>
      <w:marBottom w:val="0"/>
      <w:divBdr>
        <w:top w:val="none" w:sz="0" w:space="0" w:color="auto"/>
        <w:left w:val="none" w:sz="0" w:space="0" w:color="auto"/>
        <w:bottom w:val="none" w:sz="0" w:space="0" w:color="auto"/>
        <w:right w:val="none" w:sz="0" w:space="0" w:color="auto"/>
      </w:divBdr>
      <w:divsChild>
        <w:div w:id="1153718269">
          <w:marLeft w:val="0"/>
          <w:marRight w:val="0"/>
          <w:marTop w:val="0"/>
          <w:marBottom w:val="0"/>
          <w:divBdr>
            <w:top w:val="none" w:sz="0" w:space="0" w:color="auto"/>
            <w:left w:val="none" w:sz="0" w:space="0" w:color="auto"/>
            <w:bottom w:val="none" w:sz="0" w:space="0" w:color="auto"/>
            <w:right w:val="none" w:sz="0" w:space="0" w:color="auto"/>
          </w:divBdr>
          <w:divsChild>
            <w:div w:id="49172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936004">
      <w:bodyDiv w:val="1"/>
      <w:marLeft w:val="0"/>
      <w:marRight w:val="0"/>
      <w:marTop w:val="0"/>
      <w:marBottom w:val="0"/>
      <w:divBdr>
        <w:top w:val="none" w:sz="0" w:space="0" w:color="auto"/>
        <w:left w:val="none" w:sz="0" w:space="0" w:color="auto"/>
        <w:bottom w:val="none" w:sz="0" w:space="0" w:color="auto"/>
        <w:right w:val="none" w:sz="0" w:space="0" w:color="auto"/>
      </w:divBdr>
      <w:divsChild>
        <w:div w:id="1286887755">
          <w:marLeft w:val="0"/>
          <w:marRight w:val="0"/>
          <w:marTop w:val="0"/>
          <w:marBottom w:val="0"/>
          <w:divBdr>
            <w:top w:val="none" w:sz="0" w:space="0" w:color="auto"/>
            <w:left w:val="none" w:sz="0" w:space="0" w:color="auto"/>
            <w:bottom w:val="none" w:sz="0" w:space="0" w:color="auto"/>
            <w:right w:val="none" w:sz="0" w:space="0" w:color="auto"/>
          </w:divBdr>
        </w:div>
      </w:divsChild>
    </w:div>
    <w:div w:id="587811176">
      <w:bodyDiv w:val="1"/>
      <w:marLeft w:val="0"/>
      <w:marRight w:val="0"/>
      <w:marTop w:val="0"/>
      <w:marBottom w:val="0"/>
      <w:divBdr>
        <w:top w:val="none" w:sz="0" w:space="0" w:color="auto"/>
        <w:left w:val="none" w:sz="0" w:space="0" w:color="auto"/>
        <w:bottom w:val="none" w:sz="0" w:space="0" w:color="auto"/>
        <w:right w:val="none" w:sz="0" w:space="0" w:color="auto"/>
      </w:divBdr>
    </w:div>
    <w:div w:id="588583315">
      <w:bodyDiv w:val="1"/>
      <w:marLeft w:val="0"/>
      <w:marRight w:val="0"/>
      <w:marTop w:val="0"/>
      <w:marBottom w:val="0"/>
      <w:divBdr>
        <w:top w:val="none" w:sz="0" w:space="0" w:color="auto"/>
        <w:left w:val="none" w:sz="0" w:space="0" w:color="auto"/>
        <w:bottom w:val="none" w:sz="0" w:space="0" w:color="auto"/>
        <w:right w:val="none" w:sz="0" w:space="0" w:color="auto"/>
      </w:divBdr>
    </w:div>
    <w:div w:id="590700826">
      <w:bodyDiv w:val="1"/>
      <w:marLeft w:val="0"/>
      <w:marRight w:val="0"/>
      <w:marTop w:val="0"/>
      <w:marBottom w:val="0"/>
      <w:divBdr>
        <w:top w:val="none" w:sz="0" w:space="0" w:color="auto"/>
        <w:left w:val="none" w:sz="0" w:space="0" w:color="auto"/>
        <w:bottom w:val="none" w:sz="0" w:space="0" w:color="auto"/>
        <w:right w:val="none" w:sz="0" w:space="0" w:color="auto"/>
      </w:divBdr>
    </w:div>
    <w:div w:id="592395302">
      <w:bodyDiv w:val="1"/>
      <w:marLeft w:val="0"/>
      <w:marRight w:val="0"/>
      <w:marTop w:val="0"/>
      <w:marBottom w:val="0"/>
      <w:divBdr>
        <w:top w:val="none" w:sz="0" w:space="0" w:color="auto"/>
        <w:left w:val="none" w:sz="0" w:space="0" w:color="auto"/>
        <w:bottom w:val="none" w:sz="0" w:space="0" w:color="auto"/>
        <w:right w:val="none" w:sz="0" w:space="0" w:color="auto"/>
      </w:divBdr>
    </w:div>
    <w:div w:id="599681636">
      <w:bodyDiv w:val="1"/>
      <w:marLeft w:val="0"/>
      <w:marRight w:val="0"/>
      <w:marTop w:val="0"/>
      <w:marBottom w:val="0"/>
      <w:divBdr>
        <w:top w:val="none" w:sz="0" w:space="0" w:color="auto"/>
        <w:left w:val="none" w:sz="0" w:space="0" w:color="auto"/>
        <w:bottom w:val="none" w:sz="0" w:space="0" w:color="auto"/>
        <w:right w:val="none" w:sz="0" w:space="0" w:color="auto"/>
      </w:divBdr>
    </w:div>
    <w:div w:id="607464929">
      <w:bodyDiv w:val="1"/>
      <w:marLeft w:val="0"/>
      <w:marRight w:val="0"/>
      <w:marTop w:val="0"/>
      <w:marBottom w:val="0"/>
      <w:divBdr>
        <w:top w:val="none" w:sz="0" w:space="0" w:color="auto"/>
        <w:left w:val="none" w:sz="0" w:space="0" w:color="auto"/>
        <w:bottom w:val="none" w:sz="0" w:space="0" w:color="auto"/>
        <w:right w:val="none" w:sz="0" w:space="0" w:color="auto"/>
      </w:divBdr>
    </w:div>
    <w:div w:id="613245491">
      <w:bodyDiv w:val="1"/>
      <w:marLeft w:val="0"/>
      <w:marRight w:val="0"/>
      <w:marTop w:val="0"/>
      <w:marBottom w:val="0"/>
      <w:divBdr>
        <w:top w:val="none" w:sz="0" w:space="0" w:color="auto"/>
        <w:left w:val="none" w:sz="0" w:space="0" w:color="auto"/>
        <w:bottom w:val="none" w:sz="0" w:space="0" w:color="auto"/>
        <w:right w:val="none" w:sz="0" w:space="0" w:color="auto"/>
      </w:divBdr>
    </w:div>
    <w:div w:id="613514847">
      <w:bodyDiv w:val="1"/>
      <w:marLeft w:val="0"/>
      <w:marRight w:val="0"/>
      <w:marTop w:val="0"/>
      <w:marBottom w:val="0"/>
      <w:divBdr>
        <w:top w:val="none" w:sz="0" w:space="0" w:color="auto"/>
        <w:left w:val="none" w:sz="0" w:space="0" w:color="auto"/>
        <w:bottom w:val="none" w:sz="0" w:space="0" w:color="auto"/>
        <w:right w:val="none" w:sz="0" w:space="0" w:color="auto"/>
      </w:divBdr>
    </w:div>
    <w:div w:id="614019463">
      <w:bodyDiv w:val="1"/>
      <w:marLeft w:val="0"/>
      <w:marRight w:val="0"/>
      <w:marTop w:val="0"/>
      <w:marBottom w:val="0"/>
      <w:divBdr>
        <w:top w:val="none" w:sz="0" w:space="0" w:color="auto"/>
        <w:left w:val="none" w:sz="0" w:space="0" w:color="auto"/>
        <w:bottom w:val="none" w:sz="0" w:space="0" w:color="auto"/>
        <w:right w:val="none" w:sz="0" w:space="0" w:color="auto"/>
      </w:divBdr>
    </w:div>
    <w:div w:id="620964277">
      <w:bodyDiv w:val="1"/>
      <w:marLeft w:val="0"/>
      <w:marRight w:val="0"/>
      <w:marTop w:val="0"/>
      <w:marBottom w:val="0"/>
      <w:divBdr>
        <w:top w:val="none" w:sz="0" w:space="0" w:color="auto"/>
        <w:left w:val="none" w:sz="0" w:space="0" w:color="auto"/>
        <w:bottom w:val="none" w:sz="0" w:space="0" w:color="auto"/>
        <w:right w:val="none" w:sz="0" w:space="0" w:color="auto"/>
      </w:divBdr>
    </w:div>
    <w:div w:id="622006213">
      <w:bodyDiv w:val="1"/>
      <w:marLeft w:val="0"/>
      <w:marRight w:val="0"/>
      <w:marTop w:val="0"/>
      <w:marBottom w:val="0"/>
      <w:divBdr>
        <w:top w:val="none" w:sz="0" w:space="0" w:color="auto"/>
        <w:left w:val="none" w:sz="0" w:space="0" w:color="auto"/>
        <w:bottom w:val="none" w:sz="0" w:space="0" w:color="auto"/>
        <w:right w:val="none" w:sz="0" w:space="0" w:color="auto"/>
      </w:divBdr>
    </w:div>
    <w:div w:id="623971815">
      <w:bodyDiv w:val="1"/>
      <w:marLeft w:val="0"/>
      <w:marRight w:val="0"/>
      <w:marTop w:val="0"/>
      <w:marBottom w:val="0"/>
      <w:divBdr>
        <w:top w:val="none" w:sz="0" w:space="0" w:color="auto"/>
        <w:left w:val="none" w:sz="0" w:space="0" w:color="auto"/>
        <w:bottom w:val="none" w:sz="0" w:space="0" w:color="auto"/>
        <w:right w:val="none" w:sz="0" w:space="0" w:color="auto"/>
      </w:divBdr>
    </w:div>
    <w:div w:id="627443275">
      <w:bodyDiv w:val="1"/>
      <w:marLeft w:val="0"/>
      <w:marRight w:val="0"/>
      <w:marTop w:val="0"/>
      <w:marBottom w:val="0"/>
      <w:divBdr>
        <w:top w:val="none" w:sz="0" w:space="0" w:color="auto"/>
        <w:left w:val="none" w:sz="0" w:space="0" w:color="auto"/>
        <w:bottom w:val="none" w:sz="0" w:space="0" w:color="auto"/>
        <w:right w:val="none" w:sz="0" w:space="0" w:color="auto"/>
      </w:divBdr>
    </w:div>
    <w:div w:id="630668285">
      <w:bodyDiv w:val="1"/>
      <w:marLeft w:val="0"/>
      <w:marRight w:val="0"/>
      <w:marTop w:val="0"/>
      <w:marBottom w:val="0"/>
      <w:divBdr>
        <w:top w:val="none" w:sz="0" w:space="0" w:color="auto"/>
        <w:left w:val="none" w:sz="0" w:space="0" w:color="auto"/>
        <w:bottom w:val="none" w:sz="0" w:space="0" w:color="auto"/>
        <w:right w:val="none" w:sz="0" w:space="0" w:color="auto"/>
      </w:divBdr>
    </w:div>
    <w:div w:id="642392080">
      <w:bodyDiv w:val="1"/>
      <w:marLeft w:val="0"/>
      <w:marRight w:val="0"/>
      <w:marTop w:val="0"/>
      <w:marBottom w:val="0"/>
      <w:divBdr>
        <w:top w:val="none" w:sz="0" w:space="0" w:color="auto"/>
        <w:left w:val="none" w:sz="0" w:space="0" w:color="auto"/>
        <w:bottom w:val="none" w:sz="0" w:space="0" w:color="auto"/>
        <w:right w:val="none" w:sz="0" w:space="0" w:color="auto"/>
      </w:divBdr>
      <w:divsChild>
        <w:div w:id="785271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8025267">
      <w:bodyDiv w:val="1"/>
      <w:marLeft w:val="0"/>
      <w:marRight w:val="0"/>
      <w:marTop w:val="0"/>
      <w:marBottom w:val="0"/>
      <w:divBdr>
        <w:top w:val="none" w:sz="0" w:space="0" w:color="auto"/>
        <w:left w:val="none" w:sz="0" w:space="0" w:color="auto"/>
        <w:bottom w:val="none" w:sz="0" w:space="0" w:color="auto"/>
        <w:right w:val="none" w:sz="0" w:space="0" w:color="auto"/>
      </w:divBdr>
    </w:div>
    <w:div w:id="650868298">
      <w:bodyDiv w:val="1"/>
      <w:marLeft w:val="0"/>
      <w:marRight w:val="0"/>
      <w:marTop w:val="0"/>
      <w:marBottom w:val="0"/>
      <w:divBdr>
        <w:top w:val="none" w:sz="0" w:space="0" w:color="auto"/>
        <w:left w:val="none" w:sz="0" w:space="0" w:color="auto"/>
        <w:bottom w:val="none" w:sz="0" w:space="0" w:color="auto"/>
        <w:right w:val="none" w:sz="0" w:space="0" w:color="auto"/>
      </w:divBdr>
    </w:div>
    <w:div w:id="663361320">
      <w:bodyDiv w:val="1"/>
      <w:marLeft w:val="0"/>
      <w:marRight w:val="0"/>
      <w:marTop w:val="0"/>
      <w:marBottom w:val="0"/>
      <w:divBdr>
        <w:top w:val="none" w:sz="0" w:space="0" w:color="auto"/>
        <w:left w:val="none" w:sz="0" w:space="0" w:color="auto"/>
        <w:bottom w:val="none" w:sz="0" w:space="0" w:color="auto"/>
        <w:right w:val="none" w:sz="0" w:space="0" w:color="auto"/>
      </w:divBdr>
      <w:divsChild>
        <w:div w:id="414523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8943180">
      <w:bodyDiv w:val="1"/>
      <w:marLeft w:val="0"/>
      <w:marRight w:val="0"/>
      <w:marTop w:val="0"/>
      <w:marBottom w:val="0"/>
      <w:divBdr>
        <w:top w:val="none" w:sz="0" w:space="0" w:color="auto"/>
        <w:left w:val="none" w:sz="0" w:space="0" w:color="auto"/>
        <w:bottom w:val="none" w:sz="0" w:space="0" w:color="auto"/>
        <w:right w:val="none" w:sz="0" w:space="0" w:color="auto"/>
      </w:divBdr>
    </w:div>
    <w:div w:id="670333543">
      <w:bodyDiv w:val="1"/>
      <w:marLeft w:val="0"/>
      <w:marRight w:val="0"/>
      <w:marTop w:val="0"/>
      <w:marBottom w:val="0"/>
      <w:divBdr>
        <w:top w:val="none" w:sz="0" w:space="0" w:color="auto"/>
        <w:left w:val="none" w:sz="0" w:space="0" w:color="auto"/>
        <w:bottom w:val="none" w:sz="0" w:space="0" w:color="auto"/>
        <w:right w:val="none" w:sz="0" w:space="0" w:color="auto"/>
      </w:divBdr>
    </w:div>
    <w:div w:id="673535894">
      <w:bodyDiv w:val="1"/>
      <w:marLeft w:val="0"/>
      <w:marRight w:val="0"/>
      <w:marTop w:val="0"/>
      <w:marBottom w:val="0"/>
      <w:divBdr>
        <w:top w:val="none" w:sz="0" w:space="0" w:color="auto"/>
        <w:left w:val="none" w:sz="0" w:space="0" w:color="auto"/>
        <w:bottom w:val="none" w:sz="0" w:space="0" w:color="auto"/>
        <w:right w:val="none" w:sz="0" w:space="0" w:color="auto"/>
      </w:divBdr>
      <w:divsChild>
        <w:div w:id="834027439">
          <w:marLeft w:val="0"/>
          <w:marRight w:val="0"/>
          <w:marTop w:val="0"/>
          <w:marBottom w:val="0"/>
          <w:divBdr>
            <w:top w:val="none" w:sz="0" w:space="0" w:color="auto"/>
            <w:left w:val="none" w:sz="0" w:space="0" w:color="auto"/>
            <w:bottom w:val="none" w:sz="0" w:space="0" w:color="auto"/>
            <w:right w:val="none" w:sz="0" w:space="0" w:color="auto"/>
          </w:divBdr>
          <w:divsChild>
            <w:div w:id="1400206545">
              <w:blockQuote w:val="1"/>
              <w:marLeft w:val="720"/>
              <w:marRight w:val="720"/>
              <w:marTop w:val="100"/>
              <w:marBottom w:val="100"/>
              <w:divBdr>
                <w:top w:val="none" w:sz="0" w:space="0" w:color="auto"/>
                <w:left w:val="none" w:sz="0" w:space="0" w:color="auto"/>
                <w:bottom w:val="none" w:sz="0" w:space="0" w:color="auto"/>
                <w:right w:val="none" w:sz="0" w:space="0" w:color="auto"/>
              </w:divBdr>
            </w:div>
            <w:div w:id="475339100">
              <w:blockQuote w:val="1"/>
              <w:marLeft w:val="720"/>
              <w:marRight w:val="720"/>
              <w:marTop w:val="100"/>
              <w:marBottom w:val="100"/>
              <w:divBdr>
                <w:top w:val="none" w:sz="0" w:space="0" w:color="auto"/>
                <w:left w:val="none" w:sz="0" w:space="0" w:color="auto"/>
                <w:bottom w:val="none" w:sz="0" w:space="0" w:color="auto"/>
                <w:right w:val="none" w:sz="0" w:space="0" w:color="auto"/>
              </w:divBdr>
            </w:div>
            <w:div w:id="1913006605">
              <w:blockQuote w:val="1"/>
              <w:marLeft w:val="720"/>
              <w:marRight w:val="720"/>
              <w:marTop w:val="100"/>
              <w:marBottom w:val="100"/>
              <w:divBdr>
                <w:top w:val="none" w:sz="0" w:space="0" w:color="auto"/>
                <w:left w:val="none" w:sz="0" w:space="0" w:color="auto"/>
                <w:bottom w:val="none" w:sz="0" w:space="0" w:color="auto"/>
                <w:right w:val="none" w:sz="0" w:space="0" w:color="auto"/>
              </w:divBdr>
            </w:div>
            <w:div w:id="942372516">
              <w:blockQuote w:val="1"/>
              <w:marLeft w:val="720"/>
              <w:marRight w:val="720"/>
              <w:marTop w:val="100"/>
              <w:marBottom w:val="100"/>
              <w:divBdr>
                <w:top w:val="none" w:sz="0" w:space="0" w:color="auto"/>
                <w:left w:val="none" w:sz="0" w:space="0" w:color="auto"/>
                <w:bottom w:val="none" w:sz="0" w:space="0" w:color="auto"/>
                <w:right w:val="none" w:sz="0" w:space="0" w:color="auto"/>
              </w:divBdr>
            </w:div>
            <w:div w:id="690691287">
              <w:blockQuote w:val="1"/>
              <w:marLeft w:val="720"/>
              <w:marRight w:val="720"/>
              <w:marTop w:val="100"/>
              <w:marBottom w:val="100"/>
              <w:divBdr>
                <w:top w:val="none" w:sz="0" w:space="0" w:color="auto"/>
                <w:left w:val="none" w:sz="0" w:space="0" w:color="auto"/>
                <w:bottom w:val="none" w:sz="0" w:space="0" w:color="auto"/>
                <w:right w:val="none" w:sz="0" w:space="0" w:color="auto"/>
              </w:divBdr>
            </w:div>
            <w:div w:id="17511242">
              <w:blockQuote w:val="1"/>
              <w:marLeft w:val="720"/>
              <w:marRight w:val="720"/>
              <w:marTop w:val="100"/>
              <w:marBottom w:val="100"/>
              <w:divBdr>
                <w:top w:val="none" w:sz="0" w:space="0" w:color="auto"/>
                <w:left w:val="none" w:sz="0" w:space="0" w:color="auto"/>
                <w:bottom w:val="none" w:sz="0" w:space="0" w:color="auto"/>
                <w:right w:val="none" w:sz="0" w:space="0" w:color="auto"/>
              </w:divBdr>
            </w:div>
            <w:div w:id="714742038">
              <w:blockQuote w:val="1"/>
              <w:marLeft w:val="720"/>
              <w:marRight w:val="720"/>
              <w:marTop w:val="100"/>
              <w:marBottom w:val="100"/>
              <w:divBdr>
                <w:top w:val="none" w:sz="0" w:space="0" w:color="auto"/>
                <w:left w:val="none" w:sz="0" w:space="0" w:color="auto"/>
                <w:bottom w:val="none" w:sz="0" w:space="0" w:color="auto"/>
                <w:right w:val="none" w:sz="0" w:space="0" w:color="auto"/>
              </w:divBdr>
            </w:div>
            <w:div w:id="2020503588">
              <w:blockQuote w:val="1"/>
              <w:marLeft w:val="720"/>
              <w:marRight w:val="720"/>
              <w:marTop w:val="100"/>
              <w:marBottom w:val="100"/>
              <w:divBdr>
                <w:top w:val="none" w:sz="0" w:space="0" w:color="auto"/>
                <w:left w:val="none" w:sz="0" w:space="0" w:color="auto"/>
                <w:bottom w:val="none" w:sz="0" w:space="0" w:color="auto"/>
                <w:right w:val="none" w:sz="0" w:space="0" w:color="auto"/>
              </w:divBdr>
            </w:div>
            <w:div w:id="1075014433">
              <w:blockQuote w:val="1"/>
              <w:marLeft w:val="720"/>
              <w:marRight w:val="720"/>
              <w:marTop w:val="100"/>
              <w:marBottom w:val="100"/>
              <w:divBdr>
                <w:top w:val="none" w:sz="0" w:space="0" w:color="auto"/>
                <w:left w:val="none" w:sz="0" w:space="0" w:color="auto"/>
                <w:bottom w:val="none" w:sz="0" w:space="0" w:color="auto"/>
                <w:right w:val="none" w:sz="0" w:space="0" w:color="auto"/>
              </w:divBdr>
            </w:div>
            <w:div w:id="20492584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674770883">
      <w:bodyDiv w:val="1"/>
      <w:marLeft w:val="0"/>
      <w:marRight w:val="0"/>
      <w:marTop w:val="0"/>
      <w:marBottom w:val="0"/>
      <w:divBdr>
        <w:top w:val="none" w:sz="0" w:space="0" w:color="auto"/>
        <w:left w:val="none" w:sz="0" w:space="0" w:color="auto"/>
        <w:bottom w:val="none" w:sz="0" w:space="0" w:color="auto"/>
        <w:right w:val="none" w:sz="0" w:space="0" w:color="auto"/>
      </w:divBdr>
    </w:div>
    <w:div w:id="675886506">
      <w:bodyDiv w:val="1"/>
      <w:marLeft w:val="0"/>
      <w:marRight w:val="0"/>
      <w:marTop w:val="0"/>
      <w:marBottom w:val="0"/>
      <w:divBdr>
        <w:top w:val="none" w:sz="0" w:space="0" w:color="auto"/>
        <w:left w:val="none" w:sz="0" w:space="0" w:color="auto"/>
        <w:bottom w:val="none" w:sz="0" w:space="0" w:color="auto"/>
        <w:right w:val="none" w:sz="0" w:space="0" w:color="auto"/>
      </w:divBdr>
      <w:divsChild>
        <w:div w:id="19794146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8310748">
      <w:bodyDiv w:val="1"/>
      <w:marLeft w:val="0"/>
      <w:marRight w:val="0"/>
      <w:marTop w:val="0"/>
      <w:marBottom w:val="0"/>
      <w:divBdr>
        <w:top w:val="none" w:sz="0" w:space="0" w:color="auto"/>
        <w:left w:val="none" w:sz="0" w:space="0" w:color="auto"/>
        <w:bottom w:val="none" w:sz="0" w:space="0" w:color="auto"/>
        <w:right w:val="none" w:sz="0" w:space="0" w:color="auto"/>
      </w:divBdr>
    </w:div>
    <w:div w:id="679242184">
      <w:bodyDiv w:val="1"/>
      <w:marLeft w:val="0"/>
      <w:marRight w:val="0"/>
      <w:marTop w:val="0"/>
      <w:marBottom w:val="0"/>
      <w:divBdr>
        <w:top w:val="none" w:sz="0" w:space="0" w:color="auto"/>
        <w:left w:val="none" w:sz="0" w:space="0" w:color="auto"/>
        <w:bottom w:val="none" w:sz="0" w:space="0" w:color="auto"/>
        <w:right w:val="none" w:sz="0" w:space="0" w:color="auto"/>
      </w:divBdr>
    </w:div>
    <w:div w:id="680619576">
      <w:bodyDiv w:val="1"/>
      <w:marLeft w:val="0"/>
      <w:marRight w:val="0"/>
      <w:marTop w:val="0"/>
      <w:marBottom w:val="0"/>
      <w:divBdr>
        <w:top w:val="none" w:sz="0" w:space="0" w:color="auto"/>
        <w:left w:val="none" w:sz="0" w:space="0" w:color="auto"/>
        <w:bottom w:val="none" w:sz="0" w:space="0" w:color="auto"/>
        <w:right w:val="none" w:sz="0" w:space="0" w:color="auto"/>
      </w:divBdr>
    </w:div>
    <w:div w:id="683478244">
      <w:bodyDiv w:val="1"/>
      <w:marLeft w:val="0"/>
      <w:marRight w:val="0"/>
      <w:marTop w:val="0"/>
      <w:marBottom w:val="0"/>
      <w:divBdr>
        <w:top w:val="none" w:sz="0" w:space="0" w:color="auto"/>
        <w:left w:val="none" w:sz="0" w:space="0" w:color="auto"/>
        <w:bottom w:val="none" w:sz="0" w:space="0" w:color="auto"/>
        <w:right w:val="none" w:sz="0" w:space="0" w:color="auto"/>
      </w:divBdr>
    </w:div>
    <w:div w:id="697659284">
      <w:bodyDiv w:val="1"/>
      <w:marLeft w:val="0"/>
      <w:marRight w:val="0"/>
      <w:marTop w:val="0"/>
      <w:marBottom w:val="0"/>
      <w:divBdr>
        <w:top w:val="none" w:sz="0" w:space="0" w:color="auto"/>
        <w:left w:val="none" w:sz="0" w:space="0" w:color="auto"/>
        <w:bottom w:val="none" w:sz="0" w:space="0" w:color="auto"/>
        <w:right w:val="none" w:sz="0" w:space="0" w:color="auto"/>
      </w:divBdr>
    </w:div>
    <w:div w:id="699471470">
      <w:bodyDiv w:val="1"/>
      <w:marLeft w:val="0"/>
      <w:marRight w:val="0"/>
      <w:marTop w:val="0"/>
      <w:marBottom w:val="0"/>
      <w:divBdr>
        <w:top w:val="none" w:sz="0" w:space="0" w:color="auto"/>
        <w:left w:val="none" w:sz="0" w:space="0" w:color="auto"/>
        <w:bottom w:val="none" w:sz="0" w:space="0" w:color="auto"/>
        <w:right w:val="none" w:sz="0" w:space="0" w:color="auto"/>
      </w:divBdr>
    </w:div>
    <w:div w:id="702906135">
      <w:bodyDiv w:val="1"/>
      <w:marLeft w:val="0"/>
      <w:marRight w:val="0"/>
      <w:marTop w:val="0"/>
      <w:marBottom w:val="0"/>
      <w:divBdr>
        <w:top w:val="none" w:sz="0" w:space="0" w:color="auto"/>
        <w:left w:val="none" w:sz="0" w:space="0" w:color="auto"/>
        <w:bottom w:val="none" w:sz="0" w:space="0" w:color="auto"/>
        <w:right w:val="none" w:sz="0" w:space="0" w:color="auto"/>
      </w:divBdr>
      <w:divsChild>
        <w:div w:id="535894356">
          <w:blockQuote w:val="1"/>
          <w:marLeft w:val="720"/>
          <w:marRight w:val="720"/>
          <w:marTop w:val="100"/>
          <w:marBottom w:val="100"/>
          <w:divBdr>
            <w:top w:val="none" w:sz="0" w:space="0" w:color="auto"/>
            <w:left w:val="none" w:sz="0" w:space="0" w:color="auto"/>
            <w:bottom w:val="none" w:sz="0" w:space="0" w:color="auto"/>
            <w:right w:val="none" w:sz="0" w:space="0" w:color="auto"/>
          </w:divBdr>
        </w:div>
        <w:div w:id="1007682056">
          <w:blockQuote w:val="1"/>
          <w:marLeft w:val="720"/>
          <w:marRight w:val="720"/>
          <w:marTop w:val="100"/>
          <w:marBottom w:val="100"/>
          <w:divBdr>
            <w:top w:val="none" w:sz="0" w:space="0" w:color="auto"/>
            <w:left w:val="none" w:sz="0" w:space="0" w:color="auto"/>
            <w:bottom w:val="none" w:sz="0" w:space="0" w:color="auto"/>
            <w:right w:val="none" w:sz="0" w:space="0" w:color="auto"/>
          </w:divBdr>
        </w:div>
        <w:div w:id="2069958153">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273802">
          <w:blockQuote w:val="1"/>
          <w:marLeft w:val="720"/>
          <w:marRight w:val="720"/>
          <w:marTop w:val="100"/>
          <w:marBottom w:val="100"/>
          <w:divBdr>
            <w:top w:val="none" w:sz="0" w:space="0" w:color="auto"/>
            <w:left w:val="none" w:sz="0" w:space="0" w:color="auto"/>
            <w:bottom w:val="none" w:sz="0" w:space="0" w:color="auto"/>
            <w:right w:val="none" w:sz="0" w:space="0" w:color="auto"/>
          </w:divBdr>
        </w:div>
        <w:div w:id="1997873233">
          <w:blockQuote w:val="1"/>
          <w:marLeft w:val="720"/>
          <w:marRight w:val="720"/>
          <w:marTop w:val="100"/>
          <w:marBottom w:val="100"/>
          <w:divBdr>
            <w:top w:val="none" w:sz="0" w:space="0" w:color="auto"/>
            <w:left w:val="none" w:sz="0" w:space="0" w:color="auto"/>
            <w:bottom w:val="none" w:sz="0" w:space="0" w:color="auto"/>
            <w:right w:val="none" w:sz="0" w:space="0" w:color="auto"/>
          </w:divBdr>
        </w:div>
        <w:div w:id="1309238992">
          <w:blockQuote w:val="1"/>
          <w:marLeft w:val="720"/>
          <w:marRight w:val="720"/>
          <w:marTop w:val="100"/>
          <w:marBottom w:val="100"/>
          <w:divBdr>
            <w:top w:val="none" w:sz="0" w:space="0" w:color="auto"/>
            <w:left w:val="none" w:sz="0" w:space="0" w:color="auto"/>
            <w:bottom w:val="none" w:sz="0" w:space="0" w:color="auto"/>
            <w:right w:val="none" w:sz="0" w:space="0" w:color="auto"/>
          </w:divBdr>
        </w:div>
        <w:div w:id="1492217412">
          <w:blockQuote w:val="1"/>
          <w:marLeft w:val="720"/>
          <w:marRight w:val="720"/>
          <w:marTop w:val="100"/>
          <w:marBottom w:val="100"/>
          <w:divBdr>
            <w:top w:val="none" w:sz="0" w:space="0" w:color="auto"/>
            <w:left w:val="none" w:sz="0" w:space="0" w:color="auto"/>
            <w:bottom w:val="none" w:sz="0" w:space="0" w:color="auto"/>
            <w:right w:val="none" w:sz="0" w:space="0" w:color="auto"/>
          </w:divBdr>
        </w:div>
        <w:div w:id="1547795857">
          <w:blockQuote w:val="1"/>
          <w:marLeft w:val="720"/>
          <w:marRight w:val="720"/>
          <w:marTop w:val="100"/>
          <w:marBottom w:val="100"/>
          <w:divBdr>
            <w:top w:val="none" w:sz="0" w:space="0" w:color="auto"/>
            <w:left w:val="none" w:sz="0" w:space="0" w:color="auto"/>
            <w:bottom w:val="none" w:sz="0" w:space="0" w:color="auto"/>
            <w:right w:val="none" w:sz="0" w:space="0" w:color="auto"/>
          </w:divBdr>
        </w:div>
        <w:div w:id="1471169207">
          <w:blockQuote w:val="1"/>
          <w:marLeft w:val="720"/>
          <w:marRight w:val="720"/>
          <w:marTop w:val="100"/>
          <w:marBottom w:val="100"/>
          <w:divBdr>
            <w:top w:val="none" w:sz="0" w:space="0" w:color="auto"/>
            <w:left w:val="none" w:sz="0" w:space="0" w:color="auto"/>
            <w:bottom w:val="none" w:sz="0" w:space="0" w:color="auto"/>
            <w:right w:val="none" w:sz="0" w:space="0" w:color="auto"/>
          </w:divBdr>
        </w:div>
        <w:div w:id="260914215">
          <w:blockQuote w:val="1"/>
          <w:marLeft w:val="720"/>
          <w:marRight w:val="720"/>
          <w:marTop w:val="100"/>
          <w:marBottom w:val="100"/>
          <w:divBdr>
            <w:top w:val="none" w:sz="0" w:space="0" w:color="auto"/>
            <w:left w:val="none" w:sz="0" w:space="0" w:color="auto"/>
            <w:bottom w:val="none" w:sz="0" w:space="0" w:color="auto"/>
            <w:right w:val="none" w:sz="0" w:space="0" w:color="auto"/>
          </w:divBdr>
        </w:div>
        <w:div w:id="1100024752">
          <w:blockQuote w:val="1"/>
          <w:marLeft w:val="720"/>
          <w:marRight w:val="720"/>
          <w:marTop w:val="100"/>
          <w:marBottom w:val="100"/>
          <w:divBdr>
            <w:top w:val="none" w:sz="0" w:space="0" w:color="auto"/>
            <w:left w:val="none" w:sz="0" w:space="0" w:color="auto"/>
            <w:bottom w:val="none" w:sz="0" w:space="0" w:color="auto"/>
            <w:right w:val="none" w:sz="0" w:space="0" w:color="auto"/>
          </w:divBdr>
        </w:div>
        <w:div w:id="1751586632">
          <w:blockQuote w:val="1"/>
          <w:marLeft w:val="720"/>
          <w:marRight w:val="720"/>
          <w:marTop w:val="100"/>
          <w:marBottom w:val="100"/>
          <w:divBdr>
            <w:top w:val="none" w:sz="0" w:space="0" w:color="auto"/>
            <w:left w:val="none" w:sz="0" w:space="0" w:color="auto"/>
            <w:bottom w:val="none" w:sz="0" w:space="0" w:color="auto"/>
            <w:right w:val="none" w:sz="0" w:space="0" w:color="auto"/>
          </w:divBdr>
        </w:div>
        <w:div w:id="1124075830">
          <w:blockQuote w:val="1"/>
          <w:marLeft w:val="720"/>
          <w:marRight w:val="720"/>
          <w:marTop w:val="100"/>
          <w:marBottom w:val="100"/>
          <w:divBdr>
            <w:top w:val="none" w:sz="0" w:space="0" w:color="auto"/>
            <w:left w:val="none" w:sz="0" w:space="0" w:color="auto"/>
            <w:bottom w:val="none" w:sz="0" w:space="0" w:color="auto"/>
            <w:right w:val="none" w:sz="0" w:space="0" w:color="auto"/>
          </w:divBdr>
        </w:div>
        <w:div w:id="1595284384">
          <w:blockQuote w:val="1"/>
          <w:marLeft w:val="720"/>
          <w:marRight w:val="720"/>
          <w:marTop w:val="100"/>
          <w:marBottom w:val="100"/>
          <w:divBdr>
            <w:top w:val="none" w:sz="0" w:space="0" w:color="auto"/>
            <w:left w:val="none" w:sz="0" w:space="0" w:color="auto"/>
            <w:bottom w:val="none" w:sz="0" w:space="0" w:color="auto"/>
            <w:right w:val="none" w:sz="0" w:space="0" w:color="auto"/>
          </w:divBdr>
        </w:div>
        <w:div w:id="14848085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9459099">
      <w:bodyDiv w:val="1"/>
      <w:marLeft w:val="0"/>
      <w:marRight w:val="0"/>
      <w:marTop w:val="0"/>
      <w:marBottom w:val="0"/>
      <w:divBdr>
        <w:top w:val="none" w:sz="0" w:space="0" w:color="auto"/>
        <w:left w:val="none" w:sz="0" w:space="0" w:color="auto"/>
        <w:bottom w:val="none" w:sz="0" w:space="0" w:color="auto"/>
        <w:right w:val="none" w:sz="0" w:space="0" w:color="auto"/>
      </w:divBdr>
    </w:div>
    <w:div w:id="715549755">
      <w:bodyDiv w:val="1"/>
      <w:marLeft w:val="0"/>
      <w:marRight w:val="0"/>
      <w:marTop w:val="0"/>
      <w:marBottom w:val="0"/>
      <w:divBdr>
        <w:top w:val="none" w:sz="0" w:space="0" w:color="auto"/>
        <w:left w:val="none" w:sz="0" w:space="0" w:color="auto"/>
        <w:bottom w:val="none" w:sz="0" w:space="0" w:color="auto"/>
        <w:right w:val="none" w:sz="0" w:space="0" w:color="auto"/>
      </w:divBdr>
    </w:div>
    <w:div w:id="719062709">
      <w:bodyDiv w:val="1"/>
      <w:marLeft w:val="0"/>
      <w:marRight w:val="0"/>
      <w:marTop w:val="0"/>
      <w:marBottom w:val="0"/>
      <w:divBdr>
        <w:top w:val="none" w:sz="0" w:space="0" w:color="auto"/>
        <w:left w:val="none" w:sz="0" w:space="0" w:color="auto"/>
        <w:bottom w:val="none" w:sz="0" w:space="0" w:color="auto"/>
        <w:right w:val="none" w:sz="0" w:space="0" w:color="auto"/>
      </w:divBdr>
    </w:div>
    <w:div w:id="724107869">
      <w:bodyDiv w:val="1"/>
      <w:marLeft w:val="0"/>
      <w:marRight w:val="0"/>
      <w:marTop w:val="0"/>
      <w:marBottom w:val="0"/>
      <w:divBdr>
        <w:top w:val="none" w:sz="0" w:space="0" w:color="auto"/>
        <w:left w:val="none" w:sz="0" w:space="0" w:color="auto"/>
        <w:bottom w:val="none" w:sz="0" w:space="0" w:color="auto"/>
        <w:right w:val="none" w:sz="0" w:space="0" w:color="auto"/>
      </w:divBdr>
    </w:div>
    <w:div w:id="728264700">
      <w:bodyDiv w:val="1"/>
      <w:marLeft w:val="0"/>
      <w:marRight w:val="0"/>
      <w:marTop w:val="0"/>
      <w:marBottom w:val="0"/>
      <w:divBdr>
        <w:top w:val="none" w:sz="0" w:space="0" w:color="auto"/>
        <w:left w:val="none" w:sz="0" w:space="0" w:color="auto"/>
        <w:bottom w:val="none" w:sz="0" w:space="0" w:color="auto"/>
        <w:right w:val="none" w:sz="0" w:space="0" w:color="auto"/>
      </w:divBdr>
    </w:div>
    <w:div w:id="728312198">
      <w:bodyDiv w:val="1"/>
      <w:marLeft w:val="0"/>
      <w:marRight w:val="0"/>
      <w:marTop w:val="0"/>
      <w:marBottom w:val="0"/>
      <w:divBdr>
        <w:top w:val="none" w:sz="0" w:space="0" w:color="auto"/>
        <w:left w:val="none" w:sz="0" w:space="0" w:color="auto"/>
        <w:bottom w:val="none" w:sz="0" w:space="0" w:color="auto"/>
        <w:right w:val="none" w:sz="0" w:space="0" w:color="auto"/>
      </w:divBdr>
    </w:div>
    <w:div w:id="731536301">
      <w:bodyDiv w:val="1"/>
      <w:marLeft w:val="0"/>
      <w:marRight w:val="0"/>
      <w:marTop w:val="0"/>
      <w:marBottom w:val="0"/>
      <w:divBdr>
        <w:top w:val="none" w:sz="0" w:space="0" w:color="auto"/>
        <w:left w:val="none" w:sz="0" w:space="0" w:color="auto"/>
        <w:bottom w:val="none" w:sz="0" w:space="0" w:color="auto"/>
        <w:right w:val="none" w:sz="0" w:space="0" w:color="auto"/>
      </w:divBdr>
    </w:div>
    <w:div w:id="749426171">
      <w:bodyDiv w:val="1"/>
      <w:marLeft w:val="0"/>
      <w:marRight w:val="0"/>
      <w:marTop w:val="0"/>
      <w:marBottom w:val="0"/>
      <w:divBdr>
        <w:top w:val="none" w:sz="0" w:space="0" w:color="auto"/>
        <w:left w:val="none" w:sz="0" w:space="0" w:color="auto"/>
        <w:bottom w:val="none" w:sz="0" w:space="0" w:color="auto"/>
        <w:right w:val="none" w:sz="0" w:space="0" w:color="auto"/>
      </w:divBdr>
      <w:divsChild>
        <w:div w:id="4619209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0737421">
      <w:bodyDiv w:val="1"/>
      <w:marLeft w:val="0"/>
      <w:marRight w:val="0"/>
      <w:marTop w:val="0"/>
      <w:marBottom w:val="0"/>
      <w:divBdr>
        <w:top w:val="none" w:sz="0" w:space="0" w:color="auto"/>
        <w:left w:val="none" w:sz="0" w:space="0" w:color="auto"/>
        <w:bottom w:val="none" w:sz="0" w:space="0" w:color="auto"/>
        <w:right w:val="none" w:sz="0" w:space="0" w:color="auto"/>
      </w:divBdr>
    </w:div>
    <w:div w:id="753088057">
      <w:bodyDiv w:val="1"/>
      <w:marLeft w:val="0"/>
      <w:marRight w:val="0"/>
      <w:marTop w:val="0"/>
      <w:marBottom w:val="0"/>
      <w:divBdr>
        <w:top w:val="none" w:sz="0" w:space="0" w:color="auto"/>
        <w:left w:val="none" w:sz="0" w:space="0" w:color="auto"/>
        <w:bottom w:val="none" w:sz="0" w:space="0" w:color="auto"/>
        <w:right w:val="none" w:sz="0" w:space="0" w:color="auto"/>
      </w:divBdr>
    </w:div>
    <w:div w:id="754934136">
      <w:bodyDiv w:val="1"/>
      <w:marLeft w:val="0"/>
      <w:marRight w:val="0"/>
      <w:marTop w:val="0"/>
      <w:marBottom w:val="0"/>
      <w:divBdr>
        <w:top w:val="none" w:sz="0" w:space="0" w:color="auto"/>
        <w:left w:val="none" w:sz="0" w:space="0" w:color="auto"/>
        <w:bottom w:val="none" w:sz="0" w:space="0" w:color="auto"/>
        <w:right w:val="none" w:sz="0" w:space="0" w:color="auto"/>
      </w:divBdr>
      <w:divsChild>
        <w:div w:id="1191450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1534301">
      <w:bodyDiv w:val="1"/>
      <w:marLeft w:val="0"/>
      <w:marRight w:val="0"/>
      <w:marTop w:val="0"/>
      <w:marBottom w:val="0"/>
      <w:divBdr>
        <w:top w:val="none" w:sz="0" w:space="0" w:color="auto"/>
        <w:left w:val="none" w:sz="0" w:space="0" w:color="auto"/>
        <w:bottom w:val="none" w:sz="0" w:space="0" w:color="auto"/>
        <w:right w:val="none" w:sz="0" w:space="0" w:color="auto"/>
      </w:divBdr>
    </w:div>
    <w:div w:id="764302328">
      <w:bodyDiv w:val="1"/>
      <w:marLeft w:val="0"/>
      <w:marRight w:val="0"/>
      <w:marTop w:val="0"/>
      <w:marBottom w:val="0"/>
      <w:divBdr>
        <w:top w:val="none" w:sz="0" w:space="0" w:color="auto"/>
        <w:left w:val="none" w:sz="0" w:space="0" w:color="auto"/>
        <w:bottom w:val="none" w:sz="0" w:space="0" w:color="auto"/>
        <w:right w:val="none" w:sz="0" w:space="0" w:color="auto"/>
      </w:divBdr>
    </w:div>
    <w:div w:id="766313805">
      <w:bodyDiv w:val="1"/>
      <w:marLeft w:val="0"/>
      <w:marRight w:val="0"/>
      <w:marTop w:val="0"/>
      <w:marBottom w:val="0"/>
      <w:divBdr>
        <w:top w:val="none" w:sz="0" w:space="0" w:color="auto"/>
        <w:left w:val="none" w:sz="0" w:space="0" w:color="auto"/>
        <w:bottom w:val="none" w:sz="0" w:space="0" w:color="auto"/>
        <w:right w:val="none" w:sz="0" w:space="0" w:color="auto"/>
      </w:divBdr>
    </w:div>
    <w:div w:id="771440962">
      <w:bodyDiv w:val="1"/>
      <w:marLeft w:val="0"/>
      <w:marRight w:val="0"/>
      <w:marTop w:val="0"/>
      <w:marBottom w:val="0"/>
      <w:divBdr>
        <w:top w:val="none" w:sz="0" w:space="0" w:color="auto"/>
        <w:left w:val="none" w:sz="0" w:space="0" w:color="auto"/>
        <w:bottom w:val="none" w:sz="0" w:space="0" w:color="auto"/>
        <w:right w:val="none" w:sz="0" w:space="0" w:color="auto"/>
      </w:divBdr>
    </w:div>
    <w:div w:id="778909220">
      <w:bodyDiv w:val="1"/>
      <w:marLeft w:val="0"/>
      <w:marRight w:val="0"/>
      <w:marTop w:val="0"/>
      <w:marBottom w:val="0"/>
      <w:divBdr>
        <w:top w:val="none" w:sz="0" w:space="0" w:color="auto"/>
        <w:left w:val="none" w:sz="0" w:space="0" w:color="auto"/>
        <w:bottom w:val="none" w:sz="0" w:space="0" w:color="auto"/>
        <w:right w:val="none" w:sz="0" w:space="0" w:color="auto"/>
      </w:divBdr>
    </w:div>
    <w:div w:id="787510594">
      <w:bodyDiv w:val="1"/>
      <w:marLeft w:val="0"/>
      <w:marRight w:val="0"/>
      <w:marTop w:val="0"/>
      <w:marBottom w:val="0"/>
      <w:divBdr>
        <w:top w:val="none" w:sz="0" w:space="0" w:color="auto"/>
        <w:left w:val="none" w:sz="0" w:space="0" w:color="auto"/>
        <w:bottom w:val="none" w:sz="0" w:space="0" w:color="auto"/>
        <w:right w:val="none" w:sz="0" w:space="0" w:color="auto"/>
      </w:divBdr>
    </w:div>
    <w:div w:id="788666617">
      <w:bodyDiv w:val="1"/>
      <w:marLeft w:val="0"/>
      <w:marRight w:val="0"/>
      <w:marTop w:val="0"/>
      <w:marBottom w:val="0"/>
      <w:divBdr>
        <w:top w:val="none" w:sz="0" w:space="0" w:color="auto"/>
        <w:left w:val="none" w:sz="0" w:space="0" w:color="auto"/>
        <w:bottom w:val="none" w:sz="0" w:space="0" w:color="auto"/>
        <w:right w:val="none" w:sz="0" w:space="0" w:color="auto"/>
      </w:divBdr>
    </w:div>
    <w:div w:id="788668014">
      <w:bodyDiv w:val="1"/>
      <w:marLeft w:val="0"/>
      <w:marRight w:val="0"/>
      <w:marTop w:val="0"/>
      <w:marBottom w:val="0"/>
      <w:divBdr>
        <w:top w:val="none" w:sz="0" w:space="0" w:color="auto"/>
        <w:left w:val="none" w:sz="0" w:space="0" w:color="auto"/>
        <w:bottom w:val="none" w:sz="0" w:space="0" w:color="auto"/>
        <w:right w:val="none" w:sz="0" w:space="0" w:color="auto"/>
      </w:divBdr>
    </w:div>
    <w:div w:id="790705697">
      <w:bodyDiv w:val="1"/>
      <w:marLeft w:val="0"/>
      <w:marRight w:val="0"/>
      <w:marTop w:val="0"/>
      <w:marBottom w:val="0"/>
      <w:divBdr>
        <w:top w:val="none" w:sz="0" w:space="0" w:color="auto"/>
        <w:left w:val="none" w:sz="0" w:space="0" w:color="auto"/>
        <w:bottom w:val="none" w:sz="0" w:space="0" w:color="auto"/>
        <w:right w:val="none" w:sz="0" w:space="0" w:color="auto"/>
      </w:divBdr>
    </w:div>
    <w:div w:id="795491067">
      <w:bodyDiv w:val="1"/>
      <w:marLeft w:val="0"/>
      <w:marRight w:val="0"/>
      <w:marTop w:val="0"/>
      <w:marBottom w:val="0"/>
      <w:divBdr>
        <w:top w:val="none" w:sz="0" w:space="0" w:color="auto"/>
        <w:left w:val="none" w:sz="0" w:space="0" w:color="auto"/>
        <w:bottom w:val="none" w:sz="0" w:space="0" w:color="auto"/>
        <w:right w:val="none" w:sz="0" w:space="0" w:color="auto"/>
      </w:divBdr>
    </w:div>
    <w:div w:id="796292757">
      <w:bodyDiv w:val="1"/>
      <w:marLeft w:val="0"/>
      <w:marRight w:val="0"/>
      <w:marTop w:val="0"/>
      <w:marBottom w:val="0"/>
      <w:divBdr>
        <w:top w:val="none" w:sz="0" w:space="0" w:color="auto"/>
        <w:left w:val="none" w:sz="0" w:space="0" w:color="auto"/>
        <w:bottom w:val="none" w:sz="0" w:space="0" w:color="auto"/>
        <w:right w:val="none" w:sz="0" w:space="0" w:color="auto"/>
      </w:divBdr>
    </w:div>
    <w:div w:id="800221716">
      <w:bodyDiv w:val="1"/>
      <w:marLeft w:val="0"/>
      <w:marRight w:val="0"/>
      <w:marTop w:val="0"/>
      <w:marBottom w:val="0"/>
      <w:divBdr>
        <w:top w:val="none" w:sz="0" w:space="0" w:color="auto"/>
        <w:left w:val="none" w:sz="0" w:space="0" w:color="auto"/>
        <w:bottom w:val="none" w:sz="0" w:space="0" w:color="auto"/>
        <w:right w:val="none" w:sz="0" w:space="0" w:color="auto"/>
      </w:divBdr>
    </w:div>
    <w:div w:id="802191116">
      <w:bodyDiv w:val="1"/>
      <w:marLeft w:val="0"/>
      <w:marRight w:val="0"/>
      <w:marTop w:val="0"/>
      <w:marBottom w:val="0"/>
      <w:divBdr>
        <w:top w:val="none" w:sz="0" w:space="0" w:color="auto"/>
        <w:left w:val="none" w:sz="0" w:space="0" w:color="auto"/>
        <w:bottom w:val="none" w:sz="0" w:space="0" w:color="auto"/>
        <w:right w:val="none" w:sz="0" w:space="0" w:color="auto"/>
      </w:divBdr>
    </w:div>
    <w:div w:id="818613599">
      <w:bodyDiv w:val="1"/>
      <w:marLeft w:val="0"/>
      <w:marRight w:val="0"/>
      <w:marTop w:val="0"/>
      <w:marBottom w:val="0"/>
      <w:divBdr>
        <w:top w:val="none" w:sz="0" w:space="0" w:color="auto"/>
        <w:left w:val="none" w:sz="0" w:space="0" w:color="auto"/>
        <w:bottom w:val="none" w:sz="0" w:space="0" w:color="auto"/>
        <w:right w:val="none" w:sz="0" w:space="0" w:color="auto"/>
      </w:divBdr>
      <w:divsChild>
        <w:div w:id="1613433648">
          <w:marLeft w:val="0"/>
          <w:marRight w:val="0"/>
          <w:marTop w:val="0"/>
          <w:marBottom w:val="0"/>
          <w:divBdr>
            <w:top w:val="none" w:sz="0" w:space="0" w:color="auto"/>
            <w:left w:val="none" w:sz="0" w:space="0" w:color="auto"/>
            <w:bottom w:val="none" w:sz="0" w:space="0" w:color="auto"/>
            <w:right w:val="none" w:sz="0" w:space="0" w:color="auto"/>
          </w:divBdr>
          <w:divsChild>
            <w:div w:id="473108723">
              <w:blockQuote w:val="1"/>
              <w:marLeft w:val="720"/>
              <w:marRight w:val="720"/>
              <w:marTop w:val="100"/>
              <w:marBottom w:val="100"/>
              <w:divBdr>
                <w:top w:val="none" w:sz="0" w:space="0" w:color="auto"/>
                <w:left w:val="none" w:sz="0" w:space="0" w:color="auto"/>
                <w:bottom w:val="none" w:sz="0" w:space="0" w:color="auto"/>
                <w:right w:val="none" w:sz="0" w:space="0" w:color="auto"/>
              </w:divBdr>
            </w:div>
            <w:div w:id="1333600903">
              <w:blockQuote w:val="1"/>
              <w:marLeft w:val="720"/>
              <w:marRight w:val="720"/>
              <w:marTop w:val="100"/>
              <w:marBottom w:val="100"/>
              <w:divBdr>
                <w:top w:val="none" w:sz="0" w:space="0" w:color="auto"/>
                <w:left w:val="none" w:sz="0" w:space="0" w:color="auto"/>
                <w:bottom w:val="none" w:sz="0" w:space="0" w:color="auto"/>
                <w:right w:val="none" w:sz="0" w:space="0" w:color="auto"/>
              </w:divBdr>
            </w:div>
            <w:div w:id="387345969">
              <w:blockQuote w:val="1"/>
              <w:marLeft w:val="720"/>
              <w:marRight w:val="720"/>
              <w:marTop w:val="100"/>
              <w:marBottom w:val="100"/>
              <w:divBdr>
                <w:top w:val="none" w:sz="0" w:space="0" w:color="auto"/>
                <w:left w:val="none" w:sz="0" w:space="0" w:color="auto"/>
                <w:bottom w:val="none" w:sz="0" w:space="0" w:color="auto"/>
                <w:right w:val="none" w:sz="0" w:space="0" w:color="auto"/>
              </w:divBdr>
            </w:div>
            <w:div w:id="61216140">
              <w:blockQuote w:val="1"/>
              <w:marLeft w:val="720"/>
              <w:marRight w:val="720"/>
              <w:marTop w:val="100"/>
              <w:marBottom w:val="100"/>
              <w:divBdr>
                <w:top w:val="none" w:sz="0" w:space="0" w:color="auto"/>
                <w:left w:val="none" w:sz="0" w:space="0" w:color="auto"/>
                <w:bottom w:val="none" w:sz="0" w:space="0" w:color="auto"/>
                <w:right w:val="none" w:sz="0" w:space="0" w:color="auto"/>
              </w:divBdr>
            </w:div>
            <w:div w:id="10124131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79545461">
              <w:blockQuote w:val="1"/>
              <w:marLeft w:val="720"/>
              <w:marRight w:val="720"/>
              <w:marTop w:val="100"/>
              <w:marBottom w:val="100"/>
              <w:divBdr>
                <w:top w:val="none" w:sz="0" w:space="0" w:color="auto"/>
                <w:left w:val="none" w:sz="0" w:space="0" w:color="auto"/>
                <w:bottom w:val="none" w:sz="0" w:space="0" w:color="auto"/>
                <w:right w:val="none" w:sz="0" w:space="0" w:color="auto"/>
              </w:divBdr>
            </w:div>
            <w:div w:id="11155588">
              <w:blockQuote w:val="1"/>
              <w:marLeft w:val="720"/>
              <w:marRight w:val="720"/>
              <w:marTop w:val="100"/>
              <w:marBottom w:val="100"/>
              <w:divBdr>
                <w:top w:val="none" w:sz="0" w:space="0" w:color="auto"/>
                <w:left w:val="none" w:sz="0" w:space="0" w:color="auto"/>
                <w:bottom w:val="none" w:sz="0" w:space="0" w:color="auto"/>
                <w:right w:val="none" w:sz="0" w:space="0" w:color="auto"/>
              </w:divBdr>
            </w:div>
            <w:div w:id="832917615">
              <w:blockQuote w:val="1"/>
              <w:marLeft w:val="720"/>
              <w:marRight w:val="720"/>
              <w:marTop w:val="100"/>
              <w:marBottom w:val="100"/>
              <w:divBdr>
                <w:top w:val="none" w:sz="0" w:space="0" w:color="auto"/>
                <w:left w:val="none" w:sz="0" w:space="0" w:color="auto"/>
                <w:bottom w:val="none" w:sz="0" w:space="0" w:color="auto"/>
                <w:right w:val="none" w:sz="0" w:space="0" w:color="auto"/>
              </w:divBdr>
            </w:div>
            <w:div w:id="1412656311">
              <w:blockQuote w:val="1"/>
              <w:marLeft w:val="720"/>
              <w:marRight w:val="720"/>
              <w:marTop w:val="100"/>
              <w:marBottom w:val="100"/>
              <w:divBdr>
                <w:top w:val="none" w:sz="0" w:space="0" w:color="auto"/>
                <w:left w:val="none" w:sz="0" w:space="0" w:color="auto"/>
                <w:bottom w:val="none" w:sz="0" w:space="0" w:color="auto"/>
                <w:right w:val="none" w:sz="0" w:space="0" w:color="auto"/>
              </w:divBdr>
            </w:div>
            <w:div w:id="15823251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819427201">
      <w:bodyDiv w:val="1"/>
      <w:marLeft w:val="0"/>
      <w:marRight w:val="0"/>
      <w:marTop w:val="0"/>
      <w:marBottom w:val="0"/>
      <w:divBdr>
        <w:top w:val="none" w:sz="0" w:space="0" w:color="auto"/>
        <w:left w:val="none" w:sz="0" w:space="0" w:color="auto"/>
        <w:bottom w:val="none" w:sz="0" w:space="0" w:color="auto"/>
        <w:right w:val="none" w:sz="0" w:space="0" w:color="auto"/>
      </w:divBdr>
    </w:div>
    <w:div w:id="819806291">
      <w:bodyDiv w:val="1"/>
      <w:marLeft w:val="0"/>
      <w:marRight w:val="0"/>
      <w:marTop w:val="0"/>
      <w:marBottom w:val="0"/>
      <w:divBdr>
        <w:top w:val="none" w:sz="0" w:space="0" w:color="auto"/>
        <w:left w:val="none" w:sz="0" w:space="0" w:color="auto"/>
        <w:bottom w:val="none" w:sz="0" w:space="0" w:color="auto"/>
        <w:right w:val="none" w:sz="0" w:space="0" w:color="auto"/>
      </w:divBdr>
    </w:div>
    <w:div w:id="820267315">
      <w:bodyDiv w:val="1"/>
      <w:marLeft w:val="0"/>
      <w:marRight w:val="0"/>
      <w:marTop w:val="0"/>
      <w:marBottom w:val="0"/>
      <w:divBdr>
        <w:top w:val="none" w:sz="0" w:space="0" w:color="auto"/>
        <w:left w:val="none" w:sz="0" w:space="0" w:color="auto"/>
        <w:bottom w:val="none" w:sz="0" w:space="0" w:color="auto"/>
        <w:right w:val="none" w:sz="0" w:space="0" w:color="auto"/>
      </w:divBdr>
    </w:div>
    <w:div w:id="823012433">
      <w:bodyDiv w:val="1"/>
      <w:marLeft w:val="0"/>
      <w:marRight w:val="0"/>
      <w:marTop w:val="0"/>
      <w:marBottom w:val="0"/>
      <w:divBdr>
        <w:top w:val="none" w:sz="0" w:space="0" w:color="auto"/>
        <w:left w:val="none" w:sz="0" w:space="0" w:color="auto"/>
        <w:bottom w:val="none" w:sz="0" w:space="0" w:color="auto"/>
        <w:right w:val="none" w:sz="0" w:space="0" w:color="auto"/>
      </w:divBdr>
    </w:div>
    <w:div w:id="825702957">
      <w:bodyDiv w:val="1"/>
      <w:marLeft w:val="0"/>
      <w:marRight w:val="0"/>
      <w:marTop w:val="0"/>
      <w:marBottom w:val="0"/>
      <w:divBdr>
        <w:top w:val="none" w:sz="0" w:space="0" w:color="auto"/>
        <w:left w:val="none" w:sz="0" w:space="0" w:color="auto"/>
        <w:bottom w:val="none" w:sz="0" w:space="0" w:color="auto"/>
        <w:right w:val="none" w:sz="0" w:space="0" w:color="auto"/>
      </w:divBdr>
    </w:div>
    <w:div w:id="831027589">
      <w:bodyDiv w:val="1"/>
      <w:marLeft w:val="0"/>
      <w:marRight w:val="0"/>
      <w:marTop w:val="0"/>
      <w:marBottom w:val="0"/>
      <w:divBdr>
        <w:top w:val="none" w:sz="0" w:space="0" w:color="auto"/>
        <w:left w:val="none" w:sz="0" w:space="0" w:color="auto"/>
        <w:bottom w:val="none" w:sz="0" w:space="0" w:color="auto"/>
        <w:right w:val="none" w:sz="0" w:space="0" w:color="auto"/>
      </w:divBdr>
    </w:div>
    <w:div w:id="831221221">
      <w:bodyDiv w:val="1"/>
      <w:marLeft w:val="0"/>
      <w:marRight w:val="0"/>
      <w:marTop w:val="0"/>
      <w:marBottom w:val="0"/>
      <w:divBdr>
        <w:top w:val="none" w:sz="0" w:space="0" w:color="auto"/>
        <w:left w:val="none" w:sz="0" w:space="0" w:color="auto"/>
        <w:bottom w:val="none" w:sz="0" w:space="0" w:color="auto"/>
        <w:right w:val="none" w:sz="0" w:space="0" w:color="auto"/>
      </w:divBdr>
      <w:divsChild>
        <w:div w:id="421951353">
          <w:blockQuote w:val="1"/>
          <w:marLeft w:val="720"/>
          <w:marRight w:val="720"/>
          <w:marTop w:val="100"/>
          <w:marBottom w:val="100"/>
          <w:divBdr>
            <w:top w:val="none" w:sz="0" w:space="0" w:color="auto"/>
            <w:left w:val="none" w:sz="0" w:space="0" w:color="auto"/>
            <w:bottom w:val="none" w:sz="0" w:space="0" w:color="auto"/>
            <w:right w:val="none" w:sz="0" w:space="0" w:color="auto"/>
          </w:divBdr>
        </w:div>
        <w:div w:id="123277344">
          <w:blockQuote w:val="1"/>
          <w:marLeft w:val="720"/>
          <w:marRight w:val="720"/>
          <w:marTop w:val="100"/>
          <w:marBottom w:val="100"/>
          <w:divBdr>
            <w:top w:val="none" w:sz="0" w:space="0" w:color="auto"/>
            <w:left w:val="none" w:sz="0" w:space="0" w:color="auto"/>
            <w:bottom w:val="none" w:sz="0" w:space="0" w:color="auto"/>
            <w:right w:val="none" w:sz="0" w:space="0" w:color="auto"/>
          </w:divBdr>
        </w:div>
        <w:div w:id="1929535383">
          <w:blockQuote w:val="1"/>
          <w:marLeft w:val="720"/>
          <w:marRight w:val="720"/>
          <w:marTop w:val="100"/>
          <w:marBottom w:val="100"/>
          <w:divBdr>
            <w:top w:val="none" w:sz="0" w:space="0" w:color="auto"/>
            <w:left w:val="none" w:sz="0" w:space="0" w:color="auto"/>
            <w:bottom w:val="none" w:sz="0" w:space="0" w:color="auto"/>
            <w:right w:val="none" w:sz="0" w:space="0" w:color="auto"/>
          </w:divBdr>
        </w:div>
        <w:div w:id="1170213490">
          <w:blockQuote w:val="1"/>
          <w:marLeft w:val="720"/>
          <w:marRight w:val="720"/>
          <w:marTop w:val="100"/>
          <w:marBottom w:val="100"/>
          <w:divBdr>
            <w:top w:val="none" w:sz="0" w:space="0" w:color="auto"/>
            <w:left w:val="none" w:sz="0" w:space="0" w:color="auto"/>
            <w:bottom w:val="none" w:sz="0" w:space="0" w:color="auto"/>
            <w:right w:val="none" w:sz="0" w:space="0" w:color="auto"/>
          </w:divBdr>
        </w:div>
        <w:div w:id="1422294522">
          <w:blockQuote w:val="1"/>
          <w:marLeft w:val="720"/>
          <w:marRight w:val="720"/>
          <w:marTop w:val="100"/>
          <w:marBottom w:val="100"/>
          <w:divBdr>
            <w:top w:val="none" w:sz="0" w:space="0" w:color="auto"/>
            <w:left w:val="none" w:sz="0" w:space="0" w:color="auto"/>
            <w:bottom w:val="none" w:sz="0" w:space="0" w:color="auto"/>
            <w:right w:val="none" w:sz="0" w:space="0" w:color="auto"/>
          </w:divBdr>
        </w:div>
        <w:div w:id="383141309">
          <w:blockQuote w:val="1"/>
          <w:marLeft w:val="720"/>
          <w:marRight w:val="720"/>
          <w:marTop w:val="100"/>
          <w:marBottom w:val="100"/>
          <w:divBdr>
            <w:top w:val="none" w:sz="0" w:space="0" w:color="auto"/>
            <w:left w:val="none" w:sz="0" w:space="0" w:color="auto"/>
            <w:bottom w:val="none" w:sz="0" w:space="0" w:color="auto"/>
            <w:right w:val="none" w:sz="0" w:space="0" w:color="auto"/>
          </w:divBdr>
        </w:div>
        <w:div w:id="34041094">
          <w:blockQuote w:val="1"/>
          <w:marLeft w:val="720"/>
          <w:marRight w:val="720"/>
          <w:marTop w:val="100"/>
          <w:marBottom w:val="100"/>
          <w:divBdr>
            <w:top w:val="none" w:sz="0" w:space="0" w:color="auto"/>
            <w:left w:val="none" w:sz="0" w:space="0" w:color="auto"/>
            <w:bottom w:val="none" w:sz="0" w:space="0" w:color="auto"/>
            <w:right w:val="none" w:sz="0" w:space="0" w:color="auto"/>
          </w:divBdr>
        </w:div>
        <w:div w:id="506750390">
          <w:blockQuote w:val="1"/>
          <w:marLeft w:val="720"/>
          <w:marRight w:val="720"/>
          <w:marTop w:val="100"/>
          <w:marBottom w:val="100"/>
          <w:divBdr>
            <w:top w:val="none" w:sz="0" w:space="0" w:color="auto"/>
            <w:left w:val="none" w:sz="0" w:space="0" w:color="auto"/>
            <w:bottom w:val="none" w:sz="0" w:space="0" w:color="auto"/>
            <w:right w:val="none" w:sz="0" w:space="0" w:color="auto"/>
          </w:divBdr>
        </w:div>
        <w:div w:id="5180805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6847095">
      <w:bodyDiv w:val="1"/>
      <w:marLeft w:val="0"/>
      <w:marRight w:val="0"/>
      <w:marTop w:val="0"/>
      <w:marBottom w:val="0"/>
      <w:divBdr>
        <w:top w:val="none" w:sz="0" w:space="0" w:color="auto"/>
        <w:left w:val="none" w:sz="0" w:space="0" w:color="auto"/>
        <w:bottom w:val="none" w:sz="0" w:space="0" w:color="auto"/>
        <w:right w:val="none" w:sz="0" w:space="0" w:color="auto"/>
      </w:divBdr>
      <w:divsChild>
        <w:div w:id="17468803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7312484">
      <w:bodyDiv w:val="1"/>
      <w:marLeft w:val="0"/>
      <w:marRight w:val="0"/>
      <w:marTop w:val="0"/>
      <w:marBottom w:val="0"/>
      <w:divBdr>
        <w:top w:val="none" w:sz="0" w:space="0" w:color="auto"/>
        <w:left w:val="none" w:sz="0" w:space="0" w:color="auto"/>
        <w:bottom w:val="none" w:sz="0" w:space="0" w:color="auto"/>
        <w:right w:val="none" w:sz="0" w:space="0" w:color="auto"/>
      </w:divBdr>
    </w:div>
    <w:div w:id="840510179">
      <w:bodyDiv w:val="1"/>
      <w:marLeft w:val="0"/>
      <w:marRight w:val="0"/>
      <w:marTop w:val="0"/>
      <w:marBottom w:val="0"/>
      <w:divBdr>
        <w:top w:val="none" w:sz="0" w:space="0" w:color="auto"/>
        <w:left w:val="none" w:sz="0" w:space="0" w:color="auto"/>
        <w:bottom w:val="none" w:sz="0" w:space="0" w:color="auto"/>
        <w:right w:val="none" w:sz="0" w:space="0" w:color="auto"/>
      </w:divBdr>
      <w:divsChild>
        <w:div w:id="15300995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0701904">
      <w:bodyDiv w:val="1"/>
      <w:marLeft w:val="0"/>
      <w:marRight w:val="0"/>
      <w:marTop w:val="0"/>
      <w:marBottom w:val="0"/>
      <w:divBdr>
        <w:top w:val="none" w:sz="0" w:space="0" w:color="auto"/>
        <w:left w:val="none" w:sz="0" w:space="0" w:color="auto"/>
        <w:bottom w:val="none" w:sz="0" w:space="0" w:color="auto"/>
        <w:right w:val="none" w:sz="0" w:space="0" w:color="auto"/>
      </w:divBdr>
      <w:divsChild>
        <w:div w:id="14789559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0951101">
      <w:bodyDiv w:val="1"/>
      <w:marLeft w:val="0"/>
      <w:marRight w:val="0"/>
      <w:marTop w:val="0"/>
      <w:marBottom w:val="0"/>
      <w:divBdr>
        <w:top w:val="none" w:sz="0" w:space="0" w:color="auto"/>
        <w:left w:val="none" w:sz="0" w:space="0" w:color="auto"/>
        <w:bottom w:val="none" w:sz="0" w:space="0" w:color="auto"/>
        <w:right w:val="none" w:sz="0" w:space="0" w:color="auto"/>
      </w:divBdr>
    </w:div>
    <w:div w:id="857504252">
      <w:bodyDiv w:val="1"/>
      <w:marLeft w:val="0"/>
      <w:marRight w:val="0"/>
      <w:marTop w:val="0"/>
      <w:marBottom w:val="0"/>
      <w:divBdr>
        <w:top w:val="none" w:sz="0" w:space="0" w:color="auto"/>
        <w:left w:val="none" w:sz="0" w:space="0" w:color="auto"/>
        <w:bottom w:val="none" w:sz="0" w:space="0" w:color="auto"/>
        <w:right w:val="none" w:sz="0" w:space="0" w:color="auto"/>
      </w:divBdr>
      <w:divsChild>
        <w:div w:id="138233379">
          <w:blockQuote w:val="1"/>
          <w:marLeft w:val="720"/>
          <w:marRight w:val="720"/>
          <w:marTop w:val="100"/>
          <w:marBottom w:val="100"/>
          <w:divBdr>
            <w:top w:val="none" w:sz="0" w:space="0" w:color="auto"/>
            <w:left w:val="none" w:sz="0" w:space="0" w:color="auto"/>
            <w:bottom w:val="none" w:sz="0" w:space="0" w:color="auto"/>
            <w:right w:val="none" w:sz="0" w:space="0" w:color="auto"/>
          </w:divBdr>
        </w:div>
        <w:div w:id="11718764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9589793">
      <w:bodyDiv w:val="1"/>
      <w:marLeft w:val="0"/>
      <w:marRight w:val="0"/>
      <w:marTop w:val="0"/>
      <w:marBottom w:val="0"/>
      <w:divBdr>
        <w:top w:val="none" w:sz="0" w:space="0" w:color="auto"/>
        <w:left w:val="none" w:sz="0" w:space="0" w:color="auto"/>
        <w:bottom w:val="none" w:sz="0" w:space="0" w:color="auto"/>
        <w:right w:val="none" w:sz="0" w:space="0" w:color="auto"/>
      </w:divBdr>
    </w:div>
    <w:div w:id="859859105">
      <w:bodyDiv w:val="1"/>
      <w:marLeft w:val="0"/>
      <w:marRight w:val="0"/>
      <w:marTop w:val="0"/>
      <w:marBottom w:val="0"/>
      <w:divBdr>
        <w:top w:val="none" w:sz="0" w:space="0" w:color="auto"/>
        <w:left w:val="none" w:sz="0" w:space="0" w:color="auto"/>
        <w:bottom w:val="none" w:sz="0" w:space="0" w:color="auto"/>
        <w:right w:val="none" w:sz="0" w:space="0" w:color="auto"/>
      </w:divBdr>
    </w:div>
    <w:div w:id="864319984">
      <w:bodyDiv w:val="1"/>
      <w:marLeft w:val="0"/>
      <w:marRight w:val="0"/>
      <w:marTop w:val="0"/>
      <w:marBottom w:val="0"/>
      <w:divBdr>
        <w:top w:val="none" w:sz="0" w:space="0" w:color="auto"/>
        <w:left w:val="none" w:sz="0" w:space="0" w:color="auto"/>
        <w:bottom w:val="none" w:sz="0" w:space="0" w:color="auto"/>
        <w:right w:val="none" w:sz="0" w:space="0" w:color="auto"/>
      </w:divBdr>
    </w:div>
    <w:div w:id="865748403">
      <w:bodyDiv w:val="1"/>
      <w:marLeft w:val="0"/>
      <w:marRight w:val="0"/>
      <w:marTop w:val="0"/>
      <w:marBottom w:val="0"/>
      <w:divBdr>
        <w:top w:val="none" w:sz="0" w:space="0" w:color="auto"/>
        <w:left w:val="none" w:sz="0" w:space="0" w:color="auto"/>
        <w:bottom w:val="none" w:sz="0" w:space="0" w:color="auto"/>
        <w:right w:val="none" w:sz="0" w:space="0" w:color="auto"/>
      </w:divBdr>
    </w:div>
    <w:div w:id="868487392">
      <w:bodyDiv w:val="1"/>
      <w:marLeft w:val="0"/>
      <w:marRight w:val="0"/>
      <w:marTop w:val="0"/>
      <w:marBottom w:val="0"/>
      <w:divBdr>
        <w:top w:val="none" w:sz="0" w:space="0" w:color="auto"/>
        <w:left w:val="none" w:sz="0" w:space="0" w:color="auto"/>
        <w:bottom w:val="none" w:sz="0" w:space="0" w:color="auto"/>
        <w:right w:val="none" w:sz="0" w:space="0" w:color="auto"/>
      </w:divBdr>
    </w:div>
    <w:div w:id="868878084">
      <w:bodyDiv w:val="1"/>
      <w:marLeft w:val="0"/>
      <w:marRight w:val="0"/>
      <w:marTop w:val="0"/>
      <w:marBottom w:val="0"/>
      <w:divBdr>
        <w:top w:val="none" w:sz="0" w:space="0" w:color="auto"/>
        <w:left w:val="none" w:sz="0" w:space="0" w:color="auto"/>
        <w:bottom w:val="none" w:sz="0" w:space="0" w:color="auto"/>
        <w:right w:val="none" w:sz="0" w:space="0" w:color="auto"/>
      </w:divBdr>
    </w:div>
    <w:div w:id="870536810">
      <w:bodyDiv w:val="1"/>
      <w:marLeft w:val="0"/>
      <w:marRight w:val="0"/>
      <w:marTop w:val="0"/>
      <w:marBottom w:val="0"/>
      <w:divBdr>
        <w:top w:val="none" w:sz="0" w:space="0" w:color="auto"/>
        <w:left w:val="none" w:sz="0" w:space="0" w:color="auto"/>
        <w:bottom w:val="none" w:sz="0" w:space="0" w:color="auto"/>
        <w:right w:val="none" w:sz="0" w:space="0" w:color="auto"/>
      </w:divBdr>
    </w:div>
    <w:div w:id="882063350">
      <w:bodyDiv w:val="1"/>
      <w:marLeft w:val="0"/>
      <w:marRight w:val="0"/>
      <w:marTop w:val="0"/>
      <w:marBottom w:val="0"/>
      <w:divBdr>
        <w:top w:val="none" w:sz="0" w:space="0" w:color="auto"/>
        <w:left w:val="none" w:sz="0" w:space="0" w:color="auto"/>
        <w:bottom w:val="none" w:sz="0" w:space="0" w:color="auto"/>
        <w:right w:val="none" w:sz="0" w:space="0" w:color="auto"/>
      </w:divBdr>
    </w:div>
    <w:div w:id="885871499">
      <w:bodyDiv w:val="1"/>
      <w:marLeft w:val="0"/>
      <w:marRight w:val="0"/>
      <w:marTop w:val="0"/>
      <w:marBottom w:val="0"/>
      <w:divBdr>
        <w:top w:val="none" w:sz="0" w:space="0" w:color="auto"/>
        <w:left w:val="none" w:sz="0" w:space="0" w:color="auto"/>
        <w:bottom w:val="none" w:sz="0" w:space="0" w:color="auto"/>
        <w:right w:val="none" w:sz="0" w:space="0" w:color="auto"/>
      </w:divBdr>
    </w:div>
    <w:div w:id="888607531">
      <w:bodyDiv w:val="1"/>
      <w:marLeft w:val="0"/>
      <w:marRight w:val="0"/>
      <w:marTop w:val="0"/>
      <w:marBottom w:val="0"/>
      <w:divBdr>
        <w:top w:val="none" w:sz="0" w:space="0" w:color="auto"/>
        <w:left w:val="none" w:sz="0" w:space="0" w:color="auto"/>
        <w:bottom w:val="none" w:sz="0" w:space="0" w:color="auto"/>
        <w:right w:val="none" w:sz="0" w:space="0" w:color="auto"/>
      </w:divBdr>
    </w:div>
    <w:div w:id="894003590">
      <w:bodyDiv w:val="1"/>
      <w:marLeft w:val="0"/>
      <w:marRight w:val="0"/>
      <w:marTop w:val="0"/>
      <w:marBottom w:val="0"/>
      <w:divBdr>
        <w:top w:val="none" w:sz="0" w:space="0" w:color="auto"/>
        <w:left w:val="none" w:sz="0" w:space="0" w:color="auto"/>
        <w:bottom w:val="none" w:sz="0" w:space="0" w:color="auto"/>
        <w:right w:val="none" w:sz="0" w:space="0" w:color="auto"/>
      </w:divBdr>
    </w:div>
    <w:div w:id="896475529">
      <w:bodyDiv w:val="1"/>
      <w:marLeft w:val="0"/>
      <w:marRight w:val="0"/>
      <w:marTop w:val="0"/>
      <w:marBottom w:val="0"/>
      <w:divBdr>
        <w:top w:val="none" w:sz="0" w:space="0" w:color="auto"/>
        <w:left w:val="none" w:sz="0" w:space="0" w:color="auto"/>
        <w:bottom w:val="none" w:sz="0" w:space="0" w:color="auto"/>
        <w:right w:val="none" w:sz="0" w:space="0" w:color="auto"/>
      </w:divBdr>
    </w:div>
    <w:div w:id="897320565">
      <w:bodyDiv w:val="1"/>
      <w:marLeft w:val="0"/>
      <w:marRight w:val="0"/>
      <w:marTop w:val="0"/>
      <w:marBottom w:val="0"/>
      <w:divBdr>
        <w:top w:val="none" w:sz="0" w:space="0" w:color="auto"/>
        <w:left w:val="none" w:sz="0" w:space="0" w:color="auto"/>
        <w:bottom w:val="none" w:sz="0" w:space="0" w:color="auto"/>
        <w:right w:val="none" w:sz="0" w:space="0" w:color="auto"/>
      </w:divBdr>
    </w:div>
    <w:div w:id="900596696">
      <w:bodyDiv w:val="1"/>
      <w:marLeft w:val="0"/>
      <w:marRight w:val="0"/>
      <w:marTop w:val="0"/>
      <w:marBottom w:val="0"/>
      <w:divBdr>
        <w:top w:val="none" w:sz="0" w:space="0" w:color="auto"/>
        <w:left w:val="none" w:sz="0" w:space="0" w:color="auto"/>
        <w:bottom w:val="none" w:sz="0" w:space="0" w:color="auto"/>
        <w:right w:val="none" w:sz="0" w:space="0" w:color="auto"/>
      </w:divBdr>
    </w:div>
    <w:div w:id="901407139">
      <w:bodyDiv w:val="1"/>
      <w:marLeft w:val="0"/>
      <w:marRight w:val="0"/>
      <w:marTop w:val="0"/>
      <w:marBottom w:val="0"/>
      <w:divBdr>
        <w:top w:val="none" w:sz="0" w:space="0" w:color="auto"/>
        <w:left w:val="none" w:sz="0" w:space="0" w:color="auto"/>
        <w:bottom w:val="none" w:sz="0" w:space="0" w:color="auto"/>
        <w:right w:val="none" w:sz="0" w:space="0" w:color="auto"/>
      </w:divBdr>
    </w:div>
    <w:div w:id="906300156">
      <w:bodyDiv w:val="1"/>
      <w:marLeft w:val="0"/>
      <w:marRight w:val="0"/>
      <w:marTop w:val="0"/>
      <w:marBottom w:val="0"/>
      <w:divBdr>
        <w:top w:val="none" w:sz="0" w:space="0" w:color="auto"/>
        <w:left w:val="none" w:sz="0" w:space="0" w:color="auto"/>
        <w:bottom w:val="none" w:sz="0" w:space="0" w:color="auto"/>
        <w:right w:val="none" w:sz="0" w:space="0" w:color="auto"/>
      </w:divBdr>
      <w:divsChild>
        <w:div w:id="620310653">
          <w:marLeft w:val="0"/>
          <w:marRight w:val="0"/>
          <w:marTop w:val="0"/>
          <w:marBottom w:val="0"/>
          <w:divBdr>
            <w:top w:val="none" w:sz="0" w:space="0" w:color="auto"/>
            <w:left w:val="none" w:sz="0" w:space="0" w:color="auto"/>
            <w:bottom w:val="none" w:sz="0" w:space="0" w:color="auto"/>
            <w:right w:val="none" w:sz="0" w:space="0" w:color="auto"/>
          </w:divBdr>
        </w:div>
      </w:divsChild>
    </w:div>
    <w:div w:id="909847288">
      <w:bodyDiv w:val="1"/>
      <w:marLeft w:val="0"/>
      <w:marRight w:val="0"/>
      <w:marTop w:val="0"/>
      <w:marBottom w:val="0"/>
      <w:divBdr>
        <w:top w:val="none" w:sz="0" w:space="0" w:color="auto"/>
        <w:left w:val="none" w:sz="0" w:space="0" w:color="auto"/>
        <w:bottom w:val="none" w:sz="0" w:space="0" w:color="auto"/>
        <w:right w:val="none" w:sz="0" w:space="0" w:color="auto"/>
      </w:divBdr>
    </w:div>
    <w:div w:id="913321713">
      <w:bodyDiv w:val="1"/>
      <w:marLeft w:val="0"/>
      <w:marRight w:val="0"/>
      <w:marTop w:val="0"/>
      <w:marBottom w:val="0"/>
      <w:divBdr>
        <w:top w:val="none" w:sz="0" w:space="0" w:color="auto"/>
        <w:left w:val="none" w:sz="0" w:space="0" w:color="auto"/>
        <w:bottom w:val="none" w:sz="0" w:space="0" w:color="auto"/>
        <w:right w:val="none" w:sz="0" w:space="0" w:color="auto"/>
      </w:divBdr>
    </w:div>
    <w:div w:id="914583901">
      <w:bodyDiv w:val="1"/>
      <w:marLeft w:val="0"/>
      <w:marRight w:val="0"/>
      <w:marTop w:val="0"/>
      <w:marBottom w:val="0"/>
      <w:divBdr>
        <w:top w:val="none" w:sz="0" w:space="0" w:color="auto"/>
        <w:left w:val="none" w:sz="0" w:space="0" w:color="auto"/>
        <w:bottom w:val="none" w:sz="0" w:space="0" w:color="auto"/>
        <w:right w:val="none" w:sz="0" w:space="0" w:color="auto"/>
      </w:divBdr>
    </w:div>
    <w:div w:id="920986275">
      <w:bodyDiv w:val="1"/>
      <w:marLeft w:val="0"/>
      <w:marRight w:val="0"/>
      <w:marTop w:val="0"/>
      <w:marBottom w:val="0"/>
      <w:divBdr>
        <w:top w:val="none" w:sz="0" w:space="0" w:color="auto"/>
        <w:left w:val="none" w:sz="0" w:space="0" w:color="auto"/>
        <w:bottom w:val="none" w:sz="0" w:space="0" w:color="auto"/>
        <w:right w:val="none" w:sz="0" w:space="0" w:color="auto"/>
      </w:divBdr>
    </w:div>
    <w:div w:id="923150820">
      <w:bodyDiv w:val="1"/>
      <w:marLeft w:val="0"/>
      <w:marRight w:val="0"/>
      <w:marTop w:val="0"/>
      <w:marBottom w:val="0"/>
      <w:divBdr>
        <w:top w:val="none" w:sz="0" w:space="0" w:color="auto"/>
        <w:left w:val="none" w:sz="0" w:space="0" w:color="auto"/>
        <w:bottom w:val="none" w:sz="0" w:space="0" w:color="auto"/>
        <w:right w:val="none" w:sz="0" w:space="0" w:color="auto"/>
      </w:divBdr>
      <w:divsChild>
        <w:div w:id="111756225">
          <w:blockQuote w:val="1"/>
          <w:marLeft w:val="720"/>
          <w:marRight w:val="720"/>
          <w:marTop w:val="100"/>
          <w:marBottom w:val="100"/>
          <w:divBdr>
            <w:top w:val="none" w:sz="0" w:space="0" w:color="auto"/>
            <w:left w:val="none" w:sz="0" w:space="0" w:color="auto"/>
            <w:bottom w:val="none" w:sz="0" w:space="0" w:color="auto"/>
            <w:right w:val="none" w:sz="0" w:space="0" w:color="auto"/>
          </w:divBdr>
        </w:div>
        <w:div w:id="1685478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5120493">
      <w:bodyDiv w:val="1"/>
      <w:marLeft w:val="0"/>
      <w:marRight w:val="0"/>
      <w:marTop w:val="0"/>
      <w:marBottom w:val="0"/>
      <w:divBdr>
        <w:top w:val="none" w:sz="0" w:space="0" w:color="auto"/>
        <w:left w:val="none" w:sz="0" w:space="0" w:color="auto"/>
        <w:bottom w:val="none" w:sz="0" w:space="0" w:color="auto"/>
        <w:right w:val="none" w:sz="0" w:space="0" w:color="auto"/>
      </w:divBdr>
    </w:div>
    <w:div w:id="946425591">
      <w:bodyDiv w:val="1"/>
      <w:marLeft w:val="0"/>
      <w:marRight w:val="0"/>
      <w:marTop w:val="0"/>
      <w:marBottom w:val="0"/>
      <w:divBdr>
        <w:top w:val="none" w:sz="0" w:space="0" w:color="auto"/>
        <w:left w:val="none" w:sz="0" w:space="0" w:color="auto"/>
        <w:bottom w:val="none" w:sz="0" w:space="0" w:color="auto"/>
        <w:right w:val="none" w:sz="0" w:space="0" w:color="auto"/>
      </w:divBdr>
    </w:div>
    <w:div w:id="960958972">
      <w:bodyDiv w:val="1"/>
      <w:marLeft w:val="0"/>
      <w:marRight w:val="0"/>
      <w:marTop w:val="0"/>
      <w:marBottom w:val="0"/>
      <w:divBdr>
        <w:top w:val="none" w:sz="0" w:space="0" w:color="auto"/>
        <w:left w:val="none" w:sz="0" w:space="0" w:color="auto"/>
        <w:bottom w:val="none" w:sz="0" w:space="0" w:color="auto"/>
        <w:right w:val="none" w:sz="0" w:space="0" w:color="auto"/>
      </w:divBdr>
    </w:div>
    <w:div w:id="961765930">
      <w:bodyDiv w:val="1"/>
      <w:marLeft w:val="0"/>
      <w:marRight w:val="0"/>
      <w:marTop w:val="0"/>
      <w:marBottom w:val="0"/>
      <w:divBdr>
        <w:top w:val="none" w:sz="0" w:space="0" w:color="auto"/>
        <w:left w:val="none" w:sz="0" w:space="0" w:color="auto"/>
        <w:bottom w:val="none" w:sz="0" w:space="0" w:color="auto"/>
        <w:right w:val="none" w:sz="0" w:space="0" w:color="auto"/>
      </w:divBdr>
    </w:div>
    <w:div w:id="967315793">
      <w:bodyDiv w:val="1"/>
      <w:marLeft w:val="0"/>
      <w:marRight w:val="0"/>
      <w:marTop w:val="0"/>
      <w:marBottom w:val="0"/>
      <w:divBdr>
        <w:top w:val="none" w:sz="0" w:space="0" w:color="auto"/>
        <w:left w:val="none" w:sz="0" w:space="0" w:color="auto"/>
        <w:bottom w:val="none" w:sz="0" w:space="0" w:color="auto"/>
        <w:right w:val="none" w:sz="0" w:space="0" w:color="auto"/>
      </w:divBdr>
    </w:div>
    <w:div w:id="971247683">
      <w:bodyDiv w:val="1"/>
      <w:marLeft w:val="0"/>
      <w:marRight w:val="0"/>
      <w:marTop w:val="0"/>
      <w:marBottom w:val="0"/>
      <w:divBdr>
        <w:top w:val="none" w:sz="0" w:space="0" w:color="auto"/>
        <w:left w:val="none" w:sz="0" w:space="0" w:color="auto"/>
        <w:bottom w:val="none" w:sz="0" w:space="0" w:color="auto"/>
        <w:right w:val="none" w:sz="0" w:space="0" w:color="auto"/>
      </w:divBdr>
    </w:div>
    <w:div w:id="987055225">
      <w:bodyDiv w:val="1"/>
      <w:marLeft w:val="0"/>
      <w:marRight w:val="0"/>
      <w:marTop w:val="0"/>
      <w:marBottom w:val="0"/>
      <w:divBdr>
        <w:top w:val="none" w:sz="0" w:space="0" w:color="auto"/>
        <w:left w:val="none" w:sz="0" w:space="0" w:color="auto"/>
        <w:bottom w:val="none" w:sz="0" w:space="0" w:color="auto"/>
        <w:right w:val="none" w:sz="0" w:space="0" w:color="auto"/>
      </w:divBdr>
      <w:divsChild>
        <w:div w:id="1388257460">
          <w:marLeft w:val="0"/>
          <w:marRight w:val="0"/>
          <w:marTop w:val="0"/>
          <w:marBottom w:val="0"/>
          <w:divBdr>
            <w:top w:val="none" w:sz="0" w:space="0" w:color="auto"/>
            <w:left w:val="none" w:sz="0" w:space="0" w:color="auto"/>
            <w:bottom w:val="none" w:sz="0" w:space="0" w:color="auto"/>
            <w:right w:val="none" w:sz="0" w:space="0" w:color="auto"/>
          </w:divBdr>
          <w:divsChild>
            <w:div w:id="599794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888252858">
              <w:blockQuote w:val="1"/>
              <w:marLeft w:val="720"/>
              <w:marRight w:val="720"/>
              <w:marTop w:val="100"/>
              <w:marBottom w:val="100"/>
              <w:divBdr>
                <w:top w:val="none" w:sz="0" w:space="0" w:color="auto"/>
                <w:left w:val="none" w:sz="0" w:space="0" w:color="auto"/>
                <w:bottom w:val="none" w:sz="0" w:space="0" w:color="auto"/>
                <w:right w:val="none" w:sz="0" w:space="0" w:color="auto"/>
              </w:divBdr>
            </w:div>
            <w:div w:id="1152718370">
              <w:blockQuote w:val="1"/>
              <w:marLeft w:val="720"/>
              <w:marRight w:val="720"/>
              <w:marTop w:val="100"/>
              <w:marBottom w:val="100"/>
              <w:divBdr>
                <w:top w:val="none" w:sz="0" w:space="0" w:color="auto"/>
                <w:left w:val="none" w:sz="0" w:space="0" w:color="auto"/>
                <w:bottom w:val="none" w:sz="0" w:space="0" w:color="auto"/>
                <w:right w:val="none" w:sz="0" w:space="0" w:color="auto"/>
              </w:divBdr>
            </w:div>
            <w:div w:id="544026511">
              <w:blockQuote w:val="1"/>
              <w:marLeft w:val="720"/>
              <w:marRight w:val="720"/>
              <w:marTop w:val="100"/>
              <w:marBottom w:val="100"/>
              <w:divBdr>
                <w:top w:val="none" w:sz="0" w:space="0" w:color="auto"/>
                <w:left w:val="none" w:sz="0" w:space="0" w:color="auto"/>
                <w:bottom w:val="none" w:sz="0" w:space="0" w:color="auto"/>
                <w:right w:val="none" w:sz="0" w:space="0" w:color="auto"/>
              </w:divBdr>
            </w:div>
            <w:div w:id="323554708">
              <w:blockQuote w:val="1"/>
              <w:marLeft w:val="720"/>
              <w:marRight w:val="720"/>
              <w:marTop w:val="100"/>
              <w:marBottom w:val="100"/>
              <w:divBdr>
                <w:top w:val="none" w:sz="0" w:space="0" w:color="auto"/>
                <w:left w:val="none" w:sz="0" w:space="0" w:color="auto"/>
                <w:bottom w:val="none" w:sz="0" w:space="0" w:color="auto"/>
                <w:right w:val="none" w:sz="0" w:space="0" w:color="auto"/>
              </w:divBdr>
            </w:div>
            <w:div w:id="1674844038">
              <w:blockQuote w:val="1"/>
              <w:marLeft w:val="720"/>
              <w:marRight w:val="720"/>
              <w:marTop w:val="100"/>
              <w:marBottom w:val="100"/>
              <w:divBdr>
                <w:top w:val="none" w:sz="0" w:space="0" w:color="auto"/>
                <w:left w:val="none" w:sz="0" w:space="0" w:color="auto"/>
                <w:bottom w:val="none" w:sz="0" w:space="0" w:color="auto"/>
                <w:right w:val="none" w:sz="0" w:space="0" w:color="auto"/>
              </w:divBdr>
            </w:div>
            <w:div w:id="214706836">
              <w:blockQuote w:val="1"/>
              <w:marLeft w:val="720"/>
              <w:marRight w:val="720"/>
              <w:marTop w:val="100"/>
              <w:marBottom w:val="100"/>
              <w:divBdr>
                <w:top w:val="none" w:sz="0" w:space="0" w:color="auto"/>
                <w:left w:val="none" w:sz="0" w:space="0" w:color="auto"/>
                <w:bottom w:val="none" w:sz="0" w:space="0" w:color="auto"/>
                <w:right w:val="none" w:sz="0" w:space="0" w:color="auto"/>
              </w:divBdr>
            </w:div>
            <w:div w:id="2124834942">
              <w:blockQuote w:val="1"/>
              <w:marLeft w:val="720"/>
              <w:marRight w:val="720"/>
              <w:marTop w:val="100"/>
              <w:marBottom w:val="100"/>
              <w:divBdr>
                <w:top w:val="none" w:sz="0" w:space="0" w:color="auto"/>
                <w:left w:val="none" w:sz="0" w:space="0" w:color="auto"/>
                <w:bottom w:val="none" w:sz="0" w:space="0" w:color="auto"/>
                <w:right w:val="none" w:sz="0" w:space="0" w:color="auto"/>
              </w:divBdr>
            </w:div>
            <w:div w:id="1606691205">
              <w:blockQuote w:val="1"/>
              <w:marLeft w:val="720"/>
              <w:marRight w:val="720"/>
              <w:marTop w:val="100"/>
              <w:marBottom w:val="100"/>
              <w:divBdr>
                <w:top w:val="none" w:sz="0" w:space="0" w:color="auto"/>
                <w:left w:val="none" w:sz="0" w:space="0" w:color="auto"/>
                <w:bottom w:val="none" w:sz="0" w:space="0" w:color="auto"/>
                <w:right w:val="none" w:sz="0" w:space="0" w:color="auto"/>
              </w:divBdr>
            </w:div>
            <w:div w:id="14858544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987974412">
      <w:bodyDiv w:val="1"/>
      <w:marLeft w:val="0"/>
      <w:marRight w:val="0"/>
      <w:marTop w:val="0"/>
      <w:marBottom w:val="0"/>
      <w:divBdr>
        <w:top w:val="none" w:sz="0" w:space="0" w:color="auto"/>
        <w:left w:val="none" w:sz="0" w:space="0" w:color="auto"/>
        <w:bottom w:val="none" w:sz="0" w:space="0" w:color="auto"/>
        <w:right w:val="none" w:sz="0" w:space="0" w:color="auto"/>
      </w:divBdr>
    </w:div>
    <w:div w:id="990215697">
      <w:bodyDiv w:val="1"/>
      <w:marLeft w:val="0"/>
      <w:marRight w:val="0"/>
      <w:marTop w:val="0"/>
      <w:marBottom w:val="0"/>
      <w:divBdr>
        <w:top w:val="none" w:sz="0" w:space="0" w:color="auto"/>
        <w:left w:val="none" w:sz="0" w:space="0" w:color="auto"/>
        <w:bottom w:val="none" w:sz="0" w:space="0" w:color="auto"/>
        <w:right w:val="none" w:sz="0" w:space="0" w:color="auto"/>
      </w:divBdr>
      <w:divsChild>
        <w:div w:id="1377781804">
          <w:blockQuote w:val="1"/>
          <w:marLeft w:val="720"/>
          <w:marRight w:val="720"/>
          <w:marTop w:val="100"/>
          <w:marBottom w:val="100"/>
          <w:divBdr>
            <w:top w:val="none" w:sz="0" w:space="0" w:color="auto"/>
            <w:left w:val="none" w:sz="0" w:space="0" w:color="auto"/>
            <w:bottom w:val="none" w:sz="0" w:space="0" w:color="auto"/>
            <w:right w:val="none" w:sz="0" w:space="0" w:color="auto"/>
          </w:divBdr>
        </w:div>
        <w:div w:id="1415855836">
          <w:blockQuote w:val="1"/>
          <w:marLeft w:val="720"/>
          <w:marRight w:val="720"/>
          <w:marTop w:val="100"/>
          <w:marBottom w:val="100"/>
          <w:divBdr>
            <w:top w:val="none" w:sz="0" w:space="0" w:color="auto"/>
            <w:left w:val="none" w:sz="0" w:space="0" w:color="auto"/>
            <w:bottom w:val="none" w:sz="0" w:space="0" w:color="auto"/>
            <w:right w:val="none" w:sz="0" w:space="0" w:color="auto"/>
          </w:divBdr>
        </w:div>
        <w:div w:id="376861560">
          <w:blockQuote w:val="1"/>
          <w:marLeft w:val="720"/>
          <w:marRight w:val="720"/>
          <w:marTop w:val="100"/>
          <w:marBottom w:val="100"/>
          <w:divBdr>
            <w:top w:val="none" w:sz="0" w:space="0" w:color="auto"/>
            <w:left w:val="none" w:sz="0" w:space="0" w:color="auto"/>
            <w:bottom w:val="none" w:sz="0" w:space="0" w:color="auto"/>
            <w:right w:val="none" w:sz="0" w:space="0" w:color="auto"/>
          </w:divBdr>
        </w:div>
        <w:div w:id="1711612414">
          <w:blockQuote w:val="1"/>
          <w:marLeft w:val="720"/>
          <w:marRight w:val="720"/>
          <w:marTop w:val="100"/>
          <w:marBottom w:val="100"/>
          <w:divBdr>
            <w:top w:val="none" w:sz="0" w:space="0" w:color="auto"/>
            <w:left w:val="none" w:sz="0" w:space="0" w:color="auto"/>
            <w:bottom w:val="none" w:sz="0" w:space="0" w:color="auto"/>
            <w:right w:val="none" w:sz="0" w:space="0" w:color="auto"/>
          </w:divBdr>
        </w:div>
        <w:div w:id="682361383">
          <w:blockQuote w:val="1"/>
          <w:marLeft w:val="720"/>
          <w:marRight w:val="720"/>
          <w:marTop w:val="100"/>
          <w:marBottom w:val="100"/>
          <w:divBdr>
            <w:top w:val="none" w:sz="0" w:space="0" w:color="auto"/>
            <w:left w:val="none" w:sz="0" w:space="0" w:color="auto"/>
            <w:bottom w:val="none" w:sz="0" w:space="0" w:color="auto"/>
            <w:right w:val="none" w:sz="0" w:space="0" w:color="auto"/>
          </w:divBdr>
        </w:div>
        <w:div w:id="4476287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9721374">
      <w:bodyDiv w:val="1"/>
      <w:marLeft w:val="0"/>
      <w:marRight w:val="0"/>
      <w:marTop w:val="0"/>
      <w:marBottom w:val="0"/>
      <w:divBdr>
        <w:top w:val="none" w:sz="0" w:space="0" w:color="auto"/>
        <w:left w:val="none" w:sz="0" w:space="0" w:color="auto"/>
        <w:bottom w:val="none" w:sz="0" w:space="0" w:color="auto"/>
        <w:right w:val="none" w:sz="0" w:space="0" w:color="auto"/>
      </w:divBdr>
    </w:div>
    <w:div w:id="1010370403">
      <w:bodyDiv w:val="1"/>
      <w:marLeft w:val="0"/>
      <w:marRight w:val="0"/>
      <w:marTop w:val="0"/>
      <w:marBottom w:val="0"/>
      <w:divBdr>
        <w:top w:val="none" w:sz="0" w:space="0" w:color="auto"/>
        <w:left w:val="none" w:sz="0" w:space="0" w:color="auto"/>
        <w:bottom w:val="none" w:sz="0" w:space="0" w:color="auto"/>
        <w:right w:val="none" w:sz="0" w:space="0" w:color="auto"/>
      </w:divBdr>
      <w:divsChild>
        <w:div w:id="13589646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2763073">
          <w:blockQuote w:val="1"/>
          <w:marLeft w:val="720"/>
          <w:marRight w:val="720"/>
          <w:marTop w:val="100"/>
          <w:marBottom w:val="100"/>
          <w:divBdr>
            <w:top w:val="none" w:sz="0" w:space="0" w:color="auto"/>
            <w:left w:val="none" w:sz="0" w:space="0" w:color="auto"/>
            <w:bottom w:val="none" w:sz="0" w:space="0" w:color="auto"/>
            <w:right w:val="none" w:sz="0" w:space="0" w:color="auto"/>
          </w:divBdr>
        </w:div>
        <w:div w:id="1639065870">
          <w:blockQuote w:val="1"/>
          <w:marLeft w:val="720"/>
          <w:marRight w:val="720"/>
          <w:marTop w:val="100"/>
          <w:marBottom w:val="100"/>
          <w:divBdr>
            <w:top w:val="none" w:sz="0" w:space="0" w:color="auto"/>
            <w:left w:val="none" w:sz="0" w:space="0" w:color="auto"/>
            <w:bottom w:val="none" w:sz="0" w:space="0" w:color="auto"/>
            <w:right w:val="none" w:sz="0" w:space="0" w:color="auto"/>
          </w:divBdr>
        </w:div>
        <w:div w:id="224731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9358336">
      <w:bodyDiv w:val="1"/>
      <w:marLeft w:val="0"/>
      <w:marRight w:val="0"/>
      <w:marTop w:val="0"/>
      <w:marBottom w:val="0"/>
      <w:divBdr>
        <w:top w:val="none" w:sz="0" w:space="0" w:color="auto"/>
        <w:left w:val="none" w:sz="0" w:space="0" w:color="auto"/>
        <w:bottom w:val="none" w:sz="0" w:space="0" w:color="auto"/>
        <w:right w:val="none" w:sz="0" w:space="0" w:color="auto"/>
      </w:divBdr>
    </w:div>
    <w:div w:id="1030883346">
      <w:bodyDiv w:val="1"/>
      <w:marLeft w:val="0"/>
      <w:marRight w:val="0"/>
      <w:marTop w:val="0"/>
      <w:marBottom w:val="0"/>
      <w:divBdr>
        <w:top w:val="none" w:sz="0" w:space="0" w:color="auto"/>
        <w:left w:val="none" w:sz="0" w:space="0" w:color="auto"/>
        <w:bottom w:val="none" w:sz="0" w:space="0" w:color="auto"/>
        <w:right w:val="none" w:sz="0" w:space="0" w:color="auto"/>
      </w:divBdr>
    </w:div>
    <w:div w:id="1032995268">
      <w:bodyDiv w:val="1"/>
      <w:marLeft w:val="0"/>
      <w:marRight w:val="0"/>
      <w:marTop w:val="0"/>
      <w:marBottom w:val="0"/>
      <w:divBdr>
        <w:top w:val="none" w:sz="0" w:space="0" w:color="auto"/>
        <w:left w:val="none" w:sz="0" w:space="0" w:color="auto"/>
        <w:bottom w:val="none" w:sz="0" w:space="0" w:color="auto"/>
        <w:right w:val="none" w:sz="0" w:space="0" w:color="auto"/>
      </w:divBdr>
      <w:divsChild>
        <w:div w:id="2121025385">
          <w:blockQuote w:val="1"/>
          <w:marLeft w:val="720"/>
          <w:marRight w:val="720"/>
          <w:marTop w:val="100"/>
          <w:marBottom w:val="100"/>
          <w:divBdr>
            <w:top w:val="none" w:sz="0" w:space="0" w:color="auto"/>
            <w:left w:val="none" w:sz="0" w:space="0" w:color="auto"/>
            <w:bottom w:val="none" w:sz="0" w:space="0" w:color="auto"/>
            <w:right w:val="none" w:sz="0" w:space="0" w:color="auto"/>
          </w:divBdr>
        </w:div>
        <w:div w:id="839806367">
          <w:blockQuote w:val="1"/>
          <w:marLeft w:val="720"/>
          <w:marRight w:val="720"/>
          <w:marTop w:val="100"/>
          <w:marBottom w:val="100"/>
          <w:divBdr>
            <w:top w:val="none" w:sz="0" w:space="0" w:color="auto"/>
            <w:left w:val="none" w:sz="0" w:space="0" w:color="auto"/>
            <w:bottom w:val="none" w:sz="0" w:space="0" w:color="auto"/>
            <w:right w:val="none" w:sz="0" w:space="0" w:color="auto"/>
          </w:divBdr>
        </w:div>
        <w:div w:id="53342193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9310766">
          <w:blockQuote w:val="1"/>
          <w:marLeft w:val="720"/>
          <w:marRight w:val="720"/>
          <w:marTop w:val="100"/>
          <w:marBottom w:val="100"/>
          <w:divBdr>
            <w:top w:val="none" w:sz="0" w:space="0" w:color="auto"/>
            <w:left w:val="none" w:sz="0" w:space="0" w:color="auto"/>
            <w:bottom w:val="none" w:sz="0" w:space="0" w:color="auto"/>
            <w:right w:val="none" w:sz="0" w:space="0" w:color="auto"/>
          </w:divBdr>
        </w:div>
        <w:div w:id="423494466">
          <w:blockQuote w:val="1"/>
          <w:marLeft w:val="720"/>
          <w:marRight w:val="720"/>
          <w:marTop w:val="100"/>
          <w:marBottom w:val="100"/>
          <w:divBdr>
            <w:top w:val="none" w:sz="0" w:space="0" w:color="auto"/>
            <w:left w:val="none" w:sz="0" w:space="0" w:color="auto"/>
            <w:bottom w:val="none" w:sz="0" w:space="0" w:color="auto"/>
            <w:right w:val="none" w:sz="0" w:space="0" w:color="auto"/>
          </w:divBdr>
        </w:div>
        <w:div w:id="96006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3534710">
      <w:bodyDiv w:val="1"/>
      <w:marLeft w:val="0"/>
      <w:marRight w:val="0"/>
      <w:marTop w:val="0"/>
      <w:marBottom w:val="0"/>
      <w:divBdr>
        <w:top w:val="none" w:sz="0" w:space="0" w:color="auto"/>
        <w:left w:val="none" w:sz="0" w:space="0" w:color="auto"/>
        <w:bottom w:val="none" w:sz="0" w:space="0" w:color="auto"/>
        <w:right w:val="none" w:sz="0" w:space="0" w:color="auto"/>
      </w:divBdr>
    </w:div>
    <w:div w:id="1046369573">
      <w:bodyDiv w:val="1"/>
      <w:marLeft w:val="0"/>
      <w:marRight w:val="0"/>
      <w:marTop w:val="0"/>
      <w:marBottom w:val="0"/>
      <w:divBdr>
        <w:top w:val="none" w:sz="0" w:space="0" w:color="auto"/>
        <w:left w:val="none" w:sz="0" w:space="0" w:color="auto"/>
        <w:bottom w:val="none" w:sz="0" w:space="0" w:color="auto"/>
        <w:right w:val="none" w:sz="0" w:space="0" w:color="auto"/>
      </w:divBdr>
      <w:divsChild>
        <w:div w:id="19449955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0109234">
      <w:bodyDiv w:val="1"/>
      <w:marLeft w:val="0"/>
      <w:marRight w:val="0"/>
      <w:marTop w:val="0"/>
      <w:marBottom w:val="0"/>
      <w:divBdr>
        <w:top w:val="none" w:sz="0" w:space="0" w:color="auto"/>
        <w:left w:val="none" w:sz="0" w:space="0" w:color="auto"/>
        <w:bottom w:val="none" w:sz="0" w:space="0" w:color="auto"/>
        <w:right w:val="none" w:sz="0" w:space="0" w:color="auto"/>
      </w:divBdr>
    </w:div>
    <w:div w:id="1050611036">
      <w:bodyDiv w:val="1"/>
      <w:marLeft w:val="0"/>
      <w:marRight w:val="0"/>
      <w:marTop w:val="0"/>
      <w:marBottom w:val="0"/>
      <w:divBdr>
        <w:top w:val="none" w:sz="0" w:space="0" w:color="auto"/>
        <w:left w:val="none" w:sz="0" w:space="0" w:color="auto"/>
        <w:bottom w:val="none" w:sz="0" w:space="0" w:color="auto"/>
        <w:right w:val="none" w:sz="0" w:space="0" w:color="auto"/>
      </w:divBdr>
    </w:div>
    <w:div w:id="1051995893">
      <w:bodyDiv w:val="1"/>
      <w:marLeft w:val="0"/>
      <w:marRight w:val="0"/>
      <w:marTop w:val="0"/>
      <w:marBottom w:val="0"/>
      <w:divBdr>
        <w:top w:val="none" w:sz="0" w:space="0" w:color="auto"/>
        <w:left w:val="none" w:sz="0" w:space="0" w:color="auto"/>
        <w:bottom w:val="none" w:sz="0" w:space="0" w:color="auto"/>
        <w:right w:val="none" w:sz="0" w:space="0" w:color="auto"/>
      </w:divBdr>
    </w:div>
    <w:div w:id="1052971490">
      <w:bodyDiv w:val="1"/>
      <w:marLeft w:val="0"/>
      <w:marRight w:val="0"/>
      <w:marTop w:val="0"/>
      <w:marBottom w:val="0"/>
      <w:divBdr>
        <w:top w:val="none" w:sz="0" w:space="0" w:color="auto"/>
        <w:left w:val="none" w:sz="0" w:space="0" w:color="auto"/>
        <w:bottom w:val="none" w:sz="0" w:space="0" w:color="auto"/>
        <w:right w:val="none" w:sz="0" w:space="0" w:color="auto"/>
      </w:divBdr>
    </w:div>
    <w:div w:id="1055662167">
      <w:bodyDiv w:val="1"/>
      <w:marLeft w:val="0"/>
      <w:marRight w:val="0"/>
      <w:marTop w:val="0"/>
      <w:marBottom w:val="0"/>
      <w:divBdr>
        <w:top w:val="none" w:sz="0" w:space="0" w:color="auto"/>
        <w:left w:val="none" w:sz="0" w:space="0" w:color="auto"/>
        <w:bottom w:val="none" w:sz="0" w:space="0" w:color="auto"/>
        <w:right w:val="none" w:sz="0" w:space="0" w:color="auto"/>
      </w:divBdr>
    </w:div>
    <w:div w:id="1057317073">
      <w:bodyDiv w:val="1"/>
      <w:marLeft w:val="0"/>
      <w:marRight w:val="0"/>
      <w:marTop w:val="0"/>
      <w:marBottom w:val="0"/>
      <w:divBdr>
        <w:top w:val="none" w:sz="0" w:space="0" w:color="auto"/>
        <w:left w:val="none" w:sz="0" w:space="0" w:color="auto"/>
        <w:bottom w:val="none" w:sz="0" w:space="0" w:color="auto"/>
        <w:right w:val="none" w:sz="0" w:space="0" w:color="auto"/>
      </w:divBdr>
    </w:div>
    <w:div w:id="1058700011">
      <w:bodyDiv w:val="1"/>
      <w:marLeft w:val="0"/>
      <w:marRight w:val="0"/>
      <w:marTop w:val="0"/>
      <w:marBottom w:val="0"/>
      <w:divBdr>
        <w:top w:val="none" w:sz="0" w:space="0" w:color="auto"/>
        <w:left w:val="none" w:sz="0" w:space="0" w:color="auto"/>
        <w:bottom w:val="none" w:sz="0" w:space="0" w:color="auto"/>
        <w:right w:val="none" w:sz="0" w:space="0" w:color="auto"/>
      </w:divBdr>
    </w:div>
    <w:div w:id="1062677471">
      <w:bodyDiv w:val="1"/>
      <w:marLeft w:val="0"/>
      <w:marRight w:val="0"/>
      <w:marTop w:val="0"/>
      <w:marBottom w:val="0"/>
      <w:divBdr>
        <w:top w:val="none" w:sz="0" w:space="0" w:color="auto"/>
        <w:left w:val="none" w:sz="0" w:space="0" w:color="auto"/>
        <w:bottom w:val="none" w:sz="0" w:space="0" w:color="auto"/>
        <w:right w:val="none" w:sz="0" w:space="0" w:color="auto"/>
      </w:divBdr>
    </w:div>
    <w:div w:id="1063143800">
      <w:bodyDiv w:val="1"/>
      <w:marLeft w:val="0"/>
      <w:marRight w:val="0"/>
      <w:marTop w:val="0"/>
      <w:marBottom w:val="0"/>
      <w:divBdr>
        <w:top w:val="none" w:sz="0" w:space="0" w:color="auto"/>
        <w:left w:val="none" w:sz="0" w:space="0" w:color="auto"/>
        <w:bottom w:val="none" w:sz="0" w:space="0" w:color="auto"/>
        <w:right w:val="none" w:sz="0" w:space="0" w:color="auto"/>
      </w:divBdr>
      <w:divsChild>
        <w:div w:id="648749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4448216">
      <w:bodyDiv w:val="1"/>
      <w:marLeft w:val="0"/>
      <w:marRight w:val="0"/>
      <w:marTop w:val="0"/>
      <w:marBottom w:val="0"/>
      <w:divBdr>
        <w:top w:val="none" w:sz="0" w:space="0" w:color="auto"/>
        <w:left w:val="none" w:sz="0" w:space="0" w:color="auto"/>
        <w:bottom w:val="none" w:sz="0" w:space="0" w:color="auto"/>
        <w:right w:val="none" w:sz="0" w:space="0" w:color="auto"/>
      </w:divBdr>
    </w:div>
    <w:div w:id="1065493750">
      <w:bodyDiv w:val="1"/>
      <w:marLeft w:val="0"/>
      <w:marRight w:val="0"/>
      <w:marTop w:val="0"/>
      <w:marBottom w:val="0"/>
      <w:divBdr>
        <w:top w:val="none" w:sz="0" w:space="0" w:color="auto"/>
        <w:left w:val="none" w:sz="0" w:space="0" w:color="auto"/>
        <w:bottom w:val="none" w:sz="0" w:space="0" w:color="auto"/>
        <w:right w:val="none" w:sz="0" w:space="0" w:color="auto"/>
      </w:divBdr>
    </w:div>
    <w:div w:id="1068310803">
      <w:bodyDiv w:val="1"/>
      <w:marLeft w:val="0"/>
      <w:marRight w:val="0"/>
      <w:marTop w:val="0"/>
      <w:marBottom w:val="0"/>
      <w:divBdr>
        <w:top w:val="none" w:sz="0" w:space="0" w:color="auto"/>
        <w:left w:val="none" w:sz="0" w:space="0" w:color="auto"/>
        <w:bottom w:val="none" w:sz="0" w:space="0" w:color="auto"/>
        <w:right w:val="none" w:sz="0" w:space="0" w:color="auto"/>
      </w:divBdr>
    </w:div>
    <w:div w:id="1073159049">
      <w:bodyDiv w:val="1"/>
      <w:marLeft w:val="0"/>
      <w:marRight w:val="0"/>
      <w:marTop w:val="0"/>
      <w:marBottom w:val="0"/>
      <w:divBdr>
        <w:top w:val="none" w:sz="0" w:space="0" w:color="auto"/>
        <w:left w:val="none" w:sz="0" w:space="0" w:color="auto"/>
        <w:bottom w:val="none" w:sz="0" w:space="0" w:color="auto"/>
        <w:right w:val="none" w:sz="0" w:space="0" w:color="auto"/>
      </w:divBdr>
    </w:div>
    <w:div w:id="1077093701">
      <w:bodyDiv w:val="1"/>
      <w:marLeft w:val="0"/>
      <w:marRight w:val="0"/>
      <w:marTop w:val="0"/>
      <w:marBottom w:val="0"/>
      <w:divBdr>
        <w:top w:val="none" w:sz="0" w:space="0" w:color="auto"/>
        <w:left w:val="none" w:sz="0" w:space="0" w:color="auto"/>
        <w:bottom w:val="none" w:sz="0" w:space="0" w:color="auto"/>
        <w:right w:val="none" w:sz="0" w:space="0" w:color="auto"/>
      </w:divBdr>
    </w:div>
    <w:div w:id="1081947870">
      <w:bodyDiv w:val="1"/>
      <w:marLeft w:val="0"/>
      <w:marRight w:val="0"/>
      <w:marTop w:val="0"/>
      <w:marBottom w:val="0"/>
      <w:divBdr>
        <w:top w:val="none" w:sz="0" w:space="0" w:color="auto"/>
        <w:left w:val="none" w:sz="0" w:space="0" w:color="auto"/>
        <w:bottom w:val="none" w:sz="0" w:space="0" w:color="auto"/>
        <w:right w:val="none" w:sz="0" w:space="0" w:color="auto"/>
      </w:divBdr>
    </w:div>
    <w:div w:id="1082682510">
      <w:bodyDiv w:val="1"/>
      <w:marLeft w:val="0"/>
      <w:marRight w:val="0"/>
      <w:marTop w:val="0"/>
      <w:marBottom w:val="0"/>
      <w:divBdr>
        <w:top w:val="none" w:sz="0" w:space="0" w:color="auto"/>
        <w:left w:val="none" w:sz="0" w:space="0" w:color="auto"/>
        <w:bottom w:val="none" w:sz="0" w:space="0" w:color="auto"/>
        <w:right w:val="none" w:sz="0" w:space="0" w:color="auto"/>
      </w:divBdr>
    </w:div>
    <w:div w:id="1084183025">
      <w:bodyDiv w:val="1"/>
      <w:marLeft w:val="0"/>
      <w:marRight w:val="0"/>
      <w:marTop w:val="0"/>
      <w:marBottom w:val="0"/>
      <w:divBdr>
        <w:top w:val="none" w:sz="0" w:space="0" w:color="auto"/>
        <w:left w:val="none" w:sz="0" w:space="0" w:color="auto"/>
        <w:bottom w:val="none" w:sz="0" w:space="0" w:color="auto"/>
        <w:right w:val="none" w:sz="0" w:space="0" w:color="auto"/>
      </w:divBdr>
    </w:div>
    <w:div w:id="1087460879">
      <w:bodyDiv w:val="1"/>
      <w:marLeft w:val="0"/>
      <w:marRight w:val="0"/>
      <w:marTop w:val="0"/>
      <w:marBottom w:val="0"/>
      <w:divBdr>
        <w:top w:val="none" w:sz="0" w:space="0" w:color="auto"/>
        <w:left w:val="none" w:sz="0" w:space="0" w:color="auto"/>
        <w:bottom w:val="none" w:sz="0" w:space="0" w:color="auto"/>
        <w:right w:val="none" w:sz="0" w:space="0" w:color="auto"/>
      </w:divBdr>
    </w:div>
    <w:div w:id="1090663048">
      <w:bodyDiv w:val="1"/>
      <w:marLeft w:val="0"/>
      <w:marRight w:val="0"/>
      <w:marTop w:val="0"/>
      <w:marBottom w:val="0"/>
      <w:divBdr>
        <w:top w:val="none" w:sz="0" w:space="0" w:color="auto"/>
        <w:left w:val="none" w:sz="0" w:space="0" w:color="auto"/>
        <w:bottom w:val="none" w:sz="0" w:space="0" w:color="auto"/>
        <w:right w:val="none" w:sz="0" w:space="0" w:color="auto"/>
      </w:divBdr>
    </w:div>
    <w:div w:id="1093357373">
      <w:bodyDiv w:val="1"/>
      <w:marLeft w:val="0"/>
      <w:marRight w:val="0"/>
      <w:marTop w:val="0"/>
      <w:marBottom w:val="0"/>
      <w:divBdr>
        <w:top w:val="none" w:sz="0" w:space="0" w:color="auto"/>
        <w:left w:val="none" w:sz="0" w:space="0" w:color="auto"/>
        <w:bottom w:val="none" w:sz="0" w:space="0" w:color="auto"/>
        <w:right w:val="none" w:sz="0" w:space="0" w:color="auto"/>
      </w:divBdr>
    </w:div>
    <w:div w:id="1101951794">
      <w:bodyDiv w:val="1"/>
      <w:marLeft w:val="0"/>
      <w:marRight w:val="0"/>
      <w:marTop w:val="0"/>
      <w:marBottom w:val="0"/>
      <w:divBdr>
        <w:top w:val="none" w:sz="0" w:space="0" w:color="auto"/>
        <w:left w:val="none" w:sz="0" w:space="0" w:color="auto"/>
        <w:bottom w:val="none" w:sz="0" w:space="0" w:color="auto"/>
        <w:right w:val="none" w:sz="0" w:space="0" w:color="auto"/>
      </w:divBdr>
    </w:div>
    <w:div w:id="1104349948">
      <w:bodyDiv w:val="1"/>
      <w:marLeft w:val="0"/>
      <w:marRight w:val="0"/>
      <w:marTop w:val="0"/>
      <w:marBottom w:val="0"/>
      <w:divBdr>
        <w:top w:val="none" w:sz="0" w:space="0" w:color="auto"/>
        <w:left w:val="none" w:sz="0" w:space="0" w:color="auto"/>
        <w:bottom w:val="none" w:sz="0" w:space="0" w:color="auto"/>
        <w:right w:val="none" w:sz="0" w:space="0" w:color="auto"/>
      </w:divBdr>
      <w:divsChild>
        <w:div w:id="406266634">
          <w:marLeft w:val="0"/>
          <w:marRight w:val="0"/>
          <w:marTop w:val="0"/>
          <w:marBottom w:val="0"/>
          <w:divBdr>
            <w:top w:val="none" w:sz="0" w:space="0" w:color="auto"/>
            <w:left w:val="none" w:sz="0" w:space="0" w:color="auto"/>
            <w:bottom w:val="none" w:sz="0" w:space="0" w:color="auto"/>
            <w:right w:val="none" w:sz="0" w:space="0" w:color="auto"/>
          </w:divBdr>
          <w:divsChild>
            <w:div w:id="1963532709">
              <w:blockQuote w:val="1"/>
              <w:marLeft w:val="720"/>
              <w:marRight w:val="720"/>
              <w:marTop w:val="100"/>
              <w:marBottom w:val="100"/>
              <w:divBdr>
                <w:top w:val="none" w:sz="0" w:space="0" w:color="auto"/>
                <w:left w:val="none" w:sz="0" w:space="0" w:color="auto"/>
                <w:bottom w:val="none" w:sz="0" w:space="0" w:color="auto"/>
                <w:right w:val="none" w:sz="0" w:space="0" w:color="auto"/>
              </w:divBdr>
            </w:div>
            <w:div w:id="1122042732">
              <w:blockQuote w:val="1"/>
              <w:marLeft w:val="720"/>
              <w:marRight w:val="720"/>
              <w:marTop w:val="100"/>
              <w:marBottom w:val="100"/>
              <w:divBdr>
                <w:top w:val="none" w:sz="0" w:space="0" w:color="auto"/>
                <w:left w:val="none" w:sz="0" w:space="0" w:color="auto"/>
                <w:bottom w:val="none" w:sz="0" w:space="0" w:color="auto"/>
                <w:right w:val="none" w:sz="0" w:space="0" w:color="auto"/>
              </w:divBdr>
            </w:div>
            <w:div w:id="1330207842">
              <w:blockQuote w:val="1"/>
              <w:marLeft w:val="720"/>
              <w:marRight w:val="720"/>
              <w:marTop w:val="100"/>
              <w:marBottom w:val="100"/>
              <w:divBdr>
                <w:top w:val="none" w:sz="0" w:space="0" w:color="auto"/>
                <w:left w:val="none" w:sz="0" w:space="0" w:color="auto"/>
                <w:bottom w:val="none" w:sz="0" w:space="0" w:color="auto"/>
                <w:right w:val="none" w:sz="0" w:space="0" w:color="auto"/>
              </w:divBdr>
            </w:div>
            <w:div w:id="857696239">
              <w:blockQuote w:val="1"/>
              <w:marLeft w:val="720"/>
              <w:marRight w:val="720"/>
              <w:marTop w:val="100"/>
              <w:marBottom w:val="100"/>
              <w:divBdr>
                <w:top w:val="none" w:sz="0" w:space="0" w:color="auto"/>
                <w:left w:val="none" w:sz="0" w:space="0" w:color="auto"/>
                <w:bottom w:val="none" w:sz="0" w:space="0" w:color="auto"/>
                <w:right w:val="none" w:sz="0" w:space="0" w:color="auto"/>
              </w:divBdr>
            </w:div>
            <w:div w:id="1743797710">
              <w:blockQuote w:val="1"/>
              <w:marLeft w:val="720"/>
              <w:marRight w:val="720"/>
              <w:marTop w:val="100"/>
              <w:marBottom w:val="100"/>
              <w:divBdr>
                <w:top w:val="none" w:sz="0" w:space="0" w:color="auto"/>
                <w:left w:val="none" w:sz="0" w:space="0" w:color="auto"/>
                <w:bottom w:val="none" w:sz="0" w:space="0" w:color="auto"/>
                <w:right w:val="none" w:sz="0" w:space="0" w:color="auto"/>
              </w:divBdr>
            </w:div>
            <w:div w:id="785075978">
              <w:blockQuote w:val="1"/>
              <w:marLeft w:val="720"/>
              <w:marRight w:val="720"/>
              <w:marTop w:val="100"/>
              <w:marBottom w:val="100"/>
              <w:divBdr>
                <w:top w:val="none" w:sz="0" w:space="0" w:color="auto"/>
                <w:left w:val="none" w:sz="0" w:space="0" w:color="auto"/>
                <w:bottom w:val="none" w:sz="0" w:space="0" w:color="auto"/>
                <w:right w:val="none" w:sz="0" w:space="0" w:color="auto"/>
              </w:divBdr>
            </w:div>
            <w:div w:id="1598251981">
              <w:blockQuote w:val="1"/>
              <w:marLeft w:val="720"/>
              <w:marRight w:val="720"/>
              <w:marTop w:val="100"/>
              <w:marBottom w:val="100"/>
              <w:divBdr>
                <w:top w:val="none" w:sz="0" w:space="0" w:color="auto"/>
                <w:left w:val="none" w:sz="0" w:space="0" w:color="auto"/>
                <w:bottom w:val="none" w:sz="0" w:space="0" w:color="auto"/>
                <w:right w:val="none" w:sz="0" w:space="0" w:color="auto"/>
              </w:divBdr>
            </w:div>
            <w:div w:id="1386030114">
              <w:blockQuote w:val="1"/>
              <w:marLeft w:val="720"/>
              <w:marRight w:val="720"/>
              <w:marTop w:val="100"/>
              <w:marBottom w:val="100"/>
              <w:divBdr>
                <w:top w:val="none" w:sz="0" w:space="0" w:color="auto"/>
                <w:left w:val="none" w:sz="0" w:space="0" w:color="auto"/>
                <w:bottom w:val="none" w:sz="0" w:space="0" w:color="auto"/>
                <w:right w:val="none" w:sz="0" w:space="0" w:color="auto"/>
              </w:divBdr>
            </w:div>
            <w:div w:id="911541821">
              <w:blockQuote w:val="1"/>
              <w:marLeft w:val="720"/>
              <w:marRight w:val="720"/>
              <w:marTop w:val="100"/>
              <w:marBottom w:val="100"/>
              <w:divBdr>
                <w:top w:val="none" w:sz="0" w:space="0" w:color="auto"/>
                <w:left w:val="none" w:sz="0" w:space="0" w:color="auto"/>
                <w:bottom w:val="none" w:sz="0" w:space="0" w:color="auto"/>
                <w:right w:val="none" w:sz="0" w:space="0" w:color="auto"/>
              </w:divBdr>
            </w:div>
            <w:div w:id="1335841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105341396">
      <w:bodyDiv w:val="1"/>
      <w:marLeft w:val="0"/>
      <w:marRight w:val="0"/>
      <w:marTop w:val="0"/>
      <w:marBottom w:val="0"/>
      <w:divBdr>
        <w:top w:val="none" w:sz="0" w:space="0" w:color="auto"/>
        <w:left w:val="none" w:sz="0" w:space="0" w:color="auto"/>
        <w:bottom w:val="none" w:sz="0" w:space="0" w:color="auto"/>
        <w:right w:val="none" w:sz="0" w:space="0" w:color="auto"/>
      </w:divBdr>
    </w:div>
    <w:div w:id="1106269987">
      <w:bodyDiv w:val="1"/>
      <w:marLeft w:val="0"/>
      <w:marRight w:val="0"/>
      <w:marTop w:val="0"/>
      <w:marBottom w:val="0"/>
      <w:divBdr>
        <w:top w:val="none" w:sz="0" w:space="0" w:color="auto"/>
        <w:left w:val="none" w:sz="0" w:space="0" w:color="auto"/>
        <w:bottom w:val="none" w:sz="0" w:space="0" w:color="auto"/>
        <w:right w:val="none" w:sz="0" w:space="0" w:color="auto"/>
      </w:divBdr>
    </w:div>
    <w:div w:id="1107965013">
      <w:bodyDiv w:val="1"/>
      <w:marLeft w:val="0"/>
      <w:marRight w:val="0"/>
      <w:marTop w:val="0"/>
      <w:marBottom w:val="0"/>
      <w:divBdr>
        <w:top w:val="none" w:sz="0" w:space="0" w:color="auto"/>
        <w:left w:val="none" w:sz="0" w:space="0" w:color="auto"/>
        <w:bottom w:val="none" w:sz="0" w:space="0" w:color="auto"/>
        <w:right w:val="none" w:sz="0" w:space="0" w:color="auto"/>
      </w:divBdr>
    </w:div>
    <w:div w:id="1113204320">
      <w:bodyDiv w:val="1"/>
      <w:marLeft w:val="0"/>
      <w:marRight w:val="0"/>
      <w:marTop w:val="0"/>
      <w:marBottom w:val="0"/>
      <w:divBdr>
        <w:top w:val="none" w:sz="0" w:space="0" w:color="auto"/>
        <w:left w:val="none" w:sz="0" w:space="0" w:color="auto"/>
        <w:bottom w:val="none" w:sz="0" w:space="0" w:color="auto"/>
        <w:right w:val="none" w:sz="0" w:space="0" w:color="auto"/>
      </w:divBdr>
    </w:div>
    <w:div w:id="1117528905">
      <w:bodyDiv w:val="1"/>
      <w:marLeft w:val="0"/>
      <w:marRight w:val="0"/>
      <w:marTop w:val="0"/>
      <w:marBottom w:val="0"/>
      <w:divBdr>
        <w:top w:val="none" w:sz="0" w:space="0" w:color="auto"/>
        <w:left w:val="none" w:sz="0" w:space="0" w:color="auto"/>
        <w:bottom w:val="none" w:sz="0" w:space="0" w:color="auto"/>
        <w:right w:val="none" w:sz="0" w:space="0" w:color="auto"/>
      </w:divBdr>
    </w:div>
    <w:div w:id="1118380731">
      <w:bodyDiv w:val="1"/>
      <w:marLeft w:val="0"/>
      <w:marRight w:val="0"/>
      <w:marTop w:val="0"/>
      <w:marBottom w:val="0"/>
      <w:divBdr>
        <w:top w:val="none" w:sz="0" w:space="0" w:color="auto"/>
        <w:left w:val="none" w:sz="0" w:space="0" w:color="auto"/>
        <w:bottom w:val="none" w:sz="0" w:space="0" w:color="auto"/>
        <w:right w:val="none" w:sz="0" w:space="0" w:color="auto"/>
      </w:divBdr>
      <w:divsChild>
        <w:div w:id="6349859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0033585">
      <w:bodyDiv w:val="1"/>
      <w:marLeft w:val="0"/>
      <w:marRight w:val="0"/>
      <w:marTop w:val="0"/>
      <w:marBottom w:val="0"/>
      <w:divBdr>
        <w:top w:val="none" w:sz="0" w:space="0" w:color="auto"/>
        <w:left w:val="none" w:sz="0" w:space="0" w:color="auto"/>
        <w:bottom w:val="none" w:sz="0" w:space="0" w:color="auto"/>
        <w:right w:val="none" w:sz="0" w:space="0" w:color="auto"/>
      </w:divBdr>
    </w:div>
    <w:div w:id="1129325665">
      <w:bodyDiv w:val="1"/>
      <w:marLeft w:val="0"/>
      <w:marRight w:val="0"/>
      <w:marTop w:val="0"/>
      <w:marBottom w:val="0"/>
      <w:divBdr>
        <w:top w:val="none" w:sz="0" w:space="0" w:color="auto"/>
        <w:left w:val="none" w:sz="0" w:space="0" w:color="auto"/>
        <w:bottom w:val="none" w:sz="0" w:space="0" w:color="auto"/>
        <w:right w:val="none" w:sz="0" w:space="0" w:color="auto"/>
      </w:divBdr>
    </w:div>
    <w:div w:id="1129591149">
      <w:bodyDiv w:val="1"/>
      <w:marLeft w:val="0"/>
      <w:marRight w:val="0"/>
      <w:marTop w:val="0"/>
      <w:marBottom w:val="0"/>
      <w:divBdr>
        <w:top w:val="none" w:sz="0" w:space="0" w:color="auto"/>
        <w:left w:val="none" w:sz="0" w:space="0" w:color="auto"/>
        <w:bottom w:val="none" w:sz="0" w:space="0" w:color="auto"/>
        <w:right w:val="none" w:sz="0" w:space="0" w:color="auto"/>
      </w:divBdr>
    </w:div>
    <w:div w:id="1138641955">
      <w:bodyDiv w:val="1"/>
      <w:marLeft w:val="0"/>
      <w:marRight w:val="0"/>
      <w:marTop w:val="0"/>
      <w:marBottom w:val="0"/>
      <w:divBdr>
        <w:top w:val="none" w:sz="0" w:space="0" w:color="auto"/>
        <w:left w:val="none" w:sz="0" w:space="0" w:color="auto"/>
        <w:bottom w:val="none" w:sz="0" w:space="0" w:color="auto"/>
        <w:right w:val="none" w:sz="0" w:space="0" w:color="auto"/>
      </w:divBdr>
    </w:div>
    <w:div w:id="1157041123">
      <w:bodyDiv w:val="1"/>
      <w:marLeft w:val="0"/>
      <w:marRight w:val="0"/>
      <w:marTop w:val="0"/>
      <w:marBottom w:val="0"/>
      <w:divBdr>
        <w:top w:val="none" w:sz="0" w:space="0" w:color="auto"/>
        <w:left w:val="none" w:sz="0" w:space="0" w:color="auto"/>
        <w:bottom w:val="none" w:sz="0" w:space="0" w:color="auto"/>
        <w:right w:val="none" w:sz="0" w:space="0" w:color="auto"/>
      </w:divBdr>
    </w:div>
    <w:div w:id="1166507028">
      <w:bodyDiv w:val="1"/>
      <w:marLeft w:val="0"/>
      <w:marRight w:val="0"/>
      <w:marTop w:val="0"/>
      <w:marBottom w:val="0"/>
      <w:divBdr>
        <w:top w:val="none" w:sz="0" w:space="0" w:color="auto"/>
        <w:left w:val="none" w:sz="0" w:space="0" w:color="auto"/>
        <w:bottom w:val="none" w:sz="0" w:space="0" w:color="auto"/>
        <w:right w:val="none" w:sz="0" w:space="0" w:color="auto"/>
      </w:divBdr>
    </w:div>
    <w:div w:id="1167591725">
      <w:bodyDiv w:val="1"/>
      <w:marLeft w:val="0"/>
      <w:marRight w:val="0"/>
      <w:marTop w:val="0"/>
      <w:marBottom w:val="0"/>
      <w:divBdr>
        <w:top w:val="none" w:sz="0" w:space="0" w:color="auto"/>
        <w:left w:val="none" w:sz="0" w:space="0" w:color="auto"/>
        <w:bottom w:val="none" w:sz="0" w:space="0" w:color="auto"/>
        <w:right w:val="none" w:sz="0" w:space="0" w:color="auto"/>
      </w:divBdr>
    </w:div>
    <w:div w:id="1167984517">
      <w:bodyDiv w:val="1"/>
      <w:marLeft w:val="0"/>
      <w:marRight w:val="0"/>
      <w:marTop w:val="0"/>
      <w:marBottom w:val="0"/>
      <w:divBdr>
        <w:top w:val="none" w:sz="0" w:space="0" w:color="auto"/>
        <w:left w:val="none" w:sz="0" w:space="0" w:color="auto"/>
        <w:bottom w:val="none" w:sz="0" w:space="0" w:color="auto"/>
        <w:right w:val="none" w:sz="0" w:space="0" w:color="auto"/>
      </w:divBdr>
    </w:div>
    <w:div w:id="1175339032">
      <w:bodyDiv w:val="1"/>
      <w:marLeft w:val="0"/>
      <w:marRight w:val="0"/>
      <w:marTop w:val="0"/>
      <w:marBottom w:val="0"/>
      <w:divBdr>
        <w:top w:val="none" w:sz="0" w:space="0" w:color="auto"/>
        <w:left w:val="none" w:sz="0" w:space="0" w:color="auto"/>
        <w:bottom w:val="none" w:sz="0" w:space="0" w:color="auto"/>
        <w:right w:val="none" w:sz="0" w:space="0" w:color="auto"/>
      </w:divBdr>
    </w:div>
    <w:div w:id="1176000702">
      <w:bodyDiv w:val="1"/>
      <w:marLeft w:val="0"/>
      <w:marRight w:val="0"/>
      <w:marTop w:val="0"/>
      <w:marBottom w:val="0"/>
      <w:divBdr>
        <w:top w:val="none" w:sz="0" w:space="0" w:color="auto"/>
        <w:left w:val="none" w:sz="0" w:space="0" w:color="auto"/>
        <w:bottom w:val="none" w:sz="0" w:space="0" w:color="auto"/>
        <w:right w:val="none" w:sz="0" w:space="0" w:color="auto"/>
      </w:divBdr>
    </w:div>
    <w:div w:id="1180581422">
      <w:bodyDiv w:val="1"/>
      <w:marLeft w:val="0"/>
      <w:marRight w:val="0"/>
      <w:marTop w:val="0"/>
      <w:marBottom w:val="0"/>
      <w:divBdr>
        <w:top w:val="none" w:sz="0" w:space="0" w:color="auto"/>
        <w:left w:val="none" w:sz="0" w:space="0" w:color="auto"/>
        <w:bottom w:val="none" w:sz="0" w:space="0" w:color="auto"/>
        <w:right w:val="none" w:sz="0" w:space="0" w:color="auto"/>
      </w:divBdr>
    </w:div>
    <w:div w:id="1182738944">
      <w:bodyDiv w:val="1"/>
      <w:marLeft w:val="0"/>
      <w:marRight w:val="0"/>
      <w:marTop w:val="0"/>
      <w:marBottom w:val="0"/>
      <w:divBdr>
        <w:top w:val="none" w:sz="0" w:space="0" w:color="auto"/>
        <w:left w:val="none" w:sz="0" w:space="0" w:color="auto"/>
        <w:bottom w:val="none" w:sz="0" w:space="0" w:color="auto"/>
        <w:right w:val="none" w:sz="0" w:space="0" w:color="auto"/>
      </w:divBdr>
    </w:div>
    <w:div w:id="1183132794">
      <w:bodyDiv w:val="1"/>
      <w:marLeft w:val="0"/>
      <w:marRight w:val="0"/>
      <w:marTop w:val="0"/>
      <w:marBottom w:val="0"/>
      <w:divBdr>
        <w:top w:val="none" w:sz="0" w:space="0" w:color="auto"/>
        <w:left w:val="none" w:sz="0" w:space="0" w:color="auto"/>
        <w:bottom w:val="none" w:sz="0" w:space="0" w:color="auto"/>
        <w:right w:val="none" w:sz="0" w:space="0" w:color="auto"/>
      </w:divBdr>
      <w:divsChild>
        <w:div w:id="1745686908">
          <w:blockQuote w:val="1"/>
          <w:marLeft w:val="720"/>
          <w:marRight w:val="720"/>
          <w:marTop w:val="100"/>
          <w:marBottom w:val="100"/>
          <w:divBdr>
            <w:top w:val="none" w:sz="0" w:space="0" w:color="auto"/>
            <w:left w:val="none" w:sz="0" w:space="0" w:color="auto"/>
            <w:bottom w:val="none" w:sz="0" w:space="0" w:color="auto"/>
            <w:right w:val="none" w:sz="0" w:space="0" w:color="auto"/>
          </w:divBdr>
        </w:div>
        <w:div w:id="1643927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6478485">
      <w:bodyDiv w:val="1"/>
      <w:marLeft w:val="0"/>
      <w:marRight w:val="0"/>
      <w:marTop w:val="0"/>
      <w:marBottom w:val="0"/>
      <w:divBdr>
        <w:top w:val="none" w:sz="0" w:space="0" w:color="auto"/>
        <w:left w:val="none" w:sz="0" w:space="0" w:color="auto"/>
        <w:bottom w:val="none" w:sz="0" w:space="0" w:color="auto"/>
        <w:right w:val="none" w:sz="0" w:space="0" w:color="auto"/>
      </w:divBdr>
    </w:div>
    <w:div w:id="1188062926">
      <w:bodyDiv w:val="1"/>
      <w:marLeft w:val="0"/>
      <w:marRight w:val="0"/>
      <w:marTop w:val="0"/>
      <w:marBottom w:val="0"/>
      <w:divBdr>
        <w:top w:val="none" w:sz="0" w:space="0" w:color="auto"/>
        <w:left w:val="none" w:sz="0" w:space="0" w:color="auto"/>
        <w:bottom w:val="none" w:sz="0" w:space="0" w:color="auto"/>
        <w:right w:val="none" w:sz="0" w:space="0" w:color="auto"/>
      </w:divBdr>
    </w:div>
    <w:div w:id="1188329189">
      <w:bodyDiv w:val="1"/>
      <w:marLeft w:val="0"/>
      <w:marRight w:val="0"/>
      <w:marTop w:val="0"/>
      <w:marBottom w:val="0"/>
      <w:divBdr>
        <w:top w:val="none" w:sz="0" w:space="0" w:color="auto"/>
        <w:left w:val="none" w:sz="0" w:space="0" w:color="auto"/>
        <w:bottom w:val="none" w:sz="0" w:space="0" w:color="auto"/>
        <w:right w:val="none" w:sz="0" w:space="0" w:color="auto"/>
      </w:divBdr>
    </w:div>
    <w:div w:id="1189106162">
      <w:bodyDiv w:val="1"/>
      <w:marLeft w:val="0"/>
      <w:marRight w:val="0"/>
      <w:marTop w:val="0"/>
      <w:marBottom w:val="0"/>
      <w:divBdr>
        <w:top w:val="none" w:sz="0" w:space="0" w:color="auto"/>
        <w:left w:val="none" w:sz="0" w:space="0" w:color="auto"/>
        <w:bottom w:val="none" w:sz="0" w:space="0" w:color="auto"/>
        <w:right w:val="none" w:sz="0" w:space="0" w:color="auto"/>
      </w:divBdr>
    </w:div>
    <w:div w:id="1200126352">
      <w:bodyDiv w:val="1"/>
      <w:marLeft w:val="0"/>
      <w:marRight w:val="0"/>
      <w:marTop w:val="0"/>
      <w:marBottom w:val="0"/>
      <w:divBdr>
        <w:top w:val="none" w:sz="0" w:space="0" w:color="auto"/>
        <w:left w:val="none" w:sz="0" w:space="0" w:color="auto"/>
        <w:bottom w:val="none" w:sz="0" w:space="0" w:color="auto"/>
        <w:right w:val="none" w:sz="0" w:space="0" w:color="auto"/>
      </w:divBdr>
      <w:divsChild>
        <w:div w:id="1278099144">
          <w:blockQuote w:val="1"/>
          <w:marLeft w:val="720"/>
          <w:marRight w:val="720"/>
          <w:marTop w:val="100"/>
          <w:marBottom w:val="100"/>
          <w:divBdr>
            <w:top w:val="none" w:sz="0" w:space="0" w:color="auto"/>
            <w:left w:val="none" w:sz="0" w:space="0" w:color="auto"/>
            <w:bottom w:val="none" w:sz="0" w:space="0" w:color="auto"/>
            <w:right w:val="none" w:sz="0" w:space="0" w:color="auto"/>
          </w:divBdr>
        </w:div>
        <w:div w:id="407970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0897269">
      <w:bodyDiv w:val="1"/>
      <w:marLeft w:val="0"/>
      <w:marRight w:val="0"/>
      <w:marTop w:val="0"/>
      <w:marBottom w:val="0"/>
      <w:divBdr>
        <w:top w:val="none" w:sz="0" w:space="0" w:color="auto"/>
        <w:left w:val="none" w:sz="0" w:space="0" w:color="auto"/>
        <w:bottom w:val="none" w:sz="0" w:space="0" w:color="auto"/>
        <w:right w:val="none" w:sz="0" w:space="0" w:color="auto"/>
      </w:divBdr>
    </w:div>
    <w:div w:id="1201362169">
      <w:bodyDiv w:val="1"/>
      <w:marLeft w:val="0"/>
      <w:marRight w:val="0"/>
      <w:marTop w:val="0"/>
      <w:marBottom w:val="0"/>
      <w:divBdr>
        <w:top w:val="none" w:sz="0" w:space="0" w:color="auto"/>
        <w:left w:val="none" w:sz="0" w:space="0" w:color="auto"/>
        <w:bottom w:val="none" w:sz="0" w:space="0" w:color="auto"/>
        <w:right w:val="none" w:sz="0" w:space="0" w:color="auto"/>
      </w:divBdr>
    </w:div>
    <w:div w:id="1203785222">
      <w:bodyDiv w:val="1"/>
      <w:marLeft w:val="0"/>
      <w:marRight w:val="0"/>
      <w:marTop w:val="0"/>
      <w:marBottom w:val="0"/>
      <w:divBdr>
        <w:top w:val="none" w:sz="0" w:space="0" w:color="auto"/>
        <w:left w:val="none" w:sz="0" w:space="0" w:color="auto"/>
        <w:bottom w:val="none" w:sz="0" w:space="0" w:color="auto"/>
        <w:right w:val="none" w:sz="0" w:space="0" w:color="auto"/>
      </w:divBdr>
    </w:div>
    <w:div w:id="1212612865">
      <w:bodyDiv w:val="1"/>
      <w:marLeft w:val="0"/>
      <w:marRight w:val="0"/>
      <w:marTop w:val="0"/>
      <w:marBottom w:val="0"/>
      <w:divBdr>
        <w:top w:val="none" w:sz="0" w:space="0" w:color="auto"/>
        <w:left w:val="none" w:sz="0" w:space="0" w:color="auto"/>
        <w:bottom w:val="none" w:sz="0" w:space="0" w:color="auto"/>
        <w:right w:val="none" w:sz="0" w:space="0" w:color="auto"/>
      </w:divBdr>
      <w:divsChild>
        <w:div w:id="461928331">
          <w:blockQuote w:val="1"/>
          <w:marLeft w:val="720"/>
          <w:marRight w:val="720"/>
          <w:marTop w:val="100"/>
          <w:marBottom w:val="100"/>
          <w:divBdr>
            <w:top w:val="none" w:sz="0" w:space="0" w:color="auto"/>
            <w:left w:val="none" w:sz="0" w:space="0" w:color="auto"/>
            <w:bottom w:val="none" w:sz="0" w:space="0" w:color="auto"/>
            <w:right w:val="none" w:sz="0" w:space="0" w:color="auto"/>
          </w:divBdr>
        </w:div>
        <w:div w:id="808939606">
          <w:blockQuote w:val="1"/>
          <w:marLeft w:val="720"/>
          <w:marRight w:val="720"/>
          <w:marTop w:val="100"/>
          <w:marBottom w:val="100"/>
          <w:divBdr>
            <w:top w:val="none" w:sz="0" w:space="0" w:color="auto"/>
            <w:left w:val="none" w:sz="0" w:space="0" w:color="auto"/>
            <w:bottom w:val="none" w:sz="0" w:space="0" w:color="auto"/>
            <w:right w:val="none" w:sz="0" w:space="0" w:color="auto"/>
          </w:divBdr>
        </w:div>
        <w:div w:id="949313983">
          <w:blockQuote w:val="1"/>
          <w:marLeft w:val="720"/>
          <w:marRight w:val="720"/>
          <w:marTop w:val="100"/>
          <w:marBottom w:val="100"/>
          <w:divBdr>
            <w:top w:val="none" w:sz="0" w:space="0" w:color="auto"/>
            <w:left w:val="none" w:sz="0" w:space="0" w:color="auto"/>
            <w:bottom w:val="none" w:sz="0" w:space="0" w:color="auto"/>
            <w:right w:val="none" w:sz="0" w:space="0" w:color="auto"/>
          </w:divBdr>
        </w:div>
        <w:div w:id="222328157">
          <w:blockQuote w:val="1"/>
          <w:marLeft w:val="720"/>
          <w:marRight w:val="720"/>
          <w:marTop w:val="100"/>
          <w:marBottom w:val="100"/>
          <w:divBdr>
            <w:top w:val="none" w:sz="0" w:space="0" w:color="auto"/>
            <w:left w:val="none" w:sz="0" w:space="0" w:color="auto"/>
            <w:bottom w:val="none" w:sz="0" w:space="0" w:color="auto"/>
            <w:right w:val="none" w:sz="0" w:space="0" w:color="auto"/>
          </w:divBdr>
        </w:div>
        <w:div w:id="489636856">
          <w:blockQuote w:val="1"/>
          <w:marLeft w:val="720"/>
          <w:marRight w:val="720"/>
          <w:marTop w:val="100"/>
          <w:marBottom w:val="100"/>
          <w:divBdr>
            <w:top w:val="none" w:sz="0" w:space="0" w:color="auto"/>
            <w:left w:val="none" w:sz="0" w:space="0" w:color="auto"/>
            <w:bottom w:val="none" w:sz="0" w:space="0" w:color="auto"/>
            <w:right w:val="none" w:sz="0" w:space="0" w:color="auto"/>
          </w:divBdr>
        </w:div>
        <w:div w:id="609052420">
          <w:blockQuote w:val="1"/>
          <w:marLeft w:val="720"/>
          <w:marRight w:val="720"/>
          <w:marTop w:val="100"/>
          <w:marBottom w:val="100"/>
          <w:divBdr>
            <w:top w:val="none" w:sz="0" w:space="0" w:color="auto"/>
            <w:left w:val="none" w:sz="0" w:space="0" w:color="auto"/>
            <w:bottom w:val="none" w:sz="0" w:space="0" w:color="auto"/>
            <w:right w:val="none" w:sz="0" w:space="0" w:color="auto"/>
          </w:divBdr>
        </w:div>
        <w:div w:id="876504035">
          <w:blockQuote w:val="1"/>
          <w:marLeft w:val="720"/>
          <w:marRight w:val="720"/>
          <w:marTop w:val="100"/>
          <w:marBottom w:val="100"/>
          <w:divBdr>
            <w:top w:val="none" w:sz="0" w:space="0" w:color="auto"/>
            <w:left w:val="none" w:sz="0" w:space="0" w:color="auto"/>
            <w:bottom w:val="none" w:sz="0" w:space="0" w:color="auto"/>
            <w:right w:val="none" w:sz="0" w:space="0" w:color="auto"/>
          </w:divBdr>
        </w:div>
        <w:div w:id="454909556">
          <w:blockQuote w:val="1"/>
          <w:marLeft w:val="720"/>
          <w:marRight w:val="720"/>
          <w:marTop w:val="100"/>
          <w:marBottom w:val="100"/>
          <w:divBdr>
            <w:top w:val="none" w:sz="0" w:space="0" w:color="auto"/>
            <w:left w:val="none" w:sz="0" w:space="0" w:color="auto"/>
            <w:bottom w:val="none" w:sz="0" w:space="0" w:color="auto"/>
            <w:right w:val="none" w:sz="0" w:space="0" w:color="auto"/>
          </w:divBdr>
        </w:div>
        <w:div w:id="9846228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5771819">
      <w:bodyDiv w:val="1"/>
      <w:marLeft w:val="0"/>
      <w:marRight w:val="0"/>
      <w:marTop w:val="0"/>
      <w:marBottom w:val="0"/>
      <w:divBdr>
        <w:top w:val="none" w:sz="0" w:space="0" w:color="auto"/>
        <w:left w:val="none" w:sz="0" w:space="0" w:color="auto"/>
        <w:bottom w:val="none" w:sz="0" w:space="0" w:color="auto"/>
        <w:right w:val="none" w:sz="0" w:space="0" w:color="auto"/>
      </w:divBdr>
    </w:div>
    <w:div w:id="1215775500">
      <w:bodyDiv w:val="1"/>
      <w:marLeft w:val="0"/>
      <w:marRight w:val="0"/>
      <w:marTop w:val="0"/>
      <w:marBottom w:val="0"/>
      <w:divBdr>
        <w:top w:val="none" w:sz="0" w:space="0" w:color="auto"/>
        <w:left w:val="none" w:sz="0" w:space="0" w:color="auto"/>
        <w:bottom w:val="none" w:sz="0" w:space="0" w:color="auto"/>
        <w:right w:val="none" w:sz="0" w:space="0" w:color="auto"/>
      </w:divBdr>
    </w:div>
    <w:div w:id="1218934931">
      <w:bodyDiv w:val="1"/>
      <w:marLeft w:val="0"/>
      <w:marRight w:val="0"/>
      <w:marTop w:val="0"/>
      <w:marBottom w:val="0"/>
      <w:divBdr>
        <w:top w:val="none" w:sz="0" w:space="0" w:color="auto"/>
        <w:left w:val="none" w:sz="0" w:space="0" w:color="auto"/>
        <w:bottom w:val="none" w:sz="0" w:space="0" w:color="auto"/>
        <w:right w:val="none" w:sz="0" w:space="0" w:color="auto"/>
      </w:divBdr>
    </w:div>
    <w:div w:id="1219632093">
      <w:bodyDiv w:val="1"/>
      <w:marLeft w:val="0"/>
      <w:marRight w:val="0"/>
      <w:marTop w:val="0"/>
      <w:marBottom w:val="0"/>
      <w:divBdr>
        <w:top w:val="none" w:sz="0" w:space="0" w:color="auto"/>
        <w:left w:val="none" w:sz="0" w:space="0" w:color="auto"/>
        <w:bottom w:val="none" w:sz="0" w:space="0" w:color="auto"/>
        <w:right w:val="none" w:sz="0" w:space="0" w:color="auto"/>
      </w:divBdr>
    </w:div>
    <w:div w:id="1235777050">
      <w:bodyDiv w:val="1"/>
      <w:marLeft w:val="0"/>
      <w:marRight w:val="0"/>
      <w:marTop w:val="0"/>
      <w:marBottom w:val="0"/>
      <w:divBdr>
        <w:top w:val="none" w:sz="0" w:space="0" w:color="auto"/>
        <w:left w:val="none" w:sz="0" w:space="0" w:color="auto"/>
        <w:bottom w:val="none" w:sz="0" w:space="0" w:color="auto"/>
        <w:right w:val="none" w:sz="0" w:space="0" w:color="auto"/>
      </w:divBdr>
    </w:div>
    <w:div w:id="1236940136">
      <w:bodyDiv w:val="1"/>
      <w:marLeft w:val="0"/>
      <w:marRight w:val="0"/>
      <w:marTop w:val="0"/>
      <w:marBottom w:val="0"/>
      <w:divBdr>
        <w:top w:val="none" w:sz="0" w:space="0" w:color="auto"/>
        <w:left w:val="none" w:sz="0" w:space="0" w:color="auto"/>
        <w:bottom w:val="none" w:sz="0" w:space="0" w:color="auto"/>
        <w:right w:val="none" w:sz="0" w:space="0" w:color="auto"/>
      </w:divBdr>
    </w:div>
    <w:div w:id="1240556802">
      <w:bodyDiv w:val="1"/>
      <w:marLeft w:val="0"/>
      <w:marRight w:val="0"/>
      <w:marTop w:val="0"/>
      <w:marBottom w:val="0"/>
      <w:divBdr>
        <w:top w:val="none" w:sz="0" w:space="0" w:color="auto"/>
        <w:left w:val="none" w:sz="0" w:space="0" w:color="auto"/>
        <w:bottom w:val="none" w:sz="0" w:space="0" w:color="auto"/>
        <w:right w:val="none" w:sz="0" w:space="0" w:color="auto"/>
      </w:divBdr>
    </w:div>
    <w:div w:id="1253008163">
      <w:bodyDiv w:val="1"/>
      <w:marLeft w:val="0"/>
      <w:marRight w:val="0"/>
      <w:marTop w:val="0"/>
      <w:marBottom w:val="0"/>
      <w:divBdr>
        <w:top w:val="none" w:sz="0" w:space="0" w:color="auto"/>
        <w:left w:val="none" w:sz="0" w:space="0" w:color="auto"/>
        <w:bottom w:val="none" w:sz="0" w:space="0" w:color="auto"/>
        <w:right w:val="none" w:sz="0" w:space="0" w:color="auto"/>
      </w:divBdr>
      <w:divsChild>
        <w:div w:id="686371205">
          <w:marLeft w:val="0"/>
          <w:marRight w:val="0"/>
          <w:marTop w:val="0"/>
          <w:marBottom w:val="0"/>
          <w:divBdr>
            <w:top w:val="none" w:sz="0" w:space="0" w:color="auto"/>
            <w:left w:val="none" w:sz="0" w:space="0" w:color="auto"/>
            <w:bottom w:val="none" w:sz="0" w:space="0" w:color="auto"/>
            <w:right w:val="none" w:sz="0" w:space="0" w:color="auto"/>
          </w:divBdr>
        </w:div>
      </w:divsChild>
    </w:div>
    <w:div w:id="1254587363">
      <w:bodyDiv w:val="1"/>
      <w:marLeft w:val="0"/>
      <w:marRight w:val="0"/>
      <w:marTop w:val="0"/>
      <w:marBottom w:val="0"/>
      <w:divBdr>
        <w:top w:val="none" w:sz="0" w:space="0" w:color="auto"/>
        <w:left w:val="none" w:sz="0" w:space="0" w:color="auto"/>
        <w:bottom w:val="none" w:sz="0" w:space="0" w:color="auto"/>
        <w:right w:val="none" w:sz="0" w:space="0" w:color="auto"/>
      </w:divBdr>
      <w:divsChild>
        <w:div w:id="1368988201">
          <w:blockQuote w:val="1"/>
          <w:marLeft w:val="720"/>
          <w:marRight w:val="720"/>
          <w:marTop w:val="100"/>
          <w:marBottom w:val="100"/>
          <w:divBdr>
            <w:top w:val="none" w:sz="0" w:space="0" w:color="auto"/>
            <w:left w:val="none" w:sz="0" w:space="0" w:color="auto"/>
            <w:bottom w:val="none" w:sz="0" w:space="0" w:color="auto"/>
            <w:right w:val="none" w:sz="0" w:space="0" w:color="auto"/>
          </w:divBdr>
        </w:div>
        <w:div w:id="744226915">
          <w:blockQuote w:val="1"/>
          <w:marLeft w:val="720"/>
          <w:marRight w:val="720"/>
          <w:marTop w:val="100"/>
          <w:marBottom w:val="100"/>
          <w:divBdr>
            <w:top w:val="none" w:sz="0" w:space="0" w:color="auto"/>
            <w:left w:val="none" w:sz="0" w:space="0" w:color="auto"/>
            <w:bottom w:val="none" w:sz="0" w:space="0" w:color="auto"/>
            <w:right w:val="none" w:sz="0" w:space="0" w:color="auto"/>
          </w:divBdr>
        </w:div>
        <w:div w:id="1719279515">
          <w:blockQuote w:val="1"/>
          <w:marLeft w:val="720"/>
          <w:marRight w:val="720"/>
          <w:marTop w:val="100"/>
          <w:marBottom w:val="100"/>
          <w:divBdr>
            <w:top w:val="none" w:sz="0" w:space="0" w:color="auto"/>
            <w:left w:val="none" w:sz="0" w:space="0" w:color="auto"/>
            <w:bottom w:val="none" w:sz="0" w:space="0" w:color="auto"/>
            <w:right w:val="none" w:sz="0" w:space="0" w:color="auto"/>
          </w:divBdr>
        </w:div>
        <w:div w:id="181619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48214969">
          <w:blockQuote w:val="1"/>
          <w:marLeft w:val="720"/>
          <w:marRight w:val="720"/>
          <w:marTop w:val="100"/>
          <w:marBottom w:val="100"/>
          <w:divBdr>
            <w:top w:val="none" w:sz="0" w:space="0" w:color="auto"/>
            <w:left w:val="none" w:sz="0" w:space="0" w:color="auto"/>
            <w:bottom w:val="none" w:sz="0" w:space="0" w:color="auto"/>
            <w:right w:val="none" w:sz="0" w:space="0" w:color="auto"/>
          </w:divBdr>
        </w:div>
        <w:div w:id="242253617">
          <w:blockQuote w:val="1"/>
          <w:marLeft w:val="720"/>
          <w:marRight w:val="720"/>
          <w:marTop w:val="100"/>
          <w:marBottom w:val="100"/>
          <w:divBdr>
            <w:top w:val="none" w:sz="0" w:space="0" w:color="auto"/>
            <w:left w:val="none" w:sz="0" w:space="0" w:color="auto"/>
            <w:bottom w:val="none" w:sz="0" w:space="0" w:color="auto"/>
            <w:right w:val="none" w:sz="0" w:space="0" w:color="auto"/>
          </w:divBdr>
        </w:div>
        <w:div w:id="1312708567">
          <w:blockQuote w:val="1"/>
          <w:marLeft w:val="720"/>
          <w:marRight w:val="720"/>
          <w:marTop w:val="100"/>
          <w:marBottom w:val="100"/>
          <w:divBdr>
            <w:top w:val="none" w:sz="0" w:space="0" w:color="auto"/>
            <w:left w:val="none" w:sz="0" w:space="0" w:color="auto"/>
            <w:bottom w:val="none" w:sz="0" w:space="0" w:color="auto"/>
            <w:right w:val="none" w:sz="0" w:space="0" w:color="auto"/>
          </w:divBdr>
        </w:div>
        <w:div w:id="2088914679">
          <w:blockQuote w:val="1"/>
          <w:marLeft w:val="720"/>
          <w:marRight w:val="720"/>
          <w:marTop w:val="100"/>
          <w:marBottom w:val="100"/>
          <w:divBdr>
            <w:top w:val="none" w:sz="0" w:space="0" w:color="auto"/>
            <w:left w:val="none" w:sz="0" w:space="0" w:color="auto"/>
            <w:bottom w:val="none" w:sz="0" w:space="0" w:color="auto"/>
            <w:right w:val="none" w:sz="0" w:space="0" w:color="auto"/>
          </w:divBdr>
        </w:div>
        <w:div w:id="82384514">
          <w:blockQuote w:val="1"/>
          <w:marLeft w:val="720"/>
          <w:marRight w:val="720"/>
          <w:marTop w:val="100"/>
          <w:marBottom w:val="100"/>
          <w:divBdr>
            <w:top w:val="none" w:sz="0" w:space="0" w:color="auto"/>
            <w:left w:val="none" w:sz="0" w:space="0" w:color="auto"/>
            <w:bottom w:val="none" w:sz="0" w:space="0" w:color="auto"/>
            <w:right w:val="none" w:sz="0" w:space="0" w:color="auto"/>
          </w:divBdr>
        </w:div>
        <w:div w:id="2122063229">
          <w:blockQuote w:val="1"/>
          <w:marLeft w:val="720"/>
          <w:marRight w:val="720"/>
          <w:marTop w:val="100"/>
          <w:marBottom w:val="100"/>
          <w:divBdr>
            <w:top w:val="none" w:sz="0" w:space="0" w:color="auto"/>
            <w:left w:val="none" w:sz="0" w:space="0" w:color="auto"/>
            <w:bottom w:val="none" w:sz="0" w:space="0" w:color="auto"/>
            <w:right w:val="none" w:sz="0" w:space="0" w:color="auto"/>
          </w:divBdr>
        </w:div>
        <w:div w:id="1388188358">
          <w:blockQuote w:val="1"/>
          <w:marLeft w:val="720"/>
          <w:marRight w:val="720"/>
          <w:marTop w:val="100"/>
          <w:marBottom w:val="100"/>
          <w:divBdr>
            <w:top w:val="none" w:sz="0" w:space="0" w:color="auto"/>
            <w:left w:val="none" w:sz="0" w:space="0" w:color="auto"/>
            <w:bottom w:val="none" w:sz="0" w:space="0" w:color="auto"/>
            <w:right w:val="none" w:sz="0" w:space="0" w:color="auto"/>
          </w:divBdr>
        </w:div>
        <w:div w:id="1411804011">
          <w:blockQuote w:val="1"/>
          <w:marLeft w:val="720"/>
          <w:marRight w:val="720"/>
          <w:marTop w:val="100"/>
          <w:marBottom w:val="100"/>
          <w:divBdr>
            <w:top w:val="none" w:sz="0" w:space="0" w:color="auto"/>
            <w:left w:val="none" w:sz="0" w:space="0" w:color="auto"/>
            <w:bottom w:val="none" w:sz="0" w:space="0" w:color="auto"/>
            <w:right w:val="none" w:sz="0" w:space="0" w:color="auto"/>
          </w:divBdr>
        </w:div>
        <w:div w:id="297149295">
          <w:blockQuote w:val="1"/>
          <w:marLeft w:val="720"/>
          <w:marRight w:val="720"/>
          <w:marTop w:val="100"/>
          <w:marBottom w:val="100"/>
          <w:divBdr>
            <w:top w:val="none" w:sz="0" w:space="0" w:color="auto"/>
            <w:left w:val="none" w:sz="0" w:space="0" w:color="auto"/>
            <w:bottom w:val="none" w:sz="0" w:space="0" w:color="auto"/>
            <w:right w:val="none" w:sz="0" w:space="0" w:color="auto"/>
          </w:divBdr>
        </w:div>
        <w:div w:id="1655180276">
          <w:blockQuote w:val="1"/>
          <w:marLeft w:val="720"/>
          <w:marRight w:val="720"/>
          <w:marTop w:val="100"/>
          <w:marBottom w:val="100"/>
          <w:divBdr>
            <w:top w:val="none" w:sz="0" w:space="0" w:color="auto"/>
            <w:left w:val="none" w:sz="0" w:space="0" w:color="auto"/>
            <w:bottom w:val="none" w:sz="0" w:space="0" w:color="auto"/>
            <w:right w:val="none" w:sz="0" w:space="0" w:color="auto"/>
          </w:divBdr>
        </w:div>
        <w:div w:id="3744259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5020410">
      <w:bodyDiv w:val="1"/>
      <w:marLeft w:val="0"/>
      <w:marRight w:val="0"/>
      <w:marTop w:val="0"/>
      <w:marBottom w:val="0"/>
      <w:divBdr>
        <w:top w:val="none" w:sz="0" w:space="0" w:color="auto"/>
        <w:left w:val="none" w:sz="0" w:space="0" w:color="auto"/>
        <w:bottom w:val="none" w:sz="0" w:space="0" w:color="auto"/>
        <w:right w:val="none" w:sz="0" w:space="0" w:color="auto"/>
      </w:divBdr>
    </w:div>
    <w:div w:id="1261796489">
      <w:bodyDiv w:val="1"/>
      <w:marLeft w:val="0"/>
      <w:marRight w:val="0"/>
      <w:marTop w:val="0"/>
      <w:marBottom w:val="0"/>
      <w:divBdr>
        <w:top w:val="none" w:sz="0" w:space="0" w:color="auto"/>
        <w:left w:val="none" w:sz="0" w:space="0" w:color="auto"/>
        <w:bottom w:val="none" w:sz="0" w:space="0" w:color="auto"/>
        <w:right w:val="none" w:sz="0" w:space="0" w:color="auto"/>
      </w:divBdr>
    </w:div>
    <w:div w:id="1262105945">
      <w:bodyDiv w:val="1"/>
      <w:marLeft w:val="0"/>
      <w:marRight w:val="0"/>
      <w:marTop w:val="0"/>
      <w:marBottom w:val="0"/>
      <w:divBdr>
        <w:top w:val="none" w:sz="0" w:space="0" w:color="auto"/>
        <w:left w:val="none" w:sz="0" w:space="0" w:color="auto"/>
        <w:bottom w:val="none" w:sz="0" w:space="0" w:color="auto"/>
        <w:right w:val="none" w:sz="0" w:space="0" w:color="auto"/>
      </w:divBdr>
    </w:div>
    <w:div w:id="1262295402">
      <w:bodyDiv w:val="1"/>
      <w:marLeft w:val="0"/>
      <w:marRight w:val="0"/>
      <w:marTop w:val="0"/>
      <w:marBottom w:val="0"/>
      <w:divBdr>
        <w:top w:val="none" w:sz="0" w:space="0" w:color="auto"/>
        <w:left w:val="none" w:sz="0" w:space="0" w:color="auto"/>
        <w:bottom w:val="none" w:sz="0" w:space="0" w:color="auto"/>
        <w:right w:val="none" w:sz="0" w:space="0" w:color="auto"/>
      </w:divBdr>
    </w:div>
    <w:div w:id="1263145441">
      <w:bodyDiv w:val="1"/>
      <w:marLeft w:val="0"/>
      <w:marRight w:val="0"/>
      <w:marTop w:val="0"/>
      <w:marBottom w:val="0"/>
      <w:divBdr>
        <w:top w:val="none" w:sz="0" w:space="0" w:color="auto"/>
        <w:left w:val="none" w:sz="0" w:space="0" w:color="auto"/>
        <w:bottom w:val="none" w:sz="0" w:space="0" w:color="auto"/>
        <w:right w:val="none" w:sz="0" w:space="0" w:color="auto"/>
      </w:divBdr>
    </w:div>
    <w:div w:id="1268659290">
      <w:bodyDiv w:val="1"/>
      <w:marLeft w:val="0"/>
      <w:marRight w:val="0"/>
      <w:marTop w:val="0"/>
      <w:marBottom w:val="0"/>
      <w:divBdr>
        <w:top w:val="none" w:sz="0" w:space="0" w:color="auto"/>
        <w:left w:val="none" w:sz="0" w:space="0" w:color="auto"/>
        <w:bottom w:val="none" w:sz="0" w:space="0" w:color="auto"/>
        <w:right w:val="none" w:sz="0" w:space="0" w:color="auto"/>
      </w:divBdr>
    </w:div>
    <w:div w:id="1270158236">
      <w:bodyDiv w:val="1"/>
      <w:marLeft w:val="0"/>
      <w:marRight w:val="0"/>
      <w:marTop w:val="0"/>
      <w:marBottom w:val="0"/>
      <w:divBdr>
        <w:top w:val="none" w:sz="0" w:space="0" w:color="auto"/>
        <w:left w:val="none" w:sz="0" w:space="0" w:color="auto"/>
        <w:bottom w:val="none" w:sz="0" w:space="0" w:color="auto"/>
        <w:right w:val="none" w:sz="0" w:space="0" w:color="auto"/>
      </w:divBdr>
    </w:div>
    <w:div w:id="1270770412">
      <w:bodyDiv w:val="1"/>
      <w:marLeft w:val="0"/>
      <w:marRight w:val="0"/>
      <w:marTop w:val="0"/>
      <w:marBottom w:val="0"/>
      <w:divBdr>
        <w:top w:val="none" w:sz="0" w:space="0" w:color="auto"/>
        <w:left w:val="none" w:sz="0" w:space="0" w:color="auto"/>
        <w:bottom w:val="none" w:sz="0" w:space="0" w:color="auto"/>
        <w:right w:val="none" w:sz="0" w:space="0" w:color="auto"/>
      </w:divBdr>
      <w:divsChild>
        <w:div w:id="7277237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3682448">
      <w:bodyDiv w:val="1"/>
      <w:marLeft w:val="0"/>
      <w:marRight w:val="0"/>
      <w:marTop w:val="0"/>
      <w:marBottom w:val="0"/>
      <w:divBdr>
        <w:top w:val="none" w:sz="0" w:space="0" w:color="auto"/>
        <w:left w:val="none" w:sz="0" w:space="0" w:color="auto"/>
        <w:bottom w:val="none" w:sz="0" w:space="0" w:color="auto"/>
        <w:right w:val="none" w:sz="0" w:space="0" w:color="auto"/>
      </w:divBdr>
    </w:div>
    <w:div w:id="1286736121">
      <w:bodyDiv w:val="1"/>
      <w:marLeft w:val="0"/>
      <w:marRight w:val="0"/>
      <w:marTop w:val="0"/>
      <w:marBottom w:val="0"/>
      <w:divBdr>
        <w:top w:val="none" w:sz="0" w:space="0" w:color="auto"/>
        <w:left w:val="none" w:sz="0" w:space="0" w:color="auto"/>
        <w:bottom w:val="none" w:sz="0" w:space="0" w:color="auto"/>
        <w:right w:val="none" w:sz="0" w:space="0" w:color="auto"/>
      </w:divBdr>
    </w:div>
    <w:div w:id="1289555136">
      <w:bodyDiv w:val="1"/>
      <w:marLeft w:val="0"/>
      <w:marRight w:val="0"/>
      <w:marTop w:val="0"/>
      <w:marBottom w:val="0"/>
      <w:divBdr>
        <w:top w:val="none" w:sz="0" w:space="0" w:color="auto"/>
        <w:left w:val="none" w:sz="0" w:space="0" w:color="auto"/>
        <w:bottom w:val="none" w:sz="0" w:space="0" w:color="auto"/>
        <w:right w:val="none" w:sz="0" w:space="0" w:color="auto"/>
      </w:divBdr>
    </w:div>
    <w:div w:id="1292979543">
      <w:bodyDiv w:val="1"/>
      <w:marLeft w:val="0"/>
      <w:marRight w:val="0"/>
      <w:marTop w:val="0"/>
      <w:marBottom w:val="0"/>
      <w:divBdr>
        <w:top w:val="none" w:sz="0" w:space="0" w:color="auto"/>
        <w:left w:val="none" w:sz="0" w:space="0" w:color="auto"/>
        <w:bottom w:val="none" w:sz="0" w:space="0" w:color="auto"/>
        <w:right w:val="none" w:sz="0" w:space="0" w:color="auto"/>
      </w:divBdr>
    </w:div>
    <w:div w:id="1298218618">
      <w:bodyDiv w:val="1"/>
      <w:marLeft w:val="0"/>
      <w:marRight w:val="0"/>
      <w:marTop w:val="0"/>
      <w:marBottom w:val="0"/>
      <w:divBdr>
        <w:top w:val="none" w:sz="0" w:space="0" w:color="auto"/>
        <w:left w:val="none" w:sz="0" w:space="0" w:color="auto"/>
        <w:bottom w:val="none" w:sz="0" w:space="0" w:color="auto"/>
        <w:right w:val="none" w:sz="0" w:space="0" w:color="auto"/>
      </w:divBdr>
    </w:div>
    <w:div w:id="1300963113">
      <w:bodyDiv w:val="1"/>
      <w:marLeft w:val="0"/>
      <w:marRight w:val="0"/>
      <w:marTop w:val="0"/>
      <w:marBottom w:val="0"/>
      <w:divBdr>
        <w:top w:val="none" w:sz="0" w:space="0" w:color="auto"/>
        <w:left w:val="none" w:sz="0" w:space="0" w:color="auto"/>
        <w:bottom w:val="none" w:sz="0" w:space="0" w:color="auto"/>
        <w:right w:val="none" w:sz="0" w:space="0" w:color="auto"/>
      </w:divBdr>
    </w:div>
    <w:div w:id="1308898191">
      <w:bodyDiv w:val="1"/>
      <w:marLeft w:val="0"/>
      <w:marRight w:val="0"/>
      <w:marTop w:val="0"/>
      <w:marBottom w:val="0"/>
      <w:divBdr>
        <w:top w:val="none" w:sz="0" w:space="0" w:color="auto"/>
        <w:left w:val="none" w:sz="0" w:space="0" w:color="auto"/>
        <w:bottom w:val="none" w:sz="0" w:space="0" w:color="auto"/>
        <w:right w:val="none" w:sz="0" w:space="0" w:color="auto"/>
      </w:divBdr>
    </w:div>
    <w:div w:id="1309893463">
      <w:bodyDiv w:val="1"/>
      <w:marLeft w:val="0"/>
      <w:marRight w:val="0"/>
      <w:marTop w:val="0"/>
      <w:marBottom w:val="0"/>
      <w:divBdr>
        <w:top w:val="none" w:sz="0" w:space="0" w:color="auto"/>
        <w:left w:val="none" w:sz="0" w:space="0" w:color="auto"/>
        <w:bottom w:val="none" w:sz="0" w:space="0" w:color="auto"/>
        <w:right w:val="none" w:sz="0" w:space="0" w:color="auto"/>
      </w:divBdr>
    </w:div>
    <w:div w:id="1318150963">
      <w:bodyDiv w:val="1"/>
      <w:marLeft w:val="0"/>
      <w:marRight w:val="0"/>
      <w:marTop w:val="0"/>
      <w:marBottom w:val="0"/>
      <w:divBdr>
        <w:top w:val="none" w:sz="0" w:space="0" w:color="auto"/>
        <w:left w:val="none" w:sz="0" w:space="0" w:color="auto"/>
        <w:bottom w:val="none" w:sz="0" w:space="0" w:color="auto"/>
        <w:right w:val="none" w:sz="0" w:space="0" w:color="auto"/>
      </w:divBdr>
    </w:div>
    <w:div w:id="1318218381">
      <w:bodyDiv w:val="1"/>
      <w:marLeft w:val="0"/>
      <w:marRight w:val="0"/>
      <w:marTop w:val="0"/>
      <w:marBottom w:val="0"/>
      <w:divBdr>
        <w:top w:val="none" w:sz="0" w:space="0" w:color="auto"/>
        <w:left w:val="none" w:sz="0" w:space="0" w:color="auto"/>
        <w:bottom w:val="none" w:sz="0" w:space="0" w:color="auto"/>
        <w:right w:val="none" w:sz="0" w:space="0" w:color="auto"/>
      </w:divBdr>
    </w:div>
    <w:div w:id="1323654541">
      <w:bodyDiv w:val="1"/>
      <w:marLeft w:val="0"/>
      <w:marRight w:val="0"/>
      <w:marTop w:val="0"/>
      <w:marBottom w:val="0"/>
      <w:divBdr>
        <w:top w:val="none" w:sz="0" w:space="0" w:color="auto"/>
        <w:left w:val="none" w:sz="0" w:space="0" w:color="auto"/>
        <w:bottom w:val="none" w:sz="0" w:space="0" w:color="auto"/>
        <w:right w:val="none" w:sz="0" w:space="0" w:color="auto"/>
      </w:divBdr>
      <w:divsChild>
        <w:div w:id="6008392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2029301">
      <w:bodyDiv w:val="1"/>
      <w:marLeft w:val="0"/>
      <w:marRight w:val="0"/>
      <w:marTop w:val="0"/>
      <w:marBottom w:val="0"/>
      <w:divBdr>
        <w:top w:val="none" w:sz="0" w:space="0" w:color="auto"/>
        <w:left w:val="none" w:sz="0" w:space="0" w:color="auto"/>
        <w:bottom w:val="none" w:sz="0" w:space="0" w:color="auto"/>
        <w:right w:val="none" w:sz="0" w:space="0" w:color="auto"/>
      </w:divBdr>
    </w:div>
    <w:div w:id="1335183125">
      <w:bodyDiv w:val="1"/>
      <w:marLeft w:val="0"/>
      <w:marRight w:val="0"/>
      <w:marTop w:val="0"/>
      <w:marBottom w:val="0"/>
      <w:divBdr>
        <w:top w:val="none" w:sz="0" w:space="0" w:color="auto"/>
        <w:left w:val="none" w:sz="0" w:space="0" w:color="auto"/>
        <w:bottom w:val="none" w:sz="0" w:space="0" w:color="auto"/>
        <w:right w:val="none" w:sz="0" w:space="0" w:color="auto"/>
      </w:divBdr>
      <w:divsChild>
        <w:div w:id="14517794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8266103">
      <w:bodyDiv w:val="1"/>
      <w:marLeft w:val="0"/>
      <w:marRight w:val="0"/>
      <w:marTop w:val="0"/>
      <w:marBottom w:val="0"/>
      <w:divBdr>
        <w:top w:val="none" w:sz="0" w:space="0" w:color="auto"/>
        <w:left w:val="none" w:sz="0" w:space="0" w:color="auto"/>
        <w:bottom w:val="none" w:sz="0" w:space="0" w:color="auto"/>
        <w:right w:val="none" w:sz="0" w:space="0" w:color="auto"/>
      </w:divBdr>
    </w:div>
    <w:div w:id="1341737879">
      <w:bodyDiv w:val="1"/>
      <w:marLeft w:val="0"/>
      <w:marRight w:val="0"/>
      <w:marTop w:val="0"/>
      <w:marBottom w:val="0"/>
      <w:divBdr>
        <w:top w:val="none" w:sz="0" w:space="0" w:color="auto"/>
        <w:left w:val="none" w:sz="0" w:space="0" w:color="auto"/>
        <w:bottom w:val="none" w:sz="0" w:space="0" w:color="auto"/>
        <w:right w:val="none" w:sz="0" w:space="0" w:color="auto"/>
      </w:divBdr>
    </w:div>
    <w:div w:id="1347712925">
      <w:bodyDiv w:val="1"/>
      <w:marLeft w:val="0"/>
      <w:marRight w:val="0"/>
      <w:marTop w:val="0"/>
      <w:marBottom w:val="0"/>
      <w:divBdr>
        <w:top w:val="none" w:sz="0" w:space="0" w:color="auto"/>
        <w:left w:val="none" w:sz="0" w:space="0" w:color="auto"/>
        <w:bottom w:val="none" w:sz="0" w:space="0" w:color="auto"/>
        <w:right w:val="none" w:sz="0" w:space="0" w:color="auto"/>
      </w:divBdr>
    </w:div>
    <w:div w:id="1353338627">
      <w:bodyDiv w:val="1"/>
      <w:marLeft w:val="0"/>
      <w:marRight w:val="0"/>
      <w:marTop w:val="0"/>
      <w:marBottom w:val="0"/>
      <w:divBdr>
        <w:top w:val="none" w:sz="0" w:space="0" w:color="auto"/>
        <w:left w:val="none" w:sz="0" w:space="0" w:color="auto"/>
        <w:bottom w:val="none" w:sz="0" w:space="0" w:color="auto"/>
        <w:right w:val="none" w:sz="0" w:space="0" w:color="auto"/>
      </w:divBdr>
    </w:div>
    <w:div w:id="1356805315">
      <w:bodyDiv w:val="1"/>
      <w:marLeft w:val="0"/>
      <w:marRight w:val="0"/>
      <w:marTop w:val="0"/>
      <w:marBottom w:val="0"/>
      <w:divBdr>
        <w:top w:val="none" w:sz="0" w:space="0" w:color="auto"/>
        <w:left w:val="none" w:sz="0" w:space="0" w:color="auto"/>
        <w:bottom w:val="none" w:sz="0" w:space="0" w:color="auto"/>
        <w:right w:val="none" w:sz="0" w:space="0" w:color="auto"/>
      </w:divBdr>
      <w:divsChild>
        <w:div w:id="1632519050">
          <w:blockQuote w:val="1"/>
          <w:marLeft w:val="720"/>
          <w:marRight w:val="720"/>
          <w:marTop w:val="100"/>
          <w:marBottom w:val="100"/>
          <w:divBdr>
            <w:top w:val="none" w:sz="0" w:space="0" w:color="auto"/>
            <w:left w:val="none" w:sz="0" w:space="0" w:color="auto"/>
            <w:bottom w:val="none" w:sz="0" w:space="0" w:color="auto"/>
            <w:right w:val="none" w:sz="0" w:space="0" w:color="auto"/>
          </w:divBdr>
        </w:div>
        <w:div w:id="6115966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3894082">
      <w:bodyDiv w:val="1"/>
      <w:marLeft w:val="0"/>
      <w:marRight w:val="0"/>
      <w:marTop w:val="0"/>
      <w:marBottom w:val="0"/>
      <w:divBdr>
        <w:top w:val="none" w:sz="0" w:space="0" w:color="auto"/>
        <w:left w:val="none" w:sz="0" w:space="0" w:color="auto"/>
        <w:bottom w:val="none" w:sz="0" w:space="0" w:color="auto"/>
        <w:right w:val="none" w:sz="0" w:space="0" w:color="auto"/>
      </w:divBdr>
    </w:div>
    <w:div w:id="1368749540">
      <w:bodyDiv w:val="1"/>
      <w:marLeft w:val="0"/>
      <w:marRight w:val="0"/>
      <w:marTop w:val="0"/>
      <w:marBottom w:val="0"/>
      <w:divBdr>
        <w:top w:val="none" w:sz="0" w:space="0" w:color="auto"/>
        <w:left w:val="none" w:sz="0" w:space="0" w:color="auto"/>
        <w:bottom w:val="none" w:sz="0" w:space="0" w:color="auto"/>
        <w:right w:val="none" w:sz="0" w:space="0" w:color="auto"/>
      </w:divBdr>
    </w:div>
    <w:div w:id="1369600370">
      <w:bodyDiv w:val="1"/>
      <w:marLeft w:val="0"/>
      <w:marRight w:val="0"/>
      <w:marTop w:val="0"/>
      <w:marBottom w:val="0"/>
      <w:divBdr>
        <w:top w:val="none" w:sz="0" w:space="0" w:color="auto"/>
        <w:left w:val="none" w:sz="0" w:space="0" w:color="auto"/>
        <w:bottom w:val="none" w:sz="0" w:space="0" w:color="auto"/>
        <w:right w:val="none" w:sz="0" w:space="0" w:color="auto"/>
      </w:divBdr>
    </w:div>
    <w:div w:id="1370035460">
      <w:bodyDiv w:val="1"/>
      <w:marLeft w:val="0"/>
      <w:marRight w:val="0"/>
      <w:marTop w:val="0"/>
      <w:marBottom w:val="0"/>
      <w:divBdr>
        <w:top w:val="none" w:sz="0" w:space="0" w:color="auto"/>
        <w:left w:val="none" w:sz="0" w:space="0" w:color="auto"/>
        <w:bottom w:val="none" w:sz="0" w:space="0" w:color="auto"/>
        <w:right w:val="none" w:sz="0" w:space="0" w:color="auto"/>
      </w:divBdr>
    </w:div>
    <w:div w:id="1378507221">
      <w:bodyDiv w:val="1"/>
      <w:marLeft w:val="0"/>
      <w:marRight w:val="0"/>
      <w:marTop w:val="0"/>
      <w:marBottom w:val="0"/>
      <w:divBdr>
        <w:top w:val="none" w:sz="0" w:space="0" w:color="auto"/>
        <w:left w:val="none" w:sz="0" w:space="0" w:color="auto"/>
        <w:bottom w:val="none" w:sz="0" w:space="0" w:color="auto"/>
        <w:right w:val="none" w:sz="0" w:space="0" w:color="auto"/>
      </w:divBdr>
    </w:div>
    <w:div w:id="1385175609">
      <w:bodyDiv w:val="1"/>
      <w:marLeft w:val="0"/>
      <w:marRight w:val="0"/>
      <w:marTop w:val="0"/>
      <w:marBottom w:val="0"/>
      <w:divBdr>
        <w:top w:val="none" w:sz="0" w:space="0" w:color="auto"/>
        <w:left w:val="none" w:sz="0" w:space="0" w:color="auto"/>
        <w:bottom w:val="none" w:sz="0" w:space="0" w:color="auto"/>
        <w:right w:val="none" w:sz="0" w:space="0" w:color="auto"/>
      </w:divBdr>
    </w:div>
    <w:div w:id="1385254177">
      <w:bodyDiv w:val="1"/>
      <w:marLeft w:val="0"/>
      <w:marRight w:val="0"/>
      <w:marTop w:val="0"/>
      <w:marBottom w:val="0"/>
      <w:divBdr>
        <w:top w:val="none" w:sz="0" w:space="0" w:color="auto"/>
        <w:left w:val="none" w:sz="0" w:space="0" w:color="auto"/>
        <w:bottom w:val="none" w:sz="0" w:space="0" w:color="auto"/>
        <w:right w:val="none" w:sz="0" w:space="0" w:color="auto"/>
      </w:divBdr>
      <w:divsChild>
        <w:div w:id="18263894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6028521">
      <w:bodyDiv w:val="1"/>
      <w:marLeft w:val="0"/>
      <w:marRight w:val="0"/>
      <w:marTop w:val="0"/>
      <w:marBottom w:val="0"/>
      <w:divBdr>
        <w:top w:val="none" w:sz="0" w:space="0" w:color="auto"/>
        <w:left w:val="none" w:sz="0" w:space="0" w:color="auto"/>
        <w:bottom w:val="none" w:sz="0" w:space="0" w:color="auto"/>
        <w:right w:val="none" w:sz="0" w:space="0" w:color="auto"/>
      </w:divBdr>
      <w:divsChild>
        <w:div w:id="1981114177">
          <w:marLeft w:val="0"/>
          <w:marRight w:val="0"/>
          <w:marTop w:val="0"/>
          <w:marBottom w:val="0"/>
          <w:divBdr>
            <w:top w:val="none" w:sz="0" w:space="0" w:color="auto"/>
            <w:left w:val="none" w:sz="0" w:space="0" w:color="auto"/>
            <w:bottom w:val="none" w:sz="0" w:space="0" w:color="auto"/>
            <w:right w:val="none" w:sz="0" w:space="0" w:color="auto"/>
          </w:divBdr>
        </w:div>
      </w:divsChild>
    </w:div>
    <w:div w:id="1386104642">
      <w:bodyDiv w:val="1"/>
      <w:marLeft w:val="0"/>
      <w:marRight w:val="0"/>
      <w:marTop w:val="0"/>
      <w:marBottom w:val="0"/>
      <w:divBdr>
        <w:top w:val="none" w:sz="0" w:space="0" w:color="auto"/>
        <w:left w:val="none" w:sz="0" w:space="0" w:color="auto"/>
        <w:bottom w:val="none" w:sz="0" w:space="0" w:color="auto"/>
        <w:right w:val="none" w:sz="0" w:space="0" w:color="auto"/>
      </w:divBdr>
    </w:div>
    <w:div w:id="1387026737">
      <w:bodyDiv w:val="1"/>
      <w:marLeft w:val="0"/>
      <w:marRight w:val="0"/>
      <w:marTop w:val="0"/>
      <w:marBottom w:val="0"/>
      <w:divBdr>
        <w:top w:val="none" w:sz="0" w:space="0" w:color="auto"/>
        <w:left w:val="none" w:sz="0" w:space="0" w:color="auto"/>
        <w:bottom w:val="none" w:sz="0" w:space="0" w:color="auto"/>
        <w:right w:val="none" w:sz="0" w:space="0" w:color="auto"/>
      </w:divBdr>
      <w:divsChild>
        <w:div w:id="1817599052">
          <w:blockQuote w:val="1"/>
          <w:marLeft w:val="720"/>
          <w:marRight w:val="720"/>
          <w:marTop w:val="100"/>
          <w:marBottom w:val="100"/>
          <w:divBdr>
            <w:top w:val="none" w:sz="0" w:space="0" w:color="auto"/>
            <w:left w:val="none" w:sz="0" w:space="0" w:color="auto"/>
            <w:bottom w:val="none" w:sz="0" w:space="0" w:color="auto"/>
            <w:right w:val="none" w:sz="0" w:space="0" w:color="auto"/>
          </w:divBdr>
        </w:div>
        <w:div w:id="18117455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8338233">
      <w:bodyDiv w:val="1"/>
      <w:marLeft w:val="0"/>
      <w:marRight w:val="0"/>
      <w:marTop w:val="0"/>
      <w:marBottom w:val="0"/>
      <w:divBdr>
        <w:top w:val="none" w:sz="0" w:space="0" w:color="auto"/>
        <w:left w:val="none" w:sz="0" w:space="0" w:color="auto"/>
        <w:bottom w:val="none" w:sz="0" w:space="0" w:color="auto"/>
        <w:right w:val="none" w:sz="0" w:space="0" w:color="auto"/>
      </w:divBdr>
      <w:divsChild>
        <w:div w:id="6072719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2654339">
      <w:bodyDiv w:val="1"/>
      <w:marLeft w:val="0"/>
      <w:marRight w:val="0"/>
      <w:marTop w:val="0"/>
      <w:marBottom w:val="0"/>
      <w:divBdr>
        <w:top w:val="none" w:sz="0" w:space="0" w:color="auto"/>
        <w:left w:val="none" w:sz="0" w:space="0" w:color="auto"/>
        <w:bottom w:val="none" w:sz="0" w:space="0" w:color="auto"/>
        <w:right w:val="none" w:sz="0" w:space="0" w:color="auto"/>
      </w:divBdr>
    </w:div>
    <w:div w:id="1399481114">
      <w:bodyDiv w:val="1"/>
      <w:marLeft w:val="0"/>
      <w:marRight w:val="0"/>
      <w:marTop w:val="0"/>
      <w:marBottom w:val="0"/>
      <w:divBdr>
        <w:top w:val="none" w:sz="0" w:space="0" w:color="auto"/>
        <w:left w:val="none" w:sz="0" w:space="0" w:color="auto"/>
        <w:bottom w:val="none" w:sz="0" w:space="0" w:color="auto"/>
        <w:right w:val="none" w:sz="0" w:space="0" w:color="auto"/>
      </w:divBdr>
    </w:div>
    <w:div w:id="1400056341">
      <w:bodyDiv w:val="1"/>
      <w:marLeft w:val="0"/>
      <w:marRight w:val="0"/>
      <w:marTop w:val="0"/>
      <w:marBottom w:val="0"/>
      <w:divBdr>
        <w:top w:val="none" w:sz="0" w:space="0" w:color="auto"/>
        <w:left w:val="none" w:sz="0" w:space="0" w:color="auto"/>
        <w:bottom w:val="none" w:sz="0" w:space="0" w:color="auto"/>
        <w:right w:val="none" w:sz="0" w:space="0" w:color="auto"/>
      </w:divBdr>
    </w:div>
    <w:div w:id="1400905306">
      <w:bodyDiv w:val="1"/>
      <w:marLeft w:val="0"/>
      <w:marRight w:val="0"/>
      <w:marTop w:val="0"/>
      <w:marBottom w:val="0"/>
      <w:divBdr>
        <w:top w:val="none" w:sz="0" w:space="0" w:color="auto"/>
        <w:left w:val="none" w:sz="0" w:space="0" w:color="auto"/>
        <w:bottom w:val="none" w:sz="0" w:space="0" w:color="auto"/>
        <w:right w:val="none" w:sz="0" w:space="0" w:color="auto"/>
      </w:divBdr>
    </w:div>
    <w:div w:id="1402172278">
      <w:bodyDiv w:val="1"/>
      <w:marLeft w:val="0"/>
      <w:marRight w:val="0"/>
      <w:marTop w:val="0"/>
      <w:marBottom w:val="0"/>
      <w:divBdr>
        <w:top w:val="none" w:sz="0" w:space="0" w:color="auto"/>
        <w:left w:val="none" w:sz="0" w:space="0" w:color="auto"/>
        <w:bottom w:val="none" w:sz="0" w:space="0" w:color="auto"/>
        <w:right w:val="none" w:sz="0" w:space="0" w:color="auto"/>
      </w:divBdr>
      <w:divsChild>
        <w:div w:id="699205244">
          <w:blockQuote w:val="1"/>
          <w:marLeft w:val="720"/>
          <w:marRight w:val="720"/>
          <w:marTop w:val="100"/>
          <w:marBottom w:val="100"/>
          <w:divBdr>
            <w:top w:val="none" w:sz="0" w:space="0" w:color="auto"/>
            <w:left w:val="none" w:sz="0" w:space="0" w:color="auto"/>
            <w:bottom w:val="none" w:sz="0" w:space="0" w:color="auto"/>
            <w:right w:val="none" w:sz="0" w:space="0" w:color="auto"/>
          </w:divBdr>
        </w:div>
        <w:div w:id="1540438078">
          <w:blockQuote w:val="1"/>
          <w:marLeft w:val="720"/>
          <w:marRight w:val="720"/>
          <w:marTop w:val="100"/>
          <w:marBottom w:val="100"/>
          <w:divBdr>
            <w:top w:val="none" w:sz="0" w:space="0" w:color="auto"/>
            <w:left w:val="none" w:sz="0" w:space="0" w:color="auto"/>
            <w:bottom w:val="none" w:sz="0" w:space="0" w:color="auto"/>
            <w:right w:val="none" w:sz="0" w:space="0" w:color="auto"/>
          </w:divBdr>
        </w:div>
        <w:div w:id="1118447090">
          <w:blockQuote w:val="1"/>
          <w:marLeft w:val="720"/>
          <w:marRight w:val="720"/>
          <w:marTop w:val="100"/>
          <w:marBottom w:val="100"/>
          <w:divBdr>
            <w:top w:val="none" w:sz="0" w:space="0" w:color="auto"/>
            <w:left w:val="none" w:sz="0" w:space="0" w:color="auto"/>
            <w:bottom w:val="none" w:sz="0" w:space="0" w:color="auto"/>
            <w:right w:val="none" w:sz="0" w:space="0" w:color="auto"/>
          </w:divBdr>
        </w:div>
        <w:div w:id="1084182456">
          <w:blockQuote w:val="1"/>
          <w:marLeft w:val="720"/>
          <w:marRight w:val="720"/>
          <w:marTop w:val="100"/>
          <w:marBottom w:val="100"/>
          <w:divBdr>
            <w:top w:val="none" w:sz="0" w:space="0" w:color="auto"/>
            <w:left w:val="none" w:sz="0" w:space="0" w:color="auto"/>
            <w:bottom w:val="none" w:sz="0" w:space="0" w:color="auto"/>
            <w:right w:val="none" w:sz="0" w:space="0" w:color="auto"/>
          </w:divBdr>
        </w:div>
        <w:div w:id="2006544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7003981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4066490">
      <w:bodyDiv w:val="1"/>
      <w:marLeft w:val="0"/>
      <w:marRight w:val="0"/>
      <w:marTop w:val="0"/>
      <w:marBottom w:val="0"/>
      <w:divBdr>
        <w:top w:val="none" w:sz="0" w:space="0" w:color="auto"/>
        <w:left w:val="none" w:sz="0" w:space="0" w:color="auto"/>
        <w:bottom w:val="none" w:sz="0" w:space="0" w:color="auto"/>
        <w:right w:val="none" w:sz="0" w:space="0" w:color="auto"/>
      </w:divBdr>
    </w:div>
    <w:div w:id="1410232549">
      <w:bodyDiv w:val="1"/>
      <w:marLeft w:val="0"/>
      <w:marRight w:val="0"/>
      <w:marTop w:val="0"/>
      <w:marBottom w:val="0"/>
      <w:divBdr>
        <w:top w:val="none" w:sz="0" w:space="0" w:color="auto"/>
        <w:left w:val="none" w:sz="0" w:space="0" w:color="auto"/>
        <w:bottom w:val="none" w:sz="0" w:space="0" w:color="auto"/>
        <w:right w:val="none" w:sz="0" w:space="0" w:color="auto"/>
      </w:divBdr>
    </w:div>
    <w:div w:id="1416123307">
      <w:bodyDiv w:val="1"/>
      <w:marLeft w:val="0"/>
      <w:marRight w:val="0"/>
      <w:marTop w:val="0"/>
      <w:marBottom w:val="0"/>
      <w:divBdr>
        <w:top w:val="none" w:sz="0" w:space="0" w:color="auto"/>
        <w:left w:val="none" w:sz="0" w:space="0" w:color="auto"/>
        <w:bottom w:val="none" w:sz="0" w:space="0" w:color="auto"/>
        <w:right w:val="none" w:sz="0" w:space="0" w:color="auto"/>
      </w:divBdr>
    </w:div>
    <w:div w:id="1421681500">
      <w:bodyDiv w:val="1"/>
      <w:marLeft w:val="0"/>
      <w:marRight w:val="0"/>
      <w:marTop w:val="0"/>
      <w:marBottom w:val="0"/>
      <w:divBdr>
        <w:top w:val="none" w:sz="0" w:space="0" w:color="auto"/>
        <w:left w:val="none" w:sz="0" w:space="0" w:color="auto"/>
        <w:bottom w:val="none" w:sz="0" w:space="0" w:color="auto"/>
        <w:right w:val="none" w:sz="0" w:space="0" w:color="auto"/>
      </w:divBdr>
    </w:div>
    <w:div w:id="1421947770">
      <w:bodyDiv w:val="1"/>
      <w:marLeft w:val="0"/>
      <w:marRight w:val="0"/>
      <w:marTop w:val="0"/>
      <w:marBottom w:val="0"/>
      <w:divBdr>
        <w:top w:val="none" w:sz="0" w:space="0" w:color="auto"/>
        <w:left w:val="none" w:sz="0" w:space="0" w:color="auto"/>
        <w:bottom w:val="none" w:sz="0" w:space="0" w:color="auto"/>
        <w:right w:val="none" w:sz="0" w:space="0" w:color="auto"/>
      </w:divBdr>
    </w:div>
    <w:div w:id="1423791841">
      <w:bodyDiv w:val="1"/>
      <w:marLeft w:val="0"/>
      <w:marRight w:val="0"/>
      <w:marTop w:val="0"/>
      <w:marBottom w:val="0"/>
      <w:divBdr>
        <w:top w:val="none" w:sz="0" w:space="0" w:color="auto"/>
        <w:left w:val="none" w:sz="0" w:space="0" w:color="auto"/>
        <w:bottom w:val="none" w:sz="0" w:space="0" w:color="auto"/>
        <w:right w:val="none" w:sz="0" w:space="0" w:color="auto"/>
      </w:divBdr>
    </w:div>
    <w:div w:id="1435132062">
      <w:bodyDiv w:val="1"/>
      <w:marLeft w:val="0"/>
      <w:marRight w:val="0"/>
      <w:marTop w:val="0"/>
      <w:marBottom w:val="0"/>
      <w:divBdr>
        <w:top w:val="none" w:sz="0" w:space="0" w:color="auto"/>
        <w:left w:val="none" w:sz="0" w:space="0" w:color="auto"/>
        <w:bottom w:val="none" w:sz="0" w:space="0" w:color="auto"/>
        <w:right w:val="none" w:sz="0" w:space="0" w:color="auto"/>
      </w:divBdr>
    </w:div>
    <w:div w:id="1437478850">
      <w:bodyDiv w:val="1"/>
      <w:marLeft w:val="0"/>
      <w:marRight w:val="0"/>
      <w:marTop w:val="0"/>
      <w:marBottom w:val="0"/>
      <w:divBdr>
        <w:top w:val="none" w:sz="0" w:space="0" w:color="auto"/>
        <w:left w:val="none" w:sz="0" w:space="0" w:color="auto"/>
        <w:bottom w:val="none" w:sz="0" w:space="0" w:color="auto"/>
        <w:right w:val="none" w:sz="0" w:space="0" w:color="auto"/>
      </w:divBdr>
    </w:div>
    <w:div w:id="1443450405">
      <w:bodyDiv w:val="1"/>
      <w:marLeft w:val="0"/>
      <w:marRight w:val="0"/>
      <w:marTop w:val="0"/>
      <w:marBottom w:val="0"/>
      <w:divBdr>
        <w:top w:val="none" w:sz="0" w:space="0" w:color="auto"/>
        <w:left w:val="none" w:sz="0" w:space="0" w:color="auto"/>
        <w:bottom w:val="none" w:sz="0" w:space="0" w:color="auto"/>
        <w:right w:val="none" w:sz="0" w:space="0" w:color="auto"/>
      </w:divBdr>
      <w:divsChild>
        <w:div w:id="171654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3496118">
      <w:bodyDiv w:val="1"/>
      <w:marLeft w:val="0"/>
      <w:marRight w:val="0"/>
      <w:marTop w:val="0"/>
      <w:marBottom w:val="0"/>
      <w:divBdr>
        <w:top w:val="none" w:sz="0" w:space="0" w:color="auto"/>
        <w:left w:val="none" w:sz="0" w:space="0" w:color="auto"/>
        <w:bottom w:val="none" w:sz="0" w:space="0" w:color="auto"/>
        <w:right w:val="none" w:sz="0" w:space="0" w:color="auto"/>
      </w:divBdr>
    </w:div>
    <w:div w:id="1451628633">
      <w:bodyDiv w:val="1"/>
      <w:marLeft w:val="0"/>
      <w:marRight w:val="0"/>
      <w:marTop w:val="0"/>
      <w:marBottom w:val="0"/>
      <w:divBdr>
        <w:top w:val="none" w:sz="0" w:space="0" w:color="auto"/>
        <w:left w:val="none" w:sz="0" w:space="0" w:color="auto"/>
        <w:bottom w:val="none" w:sz="0" w:space="0" w:color="auto"/>
        <w:right w:val="none" w:sz="0" w:space="0" w:color="auto"/>
      </w:divBdr>
    </w:div>
    <w:div w:id="1460102211">
      <w:bodyDiv w:val="1"/>
      <w:marLeft w:val="0"/>
      <w:marRight w:val="0"/>
      <w:marTop w:val="0"/>
      <w:marBottom w:val="0"/>
      <w:divBdr>
        <w:top w:val="none" w:sz="0" w:space="0" w:color="auto"/>
        <w:left w:val="none" w:sz="0" w:space="0" w:color="auto"/>
        <w:bottom w:val="none" w:sz="0" w:space="0" w:color="auto"/>
        <w:right w:val="none" w:sz="0" w:space="0" w:color="auto"/>
      </w:divBdr>
    </w:div>
    <w:div w:id="1473521193">
      <w:bodyDiv w:val="1"/>
      <w:marLeft w:val="0"/>
      <w:marRight w:val="0"/>
      <w:marTop w:val="0"/>
      <w:marBottom w:val="0"/>
      <w:divBdr>
        <w:top w:val="none" w:sz="0" w:space="0" w:color="auto"/>
        <w:left w:val="none" w:sz="0" w:space="0" w:color="auto"/>
        <w:bottom w:val="none" w:sz="0" w:space="0" w:color="auto"/>
        <w:right w:val="none" w:sz="0" w:space="0" w:color="auto"/>
      </w:divBdr>
    </w:div>
    <w:div w:id="1476799070">
      <w:bodyDiv w:val="1"/>
      <w:marLeft w:val="0"/>
      <w:marRight w:val="0"/>
      <w:marTop w:val="0"/>
      <w:marBottom w:val="0"/>
      <w:divBdr>
        <w:top w:val="none" w:sz="0" w:space="0" w:color="auto"/>
        <w:left w:val="none" w:sz="0" w:space="0" w:color="auto"/>
        <w:bottom w:val="none" w:sz="0" w:space="0" w:color="auto"/>
        <w:right w:val="none" w:sz="0" w:space="0" w:color="auto"/>
      </w:divBdr>
    </w:div>
    <w:div w:id="1478255064">
      <w:bodyDiv w:val="1"/>
      <w:marLeft w:val="0"/>
      <w:marRight w:val="0"/>
      <w:marTop w:val="0"/>
      <w:marBottom w:val="0"/>
      <w:divBdr>
        <w:top w:val="none" w:sz="0" w:space="0" w:color="auto"/>
        <w:left w:val="none" w:sz="0" w:space="0" w:color="auto"/>
        <w:bottom w:val="none" w:sz="0" w:space="0" w:color="auto"/>
        <w:right w:val="none" w:sz="0" w:space="0" w:color="auto"/>
      </w:divBdr>
      <w:divsChild>
        <w:div w:id="436484746">
          <w:marLeft w:val="0"/>
          <w:marRight w:val="0"/>
          <w:marTop w:val="0"/>
          <w:marBottom w:val="0"/>
          <w:divBdr>
            <w:top w:val="none" w:sz="0" w:space="0" w:color="auto"/>
            <w:left w:val="none" w:sz="0" w:space="0" w:color="auto"/>
            <w:bottom w:val="none" w:sz="0" w:space="0" w:color="auto"/>
            <w:right w:val="none" w:sz="0" w:space="0" w:color="auto"/>
          </w:divBdr>
        </w:div>
      </w:divsChild>
    </w:div>
    <w:div w:id="1481575401">
      <w:bodyDiv w:val="1"/>
      <w:marLeft w:val="0"/>
      <w:marRight w:val="0"/>
      <w:marTop w:val="0"/>
      <w:marBottom w:val="0"/>
      <w:divBdr>
        <w:top w:val="none" w:sz="0" w:space="0" w:color="auto"/>
        <w:left w:val="none" w:sz="0" w:space="0" w:color="auto"/>
        <w:bottom w:val="none" w:sz="0" w:space="0" w:color="auto"/>
        <w:right w:val="none" w:sz="0" w:space="0" w:color="auto"/>
      </w:divBdr>
      <w:divsChild>
        <w:div w:id="7037534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4158459">
      <w:bodyDiv w:val="1"/>
      <w:marLeft w:val="0"/>
      <w:marRight w:val="0"/>
      <w:marTop w:val="0"/>
      <w:marBottom w:val="0"/>
      <w:divBdr>
        <w:top w:val="none" w:sz="0" w:space="0" w:color="auto"/>
        <w:left w:val="none" w:sz="0" w:space="0" w:color="auto"/>
        <w:bottom w:val="none" w:sz="0" w:space="0" w:color="auto"/>
        <w:right w:val="none" w:sz="0" w:space="0" w:color="auto"/>
      </w:divBdr>
      <w:divsChild>
        <w:div w:id="1598248072">
          <w:blockQuote w:val="1"/>
          <w:marLeft w:val="720"/>
          <w:marRight w:val="720"/>
          <w:marTop w:val="100"/>
          <w:marBottom w:val="100"/>
          <w:divBdr>
            <w:top w:val="none" w:sz="0" w:space="0" w:color="auto"/>
            <w:left w:val="none" w:sz="0" w:space="0" w:color="auto"/>
            <w:bottom w:val="none" w:sz="0" w:space="0" w:color="auto"/>
            <w:right w:val="none" w:sz="0" w:space="0" w:color="auto"/>
          </w:divBdr>
        </w:div>
        <w:div w:id="27537303">
          <w:blockQuote w:val="1"/>
          <w:marLeft w:val="720"/>
          <w:marRight w:val="720"/>
          <w:marTop w:val="100"/>
          <w:marBottom w:val="100"/>
          <w:divBdr>
            <w:top w:val="none" w:sz="0" w:space="0" w:color="auto"/>
            <w:left w:val="none" w:sz="0" w:space="0" w:color="auto"/>
            <w:bottom w:val="none" w:sz="0" w:space="0" w:color="auto"/>
            <w:right w:val="none" w:sz="0" w:space="0" w:color="auto"/>
          </w:divBdr>
        </w:div>
        <w:div w:id="1496459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6311476">
      <w:bodyDiv w:val="1"/>
      <w:marLeft w:val="0"/>
      <w:marRight w:val="0"/>
      <w:marTop w:val="0"/>
      <w:marBottom w:val="0"/>
      <w:divBdr>
        <w:top w:val="none" w:sz="0" w:space="0" w:color="auto"/>
        <w:left w:val="none" w:sz="0" w:space="0" w:color="auto"/>
        <w:bottom w:val="none" w:sz="0" w:space="0" w:color="auto"/>
        <w:right w:val="none" w:sz="0" w:space="0" w:color="auto"/>
      </w:divBdr>
    </w:div>
    <w:div w:id="1490638729">
      <w:bodyDiv w:val="1"/>
      <w:marLeft w:val="0"/>
      <w:marRight w:val="0"/>
      <w:marTop w:val="0"/>
      <w:marBottom w:val="0"/>
      <w:divBdr>
        <w:top w:val="none" w:sz="0" w:space="0" w:color="auto"/>
        <w:left w:val="none" w:sz="0" w:space="0" w:color="auto"/>
        <w:bottom w:val="none" w:sz="0" w:space="0" w:color="auto"/>
        <w:right w:val="none" w:sz="0" w:space="0" w:color="auto"/>
      </w:divBdr>
    </w:div>
    <w:div w:id="1495951991">
      <w:bodyDiv w:val="1"/>
      <w:marLeft w:val="0"/>
      <w:marRight w:val="0"/>
      <w:marTop w:val="0"/>
      <w:marBottom w:val="0"/>
      <w:divBdr>
        <w:top w:val="none" w:sz="0" w:space="0" w:color="auto"/>
        <w:left w:val="none" w:sz="0" w:space="0" w:color="auto"/>
        <w:bottom w:val="none" w:sz="0" w:space="0" w:color="auto"/>
        <w:right w:val="none" w:sz="0" w:space="0" w:color="auto"/>
      </w:divBdr>
      <w:divsChild>
        <w:div w:id="1574123108">
          <w:blockQuote w:val="1"/>
          <w:marLeft w:val="720"/>
          <w:marRight w:val="720"/>
          <w:marTop w:val="100"/>
          <w:marBottom w:val="100"/>
          <w:divBdr>
            <w:top w:val="none" w:sz="0" w:space="0" w:color="auto"/>
            <w:left w:val="none" w:sz="0" w:space="0" w:color="auto"/>
            <w:bottom w:val="none" w:sz="0" w:space="0" w:color="auto"/>
            <w:right w:val="none" w:sz="0" w:space="0" w:color="auto"/>
          </w:divBdr>
        </w:div>
        <w:div w:id="882257761">
          <w:blockQuote w:val="1"/>
          <w:marLeft w:val="720"/>
          <w:marRight w:val="720"/>
          <w:marTop w:val="100"/>
          <w:marBottom w:val="100"/>
          <w:divBdr>
            <w:top w:val="none" w:sz="0" w:space="0" w:color="auto"/>
            <w:left w:val="none" w:sz="0" w:space="0" w:color="auto"/>
            <w:bottom w:val="none" w:sz="0" w:space="0" w:color="auto"/>
            <w:right w:val="none" w:sz="0" w:space="0" w:color="auto"/>
          </w:divBdr>
        </w:div>
        <w:div w:id="810293810">
          <w:blockQuote w:val="1"/>
          <w:marLeft w:val="720"/>
          <w:marRight w:val="720"/>
          <w:marTop w:val="100"/>
          <w:marBottom w:val="100"/>
          <w:divBdr>
            <w:top w:val="none" w:sz="0" w:space="0" w:color="auto"/>
            <w:left w:val="none" w:sz="0" w:space="0" w:color="auto"/>
            <w:bottom w:val="none" w:sz="0" w:space="0" w:color="auto"/>
            <w:right w:val="none" w:sz="0" w:space="0" w:color="auto"/>
          </w:divBdr>
        </w:div>
        <w:div w:id="307710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6146508">
      <w:bodyDiv w:val="1"/>
      <w:marLeft w:val="0"/>
      <w:marRight w:val="0"/>
      <w:marTop w:val="0"/>
      <w:marBottom w:val="0"/>
      <w:divBdr>
        <w:top w:val="none" w:sz="0" w:space="0" w:color="auto"/>
        <w:left w:val="none" w:sz="0" w:space="0" w:color="auto"/>
        <w:bottom w:val="none" w:sz="0" w:space="0" w:color="auto"/>
        <w:right w:val="none" w:sz="0" w:space="0" w:color="auto"/>
      </w:divBdr>
    </w:div>
    <w:div w:id="1500854047">
      <w:bodyDiv w:val="1"/>
      <w:marLeft w:val="0"/>
      <w:marRight w:val="0"/>
      <w:marTop w:val="0"/>
      <w:marBottom w:val="0"/>
      <w:divBdr>
        <w:top w:val="none" w:sz="0" w:space="0" w:color="auto"/>
        <w:left w:val="none" w:sz="0" w:space="0" w:color="auto"/>
        <w:bottom w:val="none" w:sz="0" w:space="0" w:color="auto"/>
        <w:right w:val="none" w:sz="0" w:space="0" w:color="auto"/>
      </w:divBdr>
    </w:div>
    <w:div w:id="1506283260">
      <w:bodyDiv w:val="1"/>
      <w:marLeft w:val="0"/>
      <w:marRight w:val="0"/>
      <w:marTop w:val="0"/>
      <w:marBottom w:val="0"/>
      <w:divBdr>
        <w:top w:val="none" w:sz="0" w:space="0" w:color="auto"/>
        <w:left w:val="none" w:sz="0" w:space="0" w:color="auto"/>
        <w:bottom w:val="none" w:sz="0" w:space="0" w:color="auto"/>
        <w:right w:val="none" w:sz="0" w:space="0" w:color="auto"/>
      </w:divBdr>
    </w:div>
    <w:div w:id="1506629194">
      <w:bodyDiv w:val="1"/>
      <w:marLeft w:val="0"/>
      <w:marRight w:val="0"/>
      <w:marTop w:val="0"/>
      <w:marBottom w:val="0"/>
      <w:divBdr>
        <w:top w:val="none" w:sz="0" w:space="0" w:color="auto"/>
        <w:left w:val="none" w:sz="0" w:space="0" w:color="auto"/>
        <w:bottom w:val="none" w:sz="0" w:space="0" w:color="auto"/>
        <w:right w:val="none" w:sz="0" w:space="0" w:color="auto"/>
      </w:divBdr>
    </w:div>
    <w:div w:id="1516574023">
      <w:bodyDiv w:val="1"/>
      <w:marLeft w:val="0"/>
      <w:marRight w:val="0"/>
      <w:marTop w:val="0"/>
      <w:marBottom w:val="0"/>
      <w:divBdr>
        <w:top w:val="none" w:sz="0" w:space="0" w:color="auto"/>
        <w:left w:val="none" w:sz="0" w:space="0" w:color="auto"/>
        <w:bottom w:val="none" w:sz="0" w:space="0" w:color="auto"/>
        <w:right w:val="none" w:sz="0" w:space="0" w:color="auto"/>
      </w:divBdr>
    </w:div>
    <w:div w:id="1520122521">
      <w:bodyDiv w:val="1"/>
      <w:marLeft w:val="0"/>
      <w:marRight w:val="0"/>
      <w:marTop w:val="0"/>
      <w:marBottom w:val="0"/>
      <w:divBdr>
        <w:top w:val="none" w:sz="0" w:space="0" w:color="auto"/>
        <w:left w:val="none" w:sz="0" w:space="0" w:color="auto"/>
        <w:bottom w:val="none" w:sz="0" w:space="0" w:color="auto"/>
        <w:right w:val="none" w:sz="0" w:space="0" w:color="auto"/>
      </w:divBdr>
    </w:div>
    <w:div w:id="1520507930">
      <w:bodyDiv w:val="1"/>
      <w:marLeft w:val="0"/>
      <w:marRight w:val="0"/>
      <w:marTop w:val="0"/>
      <w:marBottom w:val="0"/>
      <w:divBdr>
        <w:top w:val="none" w:sz="0" w:space="0" w:color="auto"/>
        <w:left w:val="none" w:sz="0" w:space="0" w:color="auto"/>
        <w:bottom w:val="none" w:sz="0" w:space="0" w:color="auto"/>
        <w:right w:val="none" w:sz="0" w:space="0" w:color="auto"/>
      </w:divBdr>
    </w:div>
    <w:div w:id="1520771953">
      <w:bodyDiv w:val="1"/>
      <w:marLeft w:val="0"/>
      <w:marRight w:val="0"/>
      <w:marTop w:val="0"/>
      <w:marBottom w:val="0"/>
      <w:divBdr>
        <w:top w:val="none" w:sz="0" w:space="0" w:color="auto"/>
        <w:left w:val="none" w:sz="0" w:space="0" w:color="auto"/>
        <w:bottom w:val="none" w:sz="0" w:space="0" w:color="auto"/>
        <w:right w:val="none" w:sz="0" w:space="0" w:color="auto"/>
      </w:divBdr>
      <w:divsChild>
        <w:div w:id="1876653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5168292">
      <w:bodyDiv w:val="1"/>
      <w:marLeft w:val="0"/>
      <w:marRight w:val="0"/>
      <w:marTop w:val="0"/>
      <w:marBottom w:val="0"/>
      <w:divBdr>
        <w:top w:val="none" w:sz="0" w:space="0" w:color="auto"/>
        <w:left w:val="none" w:sz="0" w:space="0" w:color="auto"/>
        <w:bottom w:val="none" w:sz="0" w:space="0" w:color="auto"/>
        <w:right w:val="none" w:sz="0" w:space="0" w:color="auto"/>
      </w:divBdr>
    </w:div>
    <w:div w:id="1526097837">
      <w:bodyDiv w:val="1"/>
      <w:marLeft w:val="0"/>
      <w:marRight w:val="0"/>
      <w:marTop w:val="0"/>
      <w:marBottom w:val="0"/>
      <w:divBdr>
        <w:top w:val="none" w:sz="0" w:space="0" w:color="auto"/>
        <w:left w:val="none" w:sz="0" w:space="0" w:color="auto"/>
        <w:bottom w:val="none" w:sz="0" w:space="0" w:color="auto"/>
        <w:right w:val="none" w:sz="0" w:space="0" w:color="auto"/>
      </w:divBdr>
    </w:div>
    <w:div w:id="1528448026">
      <w:bodyDiv w:val="1"/>
      <w:marLeft w:val="0"/>
      <w:marRight w:val="0"/>
      <w:marTop w:val="0"/>
      <w:marBottom w:val="0"/>
      <w:divBdr>
        <w:top w:val="none" w:sz="0" w:space="0" w:color="auto"/>
        <w:left w:val="none" w:sz="0" w:space="0" w:color="auto"/>
        <w:bottom w:val="none" w:sz="0" w:space="0" w:color="auto"/>
        <w:right w:val="none" w:sz="0" w:space="0" w:color="auto"/>
      </w:divBdr>
      <w:divsChild>
        <w:div w:id="319621096">
          <w:blockQuote w:val="1"/>
          <w:marLeft w:val="720"/>
          <w:marRight w:val="720"/>
          <w:marTop w:val="100"/>
          <w:marBottom w:val="100"/>
          <w:divBdr>
            <w:top w:val="none" w:sz="0" w:space="0" w:color="auto"/>
            <w:left w:val="none" w:sz="0" w:space="0" w:color="auto"/>
            <w:bottom w:val="none" w:sz="0" w:space="0" w:color="auto"/>
            <w:right w:val="none" w:sz="0" w:space="0" w:color="auto"/>
          </w:divBdr>
        </w:div>
        <w:div w:id="1727026088">
          <w:blockQuote w:val="1"/>
          <w:marLeft w:val="720"/>
          <w:marRight w:val="720"/>
          <w:marTop w:val="100"/>
          <w:marBottom w:val="100"/>
          <w:divBdr>
            <w:top w:val="none" w:sz="0" w:space="0" w:color="auto"/>
            <w:left w:val="none" w:sz="0" w:space="0" w:color="auto"/>
            <w:bottom w:val="none" w:sz="0" w:space="0" w:color="auto"/>
            <w:right w:val="none" w:sz="0" w:space="0" w:color="auto"/>
          </w:divBdr>
        </w:div>
        <w:div w:id="2065979180">
          <w:blockQuote w:val="1"/>
          <w:marLeft w:val="720"/>
          <w:marRight w:val="720"/>
          <w:marTop w:val="100"/>
          <w:marBottom w:val="100"/>
          <w:divBdr>
            <w:top w:val="none" w:sz="0" w:space="0" w:color="auto"/>
            <w:left w:val="none" w:sz="0" w:space="0" w:color="auto"/>
            <w:bottom w:val="none" w:sz="0" w:space="0" w:color="auto"/>
            <w:right w:val="none" w:sz="0" w:space="0" w:color="auto"/>
          </w:divBdr>
        </w:div>
        <w:div w:id="1655839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1452559">
      <w:bodyDiv w:val="1"/>
      <w:marLeft w:val="0"/>
      <w:marRight w:val="0"/>
      <w:marTop w:val="0"/>
      <w:marBottom w:val="0"/>
      <w:divBdr>
        <w:top w:val="none" w:sz="0" w:space="0" w:color="auto"/>
        <w:left w:val="none" w:sz="0" w:space="0" w:color="auto"/>
        <w:bottom w:val="none" w:sz="0" w:space="0" w:color="auto"/>
        <w:right w:val="none" w:sz="0" w:space="0" w:color="auto"/>
      </w:divBdr>
      <w:divsChild>
        <w:div w:id="1257396243">
          <w:marLeft w:val="0"/>
          <w:marRight w:val="0"/>
          <w:marTop w:val="0"/>
          <w:marBottom w:val="0"/>
          <w:divBdr>
            <w:top w:val="single" w:sz="2" w:space="0" w:color="auto"/>
            <w:left w:val="single" w:sz="2" w:space="0" w:color="auto"/>
            <w:bottom w:val="single" w:sz="2" w:space="0" w:color="auto"/>
            <w:right w:val="single" w:sz="2" w:space="0" w:color="auto"/>
          </w:divBdr>
          <w:divsChild>
            <w:div w:id="1525942188">
              <w:marLeft w:val="0"/>
              <w:marRight w:val="0"/>
              <w:marTop w:val="0"/>
              <w:marBottom w:val="0"/>
              <w:divBdr>
                <w:top w:val="single" w:sz="2" w:space="0" w:color="auto"/>
                <w:left w:val="single" w:sz="2" w:space="0" w:color="auto"/>
                <w:bottom w:val="single" w:sz="2" w:space="0" w:color="auto"/>
                <w:right w:val="single" w:sz="2" w:space="0" w:color="auto"/>
              </w:divBdr>
            </w:div>
          </w:divsChild>
        </w:div>
        <w:div w:id="758059091">
          <w:marLeft w:val="0"/>
          <w:marRight w:val="0"/>
          <w:marTop w:val="0"/>
          <w:marBottom w:val="0"/>
          <w:divBdr>
            <w:top w:val="single" w:sz="2" w:space="0" w:color="auto"/>
            <w:left w:val="single" w:sz="2" w:space="0" w:color="auto"/>
            <w:bottom w:val="single" w:sz="2" w:space="0" w:color="auto"/>
            <w:right w:val="single" w:sz="2" w:space="0" w:color="auto"/>
          </w:divBdr>
          <w:divsChild>
            <w:div w:id="587269315">
              <w:marLeft w:val="0"/>
              <w:marRight w:val="0"/>
              <w:marTop w:val="0"/>
              <w:marBottom w:val="0"/>
              <w:divBdr>
                <w:top w:val="single" w:sz="2" w:space="0" w:color="auto"/>
                <w:left w:val="single" w:sz="2" w:space="0" w:color="auto"/>
                <w:bottom w:val="single" w:sz="2" w:space="0" w:color="auto"/>
                <w:right w:val="single" w:sz="2" w:space="0" w:color="auto"/>
              </w:divBdr>
              <w:divsChild>
                <w:div w:id="355161522">
                  <w:marLeft w:val="0"/>
                  <w:marRight w:val="0"/>
                  <w:marTop w:val="0"/>
                  <w:marBottom w:val="0"/>
                  <w:divBdr>
                    <w:top w:val="single" w:sz="2" w:space="0" w:color="auto"/>
                    <w:left w:val="single" w:sz="2" w:space="0" w:color="auto"/>
                    <w:bottom w:val="single" w:sz="2" w:space="0" w:color="auto"/>
                    <w:right w:val="single" w:sz="2" w:space="0" w:color="auto"/>
                  </w:divBdr>
                  <w:divsChild>
                    <w:div w:id="16707173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20058048">
              <w:marLeft w:val="0"/>
              <w:marRight w:val="0"/>
              <w:marTop w:val="0"/>
              <w:marBottom w:val="0"/>
              <w:divBdr>
                <w:top w:val="single" w:sz="2" w:space="0" w:color="auto"/>
                <w:left w:val="single" w:sz="2" w:space="0" w:color="auto"/>
                <w:bottom w:val="single" w:sz="2" w:space="0" w:color="auto"/>
                <w:right w:val="single" w:sz="2" w:space="0" w:color="auto"/>
              </w:divBdr>
              <w:divsChild>
                <w:div w:id="6188801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34853136">
      <w:bodyDiv w:val="1"/>
      <w:marLeft w:val="0"/>
      <w:marRight w:val="0"/>
      <w:marTop w:val="0"/>
      <w:marBottom w:val="0"/>
      <w:divBdr>
        <w:top w:val="none" w:sz="0" w:space="0" w:color="auto"/>
        <w:left w:val="none" w:sz="0" w:space="0" w:color="auto"/>
        <w:bottom w:val="none" w:sz="0" w:space="0" w:color="auto"/>
        <w:right w:val="none" w:sz="0" w:space="0" w:color="auto"/>
      </w:divBdr>
      <w:divsChild>
        <w:div w:id="501816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5268499">
      <w:bodyDiv w:val="1"/>
      <w:marLeft w:val="0"/>
      <w:marRight w:val="0"/>
      <w:marTop w:val="0"/>
      <w:marBottom w:val="0"/>
      <w:divBdr>
        <w:top w:val="none" w:sz="0" w:space="0" w:color="auto"/>
        <w:left w:val="none" w:sz="0" w:space="0" w:color="auto"/>
        <w:bottom w:val="none" w:sz="0" w:space="0" w:color="auto"/>
        <w:right w:val="none" w:sz="0" w:space="0" w:color="auto"/>
      </w:divBdr>
    </w:div>
    <w:div w:id="1540704928">
      <w:bodyDiv w:val="1"/>
      <w:marLeft w:val="0"/>
      <w:marRight w:val="0"/>
      <w:marTop w:val="0"/>
      <w:marBottom w:val="0"/>
      <w:divBdr>
        <w:top w:val="none" w:sz="0" w:space="0" w:color="auto"/>
        <w:left w:val="none" w:sz="0" w:space="0" w:color="auto"/>
        <w:bottom w:val="none" w:sz="0" w:space="0" w:color="auto"/>
        <w:right w:val="none" w:sz="0" w:space="0" w:color="auto"/>
      </w:divBdr>
    </w:div>
    <w:div w:id="1544633057">
      <w:bodyDiv w:val="1"/>
      <w:marLeft w:val="0"/>
      <w:marRight w:val="0"/>
      <w:marTop w:val="0"/>
      <w:marBottom w:val="0"/>
      <w:divBdr>
        <w:top w:val="none" w:sz="0" w:space="0" w:color="auto"/>
        <w:left w:val="none" w:sz="0" w:space="0" w:color="auto"/>
        <w:bottom w:val="none" w:sz="0" w:space="0" w:color="auto"/>
        <w:right w:val="none" w:sz="0" w:space="0" w:color="auto"/>
      </w:divBdr>
    </w:div>
    <w:div w:id="1553347825">
      <w:bodyDiv w:val="1"/>
      <w:marLeft w:val="0"/>
      <w:marRight w:val="0"/>
      <w:marTop w:val="0"/>
      <w:marBottom w:val="0"/>
      <w:divBdr>
        <w:top w:val="none" w:sz="0" w:space="0" w:color="auto"/>
        <w:left w:val="none" w:sz="0" w:space="0" w:color="auto"/>
        <w:bottom w:val="none" w:sz="0" w:space="0" w:color="auto"/>
        <w:right w:val="none" w:sz="0" w:space="0" w:color="auto"/>
      </w:divBdr>
    </w:div>
    <w:div w:id="1555117316">
      <w:bodyDiv w:val="1"/>
      <w:marLeft w:val="0"/>
      <w:marRight w:val="0"/>
      <w:marTop w:val="0"/>
      <w:marBottom w:val="0"/>
      <w:divBdr>
        <w:top w:val="none" w:sz="0" w:space="0" w:color="auto"/>
        <w:left w:val="none" w:sz="0" w:space="0" w:color="auto"/>
        <w:bottom w:val="none" w:sz="0" w:space="0" w:color="auto"/>
        <w:right w:val="none" w:sz="0" w:space="0" w:color="auto"/>
      </w:divBdr>
    </w:div>
    <w:div w:id="1561593655">
      <w:bodyDiv w:val="1"/>
      <w:marLeft w:val="0"/>
      <w:marRight w:val="0"/>
      <w:marTop w:val="0"/>
      <w:marBottom w:val="0"/>
      <w:divBdr>
        <w:top w:val="none" w:sz="0" w:space="0" w:color="auto"/>
        <w:left w:val="none" w:sz="0" w:space="0" w:color="auto"/>
        <w:bottom w:val="none" w:sz="0" w:space="0" w:color="auto"/>
        <w:right w:val="none" w:sz="0" w:space="0" w:color="auto"/>
      </w:divBdr>
    </w:div>
    <w:div w:id="1562249207">
      <w:bodyDiv w:val="1"/>
      <w:marLeft w:val="0"/>
      <w:marRight w:val="0"/>
      <w:marTop w:val="0"/>
      <w:marBottom w:val="0"/>
      <w:divBdr>
        <w:top w:val="none" w:sz="0" w:space="0" w:color="auto"/>
        <w:left w:val="none" w:sz="0" w:space="0" w:color="auto"/>
        <w:bottom w:val="none" w:sz="0" w:space="0" w:color="auto"/>
        <w:right w:val="none" w:sz="0" w:space="0" w:color="auto"/>
      </w:divBdr>
    </w:div>
    <w:div w:id="1562594382">
      <w:bodyDiv w:val="1"/>
      <w:marLeft w:val="0"/>
      <w:marRight w:val="0"/>
      <w:marTop w:val="0"/>
      <w:marBottom w:val="0"/>
      <w:divBdr>
        <w:top w:val="none" w:sz="0" w:space="0" w:color="auto"/>
        <w:left w:val="none" w:sz="0" w:space="0" w:color="auto"/>
        <w:bottom w:val="none" w:sz="0" w:space="0" w:color="auto"/>
        <w:right w:val="none" w:sz="0" w:space="0" w:color="auto"/>
      </w:divBdr>
    </w:div>
    <w:div w:id="1565943779">
      <w:bodyDiv w:val="1"/>
      <w:marLeft w:val="0"/>
      <w:marRight w:val="0"/>
      <w:marTop w:val="0"/>
      <w:marBottom w:val="0"/>
      <w:divBdr>
        <w:top w:val="none" w:sz="0" w:space="0" w:color="auto"/>
        <w:left w:val="none" w:sz="0" w:space="0" w:color="auto"/>
        <w:bottom w:val="none" w:sz="0" w:space="0" w:color="auto"/>
        <w:right w:val="none" w:sz="0" w:space="0" w:color="auto"/>
      </w:divBdr>
    </w:div>
    <w:div w:id="1569420225">
      <w:bodyDiv w:val="1"/>
      <w:marLeft w:val="0"/>
      <w:marRight w:val="0"/>
      <w:marTop w:val="0"/>
      <w:marBottom w:val="0"/>
      <w:divBdr>
        <w:top w:val="none" w:sz="0" w:space="0" w:color="auto"/>
        <w:left w:val="none" w:sz="0" w:space="0" w:color="auto"/>
        <w:bottom w:val="none" w:sz="0" w:space="0" w:color="auto"/>
        <w:right w:val="none" w:sz="0" w:space="0" w:color="auto"/>
      </w:divBdr>
      <w:divsChild>
        <w:div w:id="1058363133">
          <w:blockQuote w:val="1"/>
          <w:marLeft w:val="720"/>
          <w:marRight w:val="720"/>
          <w:marTop w:val="100"/>
          <w:marBottom w:val="100"/>
          <w:divBdr>
            <w:top w:val="none" w:sz="0" w:space="0" w:color="auto"/>
            <w:left w:val="none" w:sz="0" w:space="0" w:color="auto"/>
            <w:bottom w:val="none" w:sz="0" w:space="0" w:color="auto"/>
            <w:right w:val="none" w:sz="0" w:space="0" w:color="auto"/>
          </w:divBdr>
        </w:div>
        <w:div w:id="1500921018">
          <w:blockQuote w:val="1"/>
          <w:marLeft w:val="720"/>
          <w:marRight w:val="720"/>
          <w:marTop w:val="100"/>
          <w:marBottom w:val="100"/>
          <w:divBdr>
            <w:top w:val="none" w:sz="0" w:space="0" w:color="auto"/>
            <w:left w:val="none" w:sz="0" w:space="0" w:color="auto"/>
            <w:bottom w:val="none" w:sz="0" w:space="0" w:color="auto"/>
            <w:right w:val="none" w:sz="0" w:space="0" w:color="auto"/>
          </w:divBdr>
        </w:div>
        <w:div w:id="57288734">
          <w:blockQuote w:val="1"/>
          <w:marLeft w:val="720"/>
          <w:marRight w:val="720"/>
          <w:marTop w:val="100"/>
          <w:marBottom w:val="100"/>
          <w:divBdr>
            <w:top w:val="none" w:sz="0" w:space="0" w:color="auto"/>
            <w:left w:val="none" w:sz="0" w:space="0" w:color="auto"/>
            <w:bottom w:val="none" w:sz="0" w:space="0" w:color="auto"/>
            <w:right w:val="none" w:sz="0" w:space="0" w:color="auto"/>
          </w:divBdr>
        </w:div>
        <w:div w:id="315955219">
          <w:blockQuote w:val="1"/>
          <w:marLeft w:val="720"/>
          <w:marRight w:val="720"/>
          <w:marTop w:val="100"/>
          <w:marBottom w:val="100"/>
          <w:divBdr>
            <w:top w:val="none" w:sz="0" w:space="0" w:color="auto"/>
            <w:left w:val="none" w:sz="0" w:space="0" w:color="auto"/>
            <w:bottom w:val="none" w:sz="0" w:space="0" w:color="auto"/>
            <w:right w:val="none" w:sz="0" w:space="0" w:color="auto"/>
          </w:divBdr>
        </w:div>
        <w:div w:id="825173169">
          <w:blockQuote w:val="1"/>
          <w:marLeft w:val="720"/>
          <w:marRight w:val="720"/>
          <w:marTop w:val="100"/>
          <w:marBottom w:val="100"/>
          <w:divBdr>
            <w:top w:val="none" w:sz="0" w:space="0" w:color="auto"/>
            <w:left w:val="none" w:sz="0" w:space="0" w:color="auto"/>
            <w:bottom w:val="none" w:sz="0" w:space="0" w:color="auto"/>
            <w:right w:val="none" w:sz="0" w:space="0" w:color="auto"/>
          </w:divBdr>
        </w:div>
        <w:div w:id="1655838155">
          <w:blockQuote w:val="1"/>
          <w:marLeft w:val="720"/>
          <w:marRight w:val="720"/>
          <w:marTop w:val="100"/>
          <w:marBottom w:val="100"/>
          <w:divBdr>
            <w:top w:val="none" w:sz="0" w:space="0" w:color="auto"/>
            <w:left w:val="none" w:sz="0" w:space="0" w:color="auto"/>
            <w:bottom w:val="none" w:sz="0" w:space="0" w:color="auto"/>
            <w:right w:val="none" w:sz="0" w:space="0" w:color="auto"/>
          </w:divBdr>
        </w:div>
        <w:div w:id="360011398">
          <w:blockQuote w:val="1"/>
          <w:marLeft w:val="720"/>
          <w:marRight w:val="720"/>
          <w:marTop w:val="100"/>
          <w:marBottom w:val="100"/>
          <w:divBdr>
            <w:top w:val="none" w:sz="0" w:space="0" w:color="auto"/>
            <w:left w:val="none" w:sz="0" w:space="0" w:color="auto"/>
            <w:bottom w:val="none" w:sz="0" w:space="0" w:color="auto"/>
            <w:right w:val="none" w:sz="0" w:space="0" w:color="auto"/>
          </w:divBdr>
        </w:div>
        <w:div w:id="18263626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0382427">
      <w:bodyDiv w:val="1"/>
      <w:marLeft w:val="0"/>
      <w:marRight w:val="0"/>
      <w:marTop w:val="0"/>
      <w:marBottom w:val="0"/>
      <w:divBdr>
        <w:top w:val="none" w:sz="0" w:space="0" w:color="auto"/>
        <w:left w:val="none" w:sz="0" w:space="0" w:color="auto"/>
        <w:bottom w:val="none" w:sz="0" w:space="0" w:color="auto"/>
        <w:right w:val="none" w:sz="0" w:space="0" w:color="auto"/>
      </w:divBdr>
    </w:div>
    <w:div w:id="1570385446">
      <w:bodyDiv w:val="1"/>
      <w:marLeft w:val="0"/>
      <w:marRight w:val="0"/>
      <w:marTop w:val="0"/>
      <w:marBottom w:val="0"/>
      <w:divBdr>
        <w:top w:val="none" w:sz="0" w:space="0" w:color="auto"/>
        <w:left w:val="none" w:sz="0" w:space="0" w:color="auto"/>
        <w:bottom w:val="none" w:sz="0" w:space="0" w:color="auto"/>
        <w:right w:val="none" w:sz="0" w:space="0" w:color="auto"/>
      </w:divBdr>
    </w:div>
    <w:div w:id="1571501334">
      <w:bodyDiv w:val="1"/>
      <w:marLeft w:val="0"/>
      <w:marRight w:val="0"/>
      <w:marTop w:val="0"/>
      <w:marBottom w:val="0"/>
      <w:divBdr>
        <w:top w:val="none" w:sz="0" w:space="0" w:color="auto"/>
        <w:left w:val="none" w:sz="0" w:space="0" w:color="auto"/>
        <w:bottom w:val="none" w:sz="0" w:space="0" w:color="auto"/>
        <w:right w:val="none" w:sz="0" w:space="0" w:color="auto"/>
      </w:divBdr>
    </w:div>
    <w:div w:id="1573202762">
      <w:bodyDiv w:val="1"/>
      <w:marLeft w:val="0"/>
      <w:marRight w:val="0"/>
      <w:marTop w:val="0"/>
      <w:marBottom w:val="0"/>
      <w:divBdr>
        <w:top w:val="none" w:sz="0" w:space="0" w:color="auto"/>
        <w:left w:val="none" w:sz="0" w:space="0" w:color="auto"/>
        <w:bottom w:val="none" w:sz="0" w:space="0" w:color="auto"/>
        <w:right w:val="none" w:sz="0" w:space="0" w:color="auto"/>
      </w:divBdr>
    </w:div>
    <w:div w:id="1576090158">
      <w:bodyDiv w:val="1"/>
      <w:marLeft w:val="0"/>
      <w:marRight w:val="0"/>
      <w:marTop w:val="0"/>
      <w:marBottom w:val="0"/>
      <w:divBdr>
        <w:top w:val="none" w:sz="0" w:space="0" w:color="auto"/>
        <w:left w:val="none" w:sz="0" w:space="0" w:color="auto"/>
        <w:bottom w:val="none" w:sz="0" w:space="0" w:color="auto"/>
        <w:right w:val="none" w:sz="0" w:space="0" w:color="auto"/>
      </w:divBdr>
    </w:div>
    <w:div w:id="1576550616">
      <w:bodyDiv w:val="1"/>
      <w:marLeft w:val="0"/>
      <w:marRight w:val="0"/>
      <w:marTop w:val="0"/>
      <w:marBottom w:val="0"/>
      <w:divBdr>
        <w:top w:val="none" w:sz="0" w:space="0" w:color="auto"/>
        <w:left w:val="none" w:sz="0" w:space="0" w:color="auto"/>
        <w:bottom w:val="none" w:sz="0" w:space="0" w:color="auto"/>
        <w:right w:val="none" w:sz="0" w:space="0" w:color="auto"/>
      </w:divBdr>
    </w:div>
    <w:div w:id="1578709351">
      <w:bodyDiv w:val="1"/>
      <w:marLeft w:val="0"/>
      <w:marRight w:val="0"/>
      <w:marTop w:val="0"/>
      <w:marBottom w:val="0"/>
      <w:divBdr>
        <w:top w:val="none" w:sz="0" w:space="0" w:color="auto"/>
        <w:left w:val="none" w:sz="0" w:space="0" w:color="auto"/>
        <w:bottom w:val="none" w:sz="0" w:space="0" w:color="auto"/>
        <w:right w:val="none" w:sz="0" w:space="0" w:color="auto"/>
      </w:divBdr>
    </w:div>
    <w:div w:id="1578972694">
      <w:bodyDiv w:val="1"/>
      <w:marLeft w:val="0"/>
      <w:marRight w:val="0"/>
      <w:marTop w:val="0"/>
      <w:marBottom w:val="0"/>
      <w:divBdr>
        <w:top w:val="none" w:sz="0" w:space="0" w:color="auto"/>
        <w:left w:val="none" w:sz="0" w:space="0" w:color="auto"/>
        <w:bottom w:val="none" w:sz="0" w:space="0" w:color="auto"/>
        <w:right w:val="none" w:sz="0" w:space="0" w:color="auto"/>
      </w:divBdr>
    </w:div>
    <w:div w:id="1580217404">
      <w:bodyDiv w:val="1"/>
      <w:marLeft w:val="0"/>
      <w:marRight w:val="0"/>
      <w:marTop w:val="0"/>
      <w:marBottom w:val="0"/>
      <w:divBdr>
        <w:top w:val="none" w:sz="0" w:space="0" w:color="auto"/>
        <w:left w:val="none" w:sz="0" w:space="0" w:color="auto"/>
        <w:bottom w:val="none" w:sz="0" w:space="0" w:color="auto"/>
        <w:right w:val="none" w:sz="0" w:space="0" w:color="auto"/>
      </w:divBdr>
      <w:divsChild>
        <w:div w:id="5475003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2519717">
      <w:bodyDiv w:val="1"/>
      <w:marLeft w:val="0"/>
      <w:marRight w:val="0"/>
      <w:marTop w:val="0"/>
      <w:marBottom w:val="0"/>
      <w:divBdr>
        <w:top w:val="none" w:sz="0" w:space="0" w:color="auto"/>
        <w:left w:val="none" w:sz="0" w:space="0" w:color="auto"/>
        <w:bottom w:val="none" w:sz="0" w:space="0" w:color="auto"/>
        <w:right w:val="none" w:sz="0" w:space="0" w:color="auto"/>
      </w:divBdr>
    </w:div>
    <w:div w:id="1583445896">
      <w:bodyDiv w:val="1"/>
      <w:marLeft w:val="0"/>
      <w:marRight w:val="0"/>
      <w:marTop w:val="0"/>
      <w:marBottom w:val="0"/>
      <w:divBdr>
        <w:top w:val="none" w:sz="0" w:space="0" w:color="auto"/>
        <w:left w:val="none" w:sz="0" w:space="0" w:color="auto"/>
        <w:bottom w:val="none" w:sz="0" w:space="0" w:color="auto"/>
        <w:right w:val="none" w:sz="0" w:space="0" w:color="auto"/>
      </w:divBdr>
    </w:div>
    <w:div w:id="1583880132">
      <w:bodyDiv w:val="1"/>
      <w:marLeft w:val="0"/>
      <w:marRight w:val="0"/>
      <w:marTop w:val="0"/>
      <w:marBottom w:val="0"/>
      <w:divBdr>
        <w:top w:val="none" w:sz="0" w:space="0" w:color="auto"/>
        <w:left w:val="none" w:sz="0" w:space="0" w:color="auto"/>
        <w:bottom w:val="none" w:sz="0" w:space="0" w:color="auto"/>
        <w:right w:val="none" w:sz="0" w:space="0" w:color="auto"/>
      </w:divBdr>
    </w:div>
    <w:div w:id="1583953002">
      <w:bodyDiv w:val="1"/>
      <w:marLeft w:val="0"/>
      <w:marRight w:val="0"/>
      <w:marTop w:val="0"/>
      <w:marBottom w:val="0"/>
      <w:divBdr>
        <w:top w:val="none" w:sz="0" w:space="0" w:color="auto"/>
        <w:left w:val="none" w:sz="0" w:space="0" w:color="auto"/>
        <w:bottom w:val="none" w:sz="0" w:space="0" w:color="auto"/>
        <w:right w:val="none" w:sz="0" w:space="0" w:color="auto"/>
      </w:divBdr>
    </w:div>
    <w:div w:id="1586187447">
      <w:bodyDiv w:val="1"/>
      <w:marLeft w:val="0"/>
      <w:marRight w:val="0"/>
      <w:marTop w:val="0"/>
      <w:marBottom w:val="0"/>
      <w:divBdr>
        <w:top w:val="none" w:sz="0" w:space="0" w:color="auto"/>
        <w:left w:val="none" w:sz="0" w:space="0" w:color="auto"/>
        <w:bottom w:val="none" w:sz="0" w:space="0" w:color="auto"/>
        <w:right w:val="none" w:sz="0" w:space="0" w:color="auto"/>
      </w:divBdr>
    </w:div>
    <w:div w:id="1591886749">
      <w:bodyDiv w:val="1"/>
      <w:marLeft w:val="0"/>
      <w:marRight w:val="0"/>
      <w:marTop w:val="0"/>
      <w:marBottom w:val="0"/>
      <w:divBdr>
        <w:top w:val="none" w:sz="0" w:space="0" w:color="auto"/>
        <w:left w:val="none" w:sz="0" w:space="0" w:color="auto"/>
        <w:bottom w:val="none" w:sz="0" w:space="0" w:color="auto"/>
        <w:right w:val="none" w:sz="0" w:space="0" w:color="auto"/>
      </w:divBdr>
    </w:div>
    <w:div w:id="1595166718">
      <w:bodyDiv w:val="1"/>
      <w:marLeft w:val="0"/>
      <w:marRight w:val="0"/>
      <w:marTop w:val="0"/>
      <w:marBottom w:val="0"/>
      <w:divBdr>
        <w:top w:val="none" w:sz="0" w:space="0" w:color="auto"/>
        <w:left w:val="none" w:sz="0" w:space="0" w:color="auto"/>
        <w:bottom w:val="none" w:sz="0" w:space="0" w:color="auto"/>
        <w:right w:val="none" w:sz="0" w:space="0" w:color="auto"/>
      </w:divBdr>
    </w:div>
    <w:div w:id="1598368411">
      <w:bodyDiv w:val="1"/>
      <w:marLeft w:val="0"/>
      <w:marRight w:val="0"/>
      <w:marTop w:val="0"/>
      <w:marBottom w:val="0"/>
      <w:divBdr>
        <w:top w:val="none" w:sz="0" w:space="0" w:color="auto"/>
        <w:left w:val="none" w:sz="0" w:space="0" w:color="auto"/>
        <w:bottom w:val="none" w:sz="0" w:space="0" w:color="auto"/>
        <w:right w:val="none" w:sz="0" w:space="0" w:color="auto"/>
      </w:divBdr>
    </w:div>
    <w:div w:id="1599437661">
      <w:bodyDiv w:val="1"/>
      <w:marLeft w:val="0"/>
      <w:marRight w:val="0"/>
      <w:marTop w:val="0"/>
      <w:marBottom w:val="0"/>
      <w:divBdr>
        <w:top w:val="none" w:sz="0" w:space="0" w:color="auto"/>
        <w:left w:val="none" w:sz="0" w:space="0" w:color="auto"/>
        <w:bottom w:val="none" w:sz="0" w:space="0" w:color="auto"/>
        <w:right w:val="none" w:sz="0" w:space="0" w:color="auto"/>
      </w:divBdr>
    </w:div>
    <w:div w:id="1600866430">
      <w:bodyDiv w:val="1"/>
      <w:marLeft w:val="0"/>
      <w:marRight w:val="0"/>
      <w:marTop w:val="0"/>
      <w:marBottom w:val="0"/>
      <w:divBdr>
        <w:top w:val="none" w:sz="0" w:space="0" w:color="auto"/>
        <w:left w:val="none" w:sz="0" w:space="0" w:color="auto"/>
        <w:bottom w:val="none" w:sz="0" w:space="0" w:color="auto"/>
        <w:right w:val="none" w:sz="0" w:space="0" w:color="auto"/>
      </w:divBdr>
    </w:div>
    <w:div w:id="1606108654">
      <w:bodyDiv w:val="1"/>
      <w:marLeft w:val="0"/>
      <w:marRight w:val="0"/>
      <w:marTop w:val="0"/>
      <w:marBottom w:val="0"/>
      <w:divBdr>
        <w:top w:val="none" w:sz="0" w:space="0" w:color="auto"/>
        <w:left w:val="none" w:sz="0" w:space="0" w:color="auto"/>
        <w:bottom w:val="none" w:sz="0" w:space="0" w:color="auto"/>
        <w:right w:val="none" w:sz="0" w:space="0" w:color="auto"/>
      </w:divBdr>
    </w:div>
    <w:div w:id="1607152644">
      <w:bodyDiv w:val="1"/>
      <w:marLeft w:val="0"/>
      <w:marRight w:val="0"/>
      <w:marTop w:val="0"/>
      <w:marBottom w:val="0"/>
      <w:divBdr>
        <w:top w:val="none" w:sz="0" w:space="0" w:color="auto"/>
        <w:left w:val="none" w:sz="0" w:space="0" w:color="auto"/>
        <w:bottom w:val="none" w:sz="0" w:space="0" w:color="auto"/>
        <w:right w:val="none" w:sz="0" w:space="0" w:color="auto"/>
      </w:divBdr>
    </w:div>
    <w:div w:id="1608006103">
      <w:bodyDiv w:val="1"/>
      <w:marLeft w:val="0"/>
      <w:marRight w:val="0"/>
      <w:marTop w:val="0"/>
      <w:marBottom w:val="0"/>
      <w:divBdr>
        <w:top w:val="none" w:sz="0" w:space="0" w:color="auto"/>
        <w:left w:val="none" w:sz="0" w:space="0" w:color="auto"/>
        <w:bottom w:val="none" w:sz="0" w:space="0" w:color="auto"/>
        <w:right w:val="none" w:sz="0" w:space="0" w:color="auto"/>
      </w:divBdr>
    </w:div>
    <w:div w:id="1618367711">
      <w:bodyDiv w:val="1"/>
      <w:marLeft w:val="0"/>
      <w:marRight w:val="0"/>
      <w:marTop w:val="0"/>
      <w:marBottom w:val="0"/>
      <w:divBdr>
        <w:top w:val="none" w:sz="0" w:space="0" w:color="auto"/>
        <w:left w:val="none" w:sz="0" w:space="0" w:color="auto"/>
        <w:bottom w:val="none" w:sz="0" w:space="0" w:color="auto"/>
        <w:right w:val="none" w:sz="0" w:space="0" w:color="auto"/>
      </w:divBdr>
    </w:div>
    <w:div w:id="1618758918">
      <w:bodyDiv w:val="1"/>
      <w:marLeft w:val="0"/>
      <w:marRight w:val="0"/>
      <w:marTop w:val="0"/>
      <w:marBottom w:val="0"/>
      <w:divBdr>
        <w:top w:val="none" w:sz="0" w:space="0" w:color="auto"/>
        <w:left w:val="none" w:sz="0" w:space="0" w:color="auto"/>
        <w:bottom w:val="none" w:sz="0" w:space="0" w:color="auto"/>
        <w:right w:val="none" w:sz="0" w:space="0" w:color="auto"/>
      </w:divBdr>
    </w:div>
    <w:div w:id="1621838636">
      <w:bodyDiv w:val="1"/>
      <w:marLeft w:val="0"/>
      <w:marRight w:val="0"/>
      <w:marTop w:val="0"/>
      <w:marBottom w:val="0"/>
      <w:divBdr>
        <w:top w:val="none" w:sz="0" w:space="0" w:color="auto"/>
        <w:left w:val="none" w:sz="0" w:space="0" w:color="auto"/>
        <w:bottom w:val="none" w:sz="0" w:space="0" w:color="auto"/>
        <w:right w:val="none" w:sz="0" w:space="0" w:color="auto"/>
      </w:divBdr>
      <w:divsChild>
        <w:div w:id="1062405878">
          <w:blockQuote w:val="1"/>
          <w:marLeft w:val="720"/>
          <w:marRight w:val="720"/>
          <w:marTop w:val="100"/>
          <w:marBottom w:val="100"/>
          <w:divBdr>
            <w:top w:val="none" w:sz="0" w:space="0" w:color="auto"/>
            <w:left w:val="none" w:sz="0" w:space="0" w:color="auto"/>
            <w:bottom w:val="none" w:sz="0" w:space="0" w:color="auto"/>
            <w:right w:val="none" w:sz="0" w:space="0" w:color="auto"/>
          </w:divBdr>
        </w:div>
        <w:div w:id="3076321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1842337">
      <w:bodyDiv w:val="1"/>
      <w:marLeft w:val="0"/>
      <w:marRight w:val="0"/>
      <w:marTop w:val="0"/>
      <w:marBottom w:val="0"/>
      <w:divBdr>
        <w:top w:val="none" w:sz="0" w:space="0" w:color="auto"/>
        <w:left w:val="none" w:sz="0" w:space="0" w:color="auto"/>
        <w:bottom w:val="none" w:sz="0" w:space="0" w:color="auto"/>
        <w:right w:val="none" w:sz="0" w:space="0" w:color="auto"/>
      </w:divBdr>
    </w:div>
    <w:div w:id="1622373922">
      <w:bodyDiv w:val="1"/>
      <w:marLeft w:val="0"/>
      <w:marRight w:val="0"/>
      <w:marTop w:val="0"/>
      <w:marBottom w:val="0"/>
      <w:divBdr>
        <w:top w:val="none" w:sz="0" w:space="0" w:color="auto"/>
        <w:left w:val="none" w:sz="0" w:space="0" w:color="auto"/>
        <w:bottom w:val="none" w:sz="0" w:space="0" w:color="auto"/>
        <w:right w:val="none" w:sz="0" w:space="0" w:color="auto"/>
      </w:divBdr>
    </w:div>
    <w:div w:id="1630354653">
      <w:bodyDiv w:val="1"/>
      <w:marLeft w:val="0"/>
      <w:marRight w:val="0"/>
      <w:marTop w:val="0"/>
      <w:marBottom w:val="0"/>
      <w:divBdr>
        <w:top w:val="none" w:sz="0" w:space="0" w:color="auto"/>
        <w:left w:val="none" w:sz="0" w:space="0" w:color="auto"/>
        <w:bottom w:val="none" w:sz="0" w:space="0" w:color="auto"/>
        <w:right w:val="none" w:sz="0" w:space="0" w:color="auto"/>
      </w:divBdr>
    </w:div>
    <w:div w:id="1631086581">
      <w:bodyDiv w:val="1"/>
      <w:marLeft w:val="0"/>
      <w:marRight w:val="0"/>
      <w:marTop w:val="0"/>
      <w:marBottom w:val="0"/>
      <w:divBdr>
        <w:top w:val="none" w:sz="0" w:space="0" w:color="auto"/>
        <w:left w:val="none" w:sz="0" w:space="0" w:color="auto"/>
        <w:bottom w:val="none" w:sz="0" w:space="0" w:color="auto"/>
        <w:right w:val="none" w:sz="0" w:space="0" w:color="auto"/>
      </w:divBdr>
    </w:div>
    <w:div w:id="1648902457">
      <w:bodyDiv w:val="1"/>
      <w:marLeft w:val="0"/>
      <w:marRight w:val="0"/>
      <w:marTop w:val="0"/>
      <w:marBottom w:val="0"/>
      <w:divBdr>
        <w:top w:val="none" w:sz="0" w:space="0" w:color="auto"/>
        <w:left w:val="none" w:sz="0" w:space="0" w:color="auto"/>
        <w:bottom w:val="none" w:sz="0" w:space="0" w:color="auto"/>
        <w:right w:val="none" w:sz="0" w:space="0" w:color="auto"/>
      </w:divBdr>
    </w:div>
    <w:div w:id="1650405377">
      <w:bodyDiv w:val="1"/>
      <w:marLeft w:val="0"/>
      <w:marRight w:val="0"/>
      <w:marTop w:val="0"/>
      <w:marBottom w:val="0"/>
      <w:divBdr>
        <w:top w:val="none" w:sz="0" w:space="0" w:color="auto"/>
        <w:left w:val="none" w:sz="0" w:space="0" w:color="auto"/>
        <w:bottom w:val="none" w:sz="0" w:space="0" w:color="auto"/>
        <w:right w:val="none" w:sz="0" w:space="0" w:color="auto"/>
      </w:divBdr>
    </w:div>
    <w:div w:id="1653483483">
      <w:bodyDiv w:val="1"/>
      <w:marLeft w:val="0"/>
      <w:marRight w:val="0"/>
      <w:marTop w:val="0"/>
      <w:marBottom w:val="0"/>
      <w:divBdr>
        <w:top w:val="none" w:sz="0" w:space="0" w:color="auto"/>
        <w:left w:val="none" w:sz="0" w:space="0" w:color="auto"/>
        <w:bottom w:val="none" w:sz="0" w:space="0" w:color="auto"/>
        <w:right w:val="none" w:sz="0" w:space="0" w:color="auto"/>
      </w:divBdr>
      <w:divsChild>
        <w:div w:id="13906097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4407339">
      <w:bodyDiv w:val="1"/>
      <w:marLeft w:val="0"/>
      <w:marRight w:val="0"/>
      <w:marTop w:val="0"/>
      <w:marBottom w:val="0"/>
      <w:divBdr>
        <w:top w:val="none" w:sz="0" w:space="0" w:color="auto"/>
        <w:left w:val="none" w:sz="0" w:space="0" w:color="auto"/>
        <w:bottom w:val="none" w:sz="0" w:space="0" w:color="auto"/>
        <w:right w:val="none" w:sz="0" w:space="0" w:color="auto"/>
      </w:divBdr>
    </w:div>
    <w:div w:id="1654991836">
      <w:bodyDiv w:val="1"/>
      <w:marLeft w:val="0"/>
      <w:marRight w:val="0"/>
      <w:marTop w:val="0"/>
      <w:marBottom w:val="0"/>
      <w:divBdr>
        <w:top w:val="none" w:sz="0" w:space="0" w:color="auto"/>
        <w:left w:val="none" w:sz="0" w:space="0" w:color="auto"/>
        <w:bottom w:val="none" w:sz="0" w:space="0" w:color="auto"/>
        <w:right w:val="none" w:sz="0" w:space="0" w:color="auto"/>
      </w:divBdr>
    </w:div>
    <w:div w:id="1658992720">
      <w:bodyDiv w:val="1"/>
      <w:marLeft w:val="0"/>
      <w:marRight w:val="0"/>
      <w:marTop w:val="0"/>
      <w:marBottom w:val="0"/>
      <w:divBdr>
        <w:top w:val="none" w:sz="0" w:space="0" w:color="auto"/>
        <w:left w:val="none" w:sz="0" w:space="0" w:color="auto"/>
        <w:bottom w:val="none" w:sz="0" w:space="0" w:color="auto"/>
        <w:right w:val="none" w:sz="0" w:space="0" w:color="auto"/>
      </w:divBdr>
    </w:div>
    <w:div w:id="1661230451">
      <w:bodyDiv w:val="1"/>
      <w:marLeft w:val="0"/>
      <w:marRight w:val="0"/>
      <w:marTop w:val="0"/>
      <w:marBottom w:val="0"/>
      <w:divBdr>
        <w:top w:val="none" w:sz="0" w:space="0" w:color="auto"/>
        <w:left w:val="none" w:sz="0" w:space="0" w:color="auto"/>
        <w:bottom w:val="none" w:sz="0" w:space="0" w:color="auto"/>
        <w:right w:val="none" w:sz="0" w:space="0" w:color="auto"/>
      </w:divBdr>
    </w:div>
    <w:div w:id="1661303246">
      <w:bodyDiv w:val="1"/>
      <w:marLeft w:val="0"/>
      <w:marRight w:val="0"/>
      <w:marTop w:val="0"/>
      <w:marBottom w:val="0"/>
      <w:divBdr>
        <w:top w:val="none" w:sz="0" w:space="0" w:color="auto"/>
        <w:left w:val="none" w:sz="0" w:space="0" w:color="auto"/>
        <w:bottom w:val="none" w:sz="0" w:space="0" w:color="auto"/>
        <w:right w:val="none" w:sz="0" w:space="0" w:color="auto"/>
      </w:divBdr>
    </w:div>
    <w:div w:id="1662389365">
      <w:bodyDiv w:val="1"/>
      <w:marLeft w:val="0"/>
      <w:marRight w:val="0"/>
      <w:marTop w:val="0"/>
      <w:marBottom w:val="0"/>
      <w:divBdr>
        <w:top w:val="none" w:sz="0" w:space="0" w:color="auto"/>
        <w:left w:val="none" w:sz="0" w:space="0" w:color="auto"/>
        <w:bottom w:val="none" w:sz="0" w:space="0" w:color="auto"/>
        <w:right w:val="none" w:sz="0" w:space="0" w:color="auto"/>
      </w:divBdr>
      <w:divsChild>
        <w:div w:id="9805752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2587985">
      <w:bodyDiv w:val="1"/>
      <w:marLeft w:val="0"/>
      <w:marRight w:val="0"/>
      <w:marTop w:val="0"/>
      <w:marBottom w:val="0"/>
      <w:divBdr>
        <w:top w:val="none" w:sz="0" w:space="0" w:color="auto"/>
        <w:left w:val="none" w:sz="0" w:space="0" w:color="auto"/>
        <w:bottom w:val="none" w:sz="0" w:space="0" w:color="auto"/>
        <w:right w:val="none" w:sz="0" w:space="0" w:color="auto"/>
      </w:divBdr>
      <w:divsChild>
        <w:div w:id="15985560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706087">
      <w:bodyDiv w:val="1"/>
      <w:marLeft w:val="0"/>
      <w:marRight w:val="0"/>
      <w:marTop w:val="0"/>
      <w:marBottom w:val="0"/>
      <w:divBdr>
        <w:top w:val="none" w:sz="0" w:space="0" w:color="auto"/>
        <w:left w:val="none" w:sz="0" w:space="0" w:color="auto"/>
        <w:bottom w:val="none" w:sz="0" w:space="0" w:color="auto"/>
        <w:right w:val="none" w:sz="0" w:space="0" w:color="auto"/>
      </w:divBdr>
    </w:div>
    <w:div w:id="1677339147">
      <w:bodyDiv w:val="1"/>
      <w:marLeft w:val="0"/>
      <w:marRight w:val="0"/>
      <w:marTop w:val="0"/>
      <w:marBottom w:val="0"/>
      <w:divBdr>
        <w:top w:val="none" w:sz="0" w:space="0" w:color="auto"/>
        <w:left w:val="none" w:sz="0" w:space="0" w:color="auto"/>
        <w:bottom w:val="none" w:sz="0" w:space="0" w:color="auto"/>
        <w:right w:val="none" w:sz="0" w:space="0" w:color="auto"/>
      </w:divBdr>
    </w:div>
    <w:div w:id="1683506338">
      <w:bodyDiv w:val="1"/>
      <w:marLeft w:val="0"/>
      <w:marRight w:val="0"/>
      <w:marTop w:val="0"/>
      <w:marBottom w:val="0"/>
      <w:divBdr>
        <w:top w:val="none" w:sz="0" w:space="0" w:color="auto"/>
        <w:left w:val="none" w:sz="0" w:space="0" w:color="auto"/>
        <w:bottom w:val="none" w:sz="0" w:space="0" w:color="auto"/>
        <w:right w:val="none" w:sz="0" w:space="0" w:color="auto"/>
      </w:divBdr>
    </w:div>
    <w:div w:id="1686515566">
      <w:bodyDiv w:val="1"/>
      <w:marLeft w:val="0"/>
      <w:marRight w:val="0"/>
      <w:marTop w:val="0"/>
      <w:marBottom w:val="0"/>
      <w:divBdr>
        <w:top w:val="none" w:sz="0" w:space="0" w:color="auto"/>
        <w:left w:val="none" w:sz="0" w:space="0" w:color="auto"/>
        <w:bottom w:val="none" w:sz="0" w:space="0" w:color="auto"/>
        <w:right w:val="none" w:sz="0" w:space="0" w:color="auto"/>
      </w:divBdr>
    </w:div>
    <w:div w:id="1688290153">
      <w:bodyDiv w:val="1"/>
      <w:marLeft w:val="0"/>
      <w:marRight w:val="0"/>
      <w:marTop w:val="0"/>
      <w:marBottom w:val="0"/>
      <w:divBdr>
        <w:top w:val="none" w:sz="0" w:space="0" w:color="auto"/>
        <w:left w:val="none" w:sz="0" w:space="0" w:color="auto"/>
        <w:bottom w:val="none" w:sz="0" w:space="0" w:color="auto"/>
        <w:right w:val="none" w:sz="0" w:space="0" w:color="auto"/>
      </w:divBdr>
      <w:divsChild>
        <w:div w:id="1691953241">
          <w:blockQuote w:val="1"/>
          <w:marLeft w:val="720"/>
          <w:marRight w:val="720"/>
          <w:marTop w:val="100"/>
          <w:marBottom w:val="100"/>
          <w:divBdr>
            <w:top w:val="none" w:sz="0" w:space="0" w:color="auto"/>
            <w:left w:val="none" w:sz="0" w:space="0" w:color="auto"/>
            <w:bottom w:val="none" w:sz="0" w:space="0" w:color="auto"/>
            <w:right w:val="none" w:sz="0" w:space="0" w:color="auto"/>
          </w:divBdr>
        </w:div>
        <w:div w:id="15032305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9676270">
      <w:bodyDiv w:val="1"/>
      <w:marLeft w:val="0"/>
      <w:marRight w:val="0"/>
      <w:marTop w:val="0"/>
      <w:marBottom w:val="0"/>
      <w:divBdr>
        <w:top w:val="none" w:sz="0" w:space="0" w:color="auto"/>
        <w:left w:val="none" w:sz="0" w:space="0" w:color="auto"/>
        <w:bottom w:val="none" w:sz="0" w:space="0" w:color="auto"/>
        <w:right w:val="none" w:sz="0" w:space="0" w:color="auto"/>
      </w:divBdr>
    </w:div>
    <w:div w:id="1692031267">
      <w:bodyDiv w:val="1"/>
      <w:marLeft w:val="0"/>
      <w:marRight w:val="0"/>
      <w:marTop w:val="0"/>
      <w:marBottom w:val="0"/>
      <w:divBdr>
        <w:top w:val="none" w:sz="0" w:space="0" w:color="auto"/>
        <w:left w:val="none" w:sz="0" w:space="0" w:color="auto"/>
        <w:bottom w:val="none" w:sz="0" w:space="0" w:color="auto"/>
        <w:right w:val="none" w:sz="0" w:space="0" w:color="auto"/>
      </w:divBdr>
    </w:div>
    <w:div w:id="1693146298">
      <w:bodyDiv w:val="1"/>
      <w:marLeft w:val="0"/>
      <w:marRight w:val="0"/>
      <w:marTop w:val="0"/>
      <w:marBottom w:val="0"/>
      <w:divBdr>
        <w:top w:val="none" w:sz="0" w:space="0" w:color="auto"/>
        <w:left w:val="none" w:sz="0" w:space="0" w:color="auto"/>
        <w:bottom w:val="none" w:sz="0" w:space="0" w:color="auto"/>
        <w:right w:val="none" w:sz="0" w:space="0" w:color="auto"/>
      </w:divBdr>
    </w:div>
    <w:div w:id="1697463436">
      <w:bodyDiv w:val="1"/>
      <w:marLeft w:val="0"/>
      <w:marRight w:val="0"/>
      <w:marTop w:val="0"/>
      <w:marBottom w:val="0"/>
      <w:divBdr>
        <w:top w:val="none" w:sz="0" w:space="0" w:color="auto"/>
        <w:left w:val="none" w:sz="0" w:space="0" w:color="auto"/>
        <w:bottom w:val="none" w:sz="0" w:space="0" w:color="auto"/>
        <w:right w:val="none" w:sz="0" w:space="0" w:color="auto"/>
      </w:divBdr>
    </w:div>
    <w:div w:id="1697776545">
      <w:bodyDiv w:val="1"/>
      <w:marLeft w:val="0"/>
      <w:marRight w:val="0"/>
      <w:marTop w:val="0"/>
      <w:marBottom w:val="0"/>
      <w:divBdr>
        <w:top w:val="none" w:sz="0" w:space="0" w:color="auto"/>
        <w:left w:val="none" w:sz="0" w:space="0" w:color="auto"/>
        <w:bottom w:val="none" w:sz="0" w:space="0" w:color="auto"/>
        <w:right w:val="none" w:sz="0" w:space="0" w:color="auto"/>
      </w:divBdr>
    </w:div>
    <w:div w:id="1701005365">
      <w:bodyDiv w:val="1"/>
      <w:marLeft w:val="0"/>
      <w:marRight w:val="0"/>
      <w:marTop w:val="0"/>
      <w:marBottom w:val="0"/>
      <w:divBdr>
        <w:top w:val="none" w:sz="0" w:space="0" w:color="auto"/>
        <w:left w:val="none" w:sz="0" w:space="0" w:color="auto"/>
        <w:bottom w:val="none" w:sz="0" w:space="0" w:color="auto"/>
        <w:right w:val="none" w:sz="0" w:space="0" w:color="auto"/>
      </w:divBdr>
    </w:div>
    <w:div w:id="1704093931">
      <w:bodyDiv w:val="1"/>
      <w:marLeft w:val="0"/>
      <w:marRight w:val="0"/>
      <w:marTop w:val="0"/>
      <w:marBottom w:val="0"/>
      <w:divBdr>
        <w:top w:val="none" w:sz="0" w:space="0" w:color="auto"/>
        <w:left w:val="none" w:sz="0" w:space="0" w:color="auto"/>
        <w:bottom w:val="none" w:sz="0" w:space="0" w:color="auto"/>
        <w:right w:val="none" w:sz="0" w:space="0" w:color="auto"/>
      </w:divBdr>
    </w:div>
    <w:div w:id="1711147270">
      <w:bodyDiv w:val="1"/>
      <w:marLeft w:val="0"/>
      <w:marRight w:val="0"/>
      <w:marTop w:val="0"/>
      <w:marBottom w:val="0"/>
      <w:divBdr>
        <w:top w:val="none" w:sz="0" w:space="0" w:color="auto"/>
        <w:left w:val="none" w:sz="0" w:space="0" w:color="auto"/>
        <w:bottom w:val="none" w:sz="0" w:space="0" w:color="auto"/>
        <w:right w:val="none" w:sz="0" w:space="0" w:color="auto"/>
      </w:divBdr>
    </w:div>
    <w:div w:id="1713116800">
      <w:bodyDiv w:val="1"/>
      <w:marLeft w:val="0"/>
      <w:marRight w:val="0"/>
      <w:marTop w:val="0"/>
      <w:marBottom w:val="0"/>
      <w:divBdr>
        <w:top w:val="none" w:sz="0" w:space="0" w:color="auto"/>
        <w:left w:val="none" w:sz="0" w:space="0" w:color="auto"/>
        <w:bottom w:val="none" w:sz="0" w:space="0" w:color="auto"/>
        <w:right w:val="none" w:sz="0" w:space="0" w:color="auto"/>
      </w:divBdr>
      <w:divsChild>
        <w:div w:id="1264538452">
          <w:marLeft w:val="0"/>
          <w:marRight w:val="0"/>
          <w:marTop w:val="0"/>
          <w:marBottom w:val="0"/>
          <w:divBdr>
            <w:top w:val="none" w:sz="0" w:space="0" w:color="auto"/>
            <w:left w:val="none" w:sz="0" w:space="0" w:color="auto"/>
            <w:bottom w:val="none" w:sz="0" w:space="0" w:color="auto"/>
            <w:right w:val="none" w:sz="0" w:space="0" w:color="auto"/>
          </w:divBdr>
        </w:div>
      </w:divsChild>
    </w:div>
    <w:div w:id="1726753557">
      <w:bodyDiv w:val="1"/>
      <w:marLeft w:val="0"/>
      <w:marRight w:val="0"/>
      <w:marTop w:val="0"/>
      <w:marBottom w:val="0"/>
      <w:divBdr>
        <w:top w:val="none" w:sz="0" w:space="0" w:color="auto"/>
        <w:left w:val="none" w:sz="0" w:space="0" w:color="auto"/>
        <w:bottom w:val="none" w:sz="0" w:space="0" w:color="auto"/>
        <w:right w:val="none" w:sz="0" w:space="0" w:color="auto"/>
      </w:divBdr>
    </w:div>
    <w:div w:id="1737438337">
      <w:bodyDiv w:val="1"/>
      <w:marLeft w:val="0"/>
      <w:marRight w:val="0"/>
      <w:marTop w:val="0"/>
      <w:marBottom w:val="0"/>
      <w:divBdr>
        <w:top w:val="none" w:sz="0" w:space="0" w:color="auto"/>
        <w:left w:val="none" w:sz="0" w:space="0" w:color="auto"/>
        <w:bottom w:val="none" w:sz="0" w:space="0" w:color="auto"/>
        <w:right w:val="none" w:sz="0" w:space="0" w:color="auto"/>
      </w:divBdr>
    </w:div>
    <w:div w:id="1737703903">
      <w:bodyDiv w:val="1"/>
      <w:marLeft w:val="0"/>
      <w:marRight w:val="0"/>
      <w:marTop w:val="0"/>
      <w:marBottom w:val="0"/>
      <w:divBdr>
        <w:top w:val="none" w:sz="0" w:space="0" w:color="auto"/>
        <w:left w:val="none" w:sz="0" w:space="0" w:color="auto"/>
        <w:bottom w:val="none" w:sz="0" w:space="0" w:color="auto"/>
        <w:right w:val="none" w:sz="0" w:space="0" w:color="auto"/>
      </w:divBdr>
    </w:div>
    <w:div w:id="1739134165">
      <w:bodyDiv w:val="1"/>
      <w:marLeft w:val="0"/>
      <w:marRight w:val="0"/>
      <w:marTop w:val="0"/>
      <w:marBottom w:val="0"/>
      <w:divBdr>
        <w:top w:val="none" w:sz="0" w:space="0" w:color="auto"/>
        <w:left w:val="none" w:sz="0" w:space="0" w:color="auto"/>
        <w:bottom w:val="none" w:sz="0" w:space="0" w:color="auto"/>
        <w:right w:val="none" w:sz="0" w:space="0" w:color="auto"/>
      </w:divBdr>
    </w:div>
    <w:div w:id="1743484745">
      <w:bodyDiv w:val="1"/>
      <w:marLeft w:val="0"/>
      <w:marRight w:val="0"/>
      <w:marTop w:val="0"/>
      <w:marBottom w:val="0"/>
      <w:divBdr>
        <w:top w:val="none" w:sz="0" w:space="0" w:color="auto"/>
        <w:left w:val="none" w:sz="0" w:space="0" w:color="auto"/>
        <w:bottom w:val="none" w:sz="0" w:space="0" w:color="auto"/>
        <w:right w:val="none" w:sz="0" w:space="0" w:color="auto"/>
      </w:divBdr>
      <w:divsChild>
        <w:div w:id="1996715206">
          <w:marLeft w:val="0"/>
          <w:marRight w:val="0"/>
          <w:marTop w:val="0"/>
          <w:marBottom w:val="0"/>
          <w:divBdr>
            <w:top w:val="none" w:sz="0" w:space="0" w:color="auto"/>
            <w:left w:val="none" w:sz="0" w:space="0" w:color="auto"/>
            <w:bottom w:val="none" w:sz="0" w:space="0" w:color="auto"/>
            <w:right w:val="none" w:sz="0" w:space="0" w:color="auto"/>
          </w:divBdr>
        </w:div>
      </w:divsChild>
    </w:div>
    <w:div w:id="1744836504">
      <w:bodyDiv w:val="1"/>
      <w:marLeft w:val="0"/>
      <w:marRight w:val="0"/>
      <w:marTop w:val="0"/>
      <w:marBottom w:val="0"/>
      <w:divBdr>
        <w:top w:val="none" w:sz="0" w:space="0" w:color="auto"/>
        <w:left w:val="none" w:sz="0" w:space="0" w:color="auto"/>
        <w:bottom w:val="none" w:sz="0" w:space="0" w:color="auto"/>
        <w:right w:val="none" w:sz="0" w:space="0" w:color="auto"/>
      </w:divBdr>
    </w:div>
    <w:div w:id="1744839036">
      <w:bodyDiv w:val="1"/>
      <w:marLeft w:val="0"/>
      <w:marRight w:val="0"/>
      <w:marTop w:val="0"/>
      <w:marBottom w:val="0"/>
      <w:divBdr>
        <w:top w:val="none" w:sz="0" w:space="0" w:color="auto"/>
        <w:left w:val="none" w:sz="0" w:space="0" w:color="auto"/>
        <w:bottom w:val="none" w:sz="0" w:space="0" w:color="auto"/>
        <w:right w:val="none" w:sz="0" w:space="0" w:color="auto"/>
      </w:divBdr>
    </w:div>
    <w:div w:id="1746563280">
      <w:bodyDiv w:val="1"/>
      <w:marLeft w:val="0"/>
      <w:marRight w:val="0"/>
      <w:marTop w:val="0"/>
      <w:marBottom w:val="0"/>
      <w:divBdr>
        <w:top w:val="none" w:sz="0" w:space="0" w:color="auto"/>
        <w:left w:val="none" w:sz="0" w:space="0" w:color="auto"/>
        <w:bottom w:val="none" w:sz="0" w:space="0" w:color="auto"/>
        <w:right w:val="none" w:sz="0" w:space="0" w:color="auto"/>
      </w:divBdr>
    </w:div>
    <w:div w:id="1747146524">
      <w:bodyDiv w:val="1"/>
      <w:marLeft w:val="0"/>
      <w:marRight w:val="0"/>
      <w:marTop w:val="0"/>
      <w:marBottom w:val="0"/>
      <w:divBdr>
        <w:top w:val="none" w:sz="0" w:space="0" w:color="auto"/>
        <w:left w:val="none" w:sz="0" w:space="0" w:color="auto"/>
        <w:bottom w:val="none" w:sz="0" w:space="0" w:color="auto"/>
        <w:right w:val="none" w:sz="0" w:space="0" w:color="auto"/>
      </w:divBdr>
    </w:div>
    <w:div w:id="1750081510">
      <w:bodyDiv w:val="1"/>
      <w:marLeft w:val="0"/>
      <w:marRight w:val="0"/>
      <w:marTop w:val="0"/>
      <w:marBottom w:val="0"/>
      <w:divBdr>
        <w:top w:val="none" w:sz="0" w:space="0" w:color="auto"/>
        <w:left w:val="none" w:sz="0" w:space="0" w:color="auto"/>
        <w:bottom w:val="none" w:sz="0" w:space="0" w:color="auto"/>
        <w:right w:val="none" w:sz="0" w:space="0" w:color="auto"/>
      </w:divBdr>
    </w:div>
    <w:div w:id="1750885707">
      <w:bodyDiv w:val="1"/>
      <w:marLeft w:val="0"/>
      <w:marRight w:val="0"/>
      <w:marTop w:val="0"/>
      <w:marBottom w:val="0"/>
      <w:divBdr>
        <w:top w:val="none" w:sz="0" w:space="0" w:color="auto"/>
        <w:left w:val="none" w:sz="0" w:space="0" w:color="auto"/>
        <w:bottom w:val="none" w:sz="0" w:space="0" w:color="auto"/>
        <w:right w:val="none" w:sz="0" w:space="0" w:color="auto"/>
      </w:divBdr>
    </w:div>
    <w:div w:id="1752703545">
      <w:bodyDiv w:val="1"/>
      <w:marLeft w:val="0"/>
      <w:marRight w:val="0"/>
      <w:marTop w:val="0"/>
      <w:marBottom w:val="0"/>
      <w:divBdr>
        <w:top w:val="none" w:sz="0" w:space="0" w:color="auto"/>
        <w:left w:val="none" w:sz="0" w:space="0" w:color="auto"/>
        <w:bottom w:val="none" w:sz="0" w:space="0" w:color="auto"/>
        <w:right w:val="none" w:sz="0" w:space="0" w:color="auto"/>
      </w:divBdr>
      <w:divsChild>
        <w:div w:id="778568089">
          <w:marLeft w:val="0"/>
          <w:marRight w:val="0"/>
          <w:marTop w:val="0"/>
          <w:marBottom w:val="0"/>
          <w:divBdr>
            <w:top w:val="none" w:sz="0" w:space="0" w:color="auto"/>
            <w:left w:val="none" w:sz="0" w:space="0" w:color="auto"/>
            <w:bottom w:val="none" w:sz="0" w:space="0" w:color="auto"/>
            <w:right w:val="none" w:sz="0" w:space="0" w:color="auto"/>
          </w:divBdr>
        </w:div>
        <w:div w:id="1575435783">
          <w:marLeft w:val="0"/>
          <w:marRight w:val="0"/>
          <w:marTop w:val="0"/>
          <w:marBottom w:val="0"/>
          <w:divBdr>
            <w:top w:val="none" w:sz="0" w:space="0" w:color="auto"/>
            <w:left w:val="none" w:sz="0" w:space="0" w:color="auto"/>
            <w:bottom w:val="none" w:sz="0" w:space="0" w:color="auto"/>
            <w:right w:val="none" w:sz="0" w:space="0" w:color="auto"/>
          </w:divBdr>
        </w:div>
        <w:div w:id="704134657">
          <w:marLeft w:val="0"/>
          <w:marRight w:val="0"/>
          <w:marTop w:val="0"/>
          <w:marBottom w:val="0"/>
          <w:divBdr>
            <w:top w:val="none" w:sz="0" w:space="0" w:color="auto"/>
            <w:left w:val="none" w:sz="0" w:space="0" w:color="auto"/>
            <w:bottom w:val="none" w:sz="0" w:space="0" w:color="auto"/>
            <w:right w:val="none" w:sz="0" w:space="0" w:color="auto"/>
          </w:divBdr>
        </w:div>
        <w:div w:id="1402752274">
          <w:marLeft w:val="0"/>
          <w:marRight w:val="0"/>
          <w:marTop w:val="0"/>
          <w:marBottom w:val="0"/>
          <w:divBdr>
            <w:top w:val="none" w:sz="0" w:space="0" w:color="auto"/>
            <w:left w:val="none" w:sz="0" w:space="0" w:color="auto"/>
            <w:bottom w:val="none" w:sz="0" w:space="0" w:color="auto"/>
            <w:right w:val="none" w:sz="0" w:space="0" w:color="auto"/>
          </w:divBdr>
        </w:div>
        <w:div w:id="1039628077">
          <w:marLeft w:val="0"/>
          <w:marRight w:val="0"/>
          <w:marTop w:val="0"/>
          <w:marBottom w:val="0"/>
          <w:divBdr>
            <w:top w:val="none" w:sz="0" w:space="0" w:color="auto"/>
            <w:left w:val="none" w:sz="0" w:space="0" w:color="auto"/>
            <w:bottom w:val="none" w:sz="0" w:space="0" w:color="auto"/>
            <w:right w:val="none" w:sz="0" w:space="0" w:color="auto"/>
          </w:divBdr>
        </w:div>
        <w:div w:id="891235589">
          <w:marLeft w:val="0"/>
          <w:marRight w:val="0"/>
          <w:marTop w:val="0"/>
          <w:marBottom w:val="0"/>
          <w:divBdr>
            <w:top w:val="none" w:sz="0" w:space="0" w:color="auto"/>
            <w:left w:val="none" w:sz="0" w:space="0" w:color="auto"/>
            <w:bottom w:val="none" w:sz="0" w:space="0" w:color="auto"/>
            <w:right w:val="none" w:sz="0" w:space="0" w:color="auto"/>
          </w:divBdr>
        </w:div>
        <w:div w:id="940457108">
          <w:marLeft w:val="0"/>
          <w:marRight w:val="0"/>
          <w:marTop w:val="0"/>
          <w:marBottom w:val="0"/>
          <w:divBdr>
            <w:top w:val="none" w:sz="0" w:space="0" w:color="auto"/>
            <w:left w:val="none" w:sz="0" w:space="0" w:color="auto"/>
            <w:bottom w:val="none" w:sz="0" w:space="0" w:color="auto"/>
            <w:right w:val="none" w:sz="0" w:space="0" w:color="auto"/>
          </w:divBdr>
        </w:div>
        <w:div w:id="215048728">
          <w:marLeft w:val="0"/>
          <w:marRight w:val="0"/>
          <w:marTop w:val="0"/>
          <w:marBottom w:val="0"/>
          <w:divBdr>
            <w:top w:val="none" w:sz="0" w:space="0" w:color="auto"/>
            <w:left w:val="none" w:sz="0" w:space="0" w:color="auto"/>
            <w:bottom w:val="none" w:sz="0" w:space="0" w:color="auto"/>
            <w:right w:val="none" w:sz="0" w:space="0" w:color="auto"/>
          </w:divBdr>
        </w:div>
      </w:divsChild>
    </w:div>
    <w:div w:id="1753621317">
      <w:bodyDiv w:val="1"/>
      <w:marLeft w:val="0"/>
      <w:marRight w:val="0"/>
      <w:marTop w:val="0"/>
      <w:marBottom w:val="0"/>
      <w:divBdr>
        <w:top w:val="none" w:sz="0" w:space="0" w:color="auto"/>
        <w:left w:val="none" w:sz="0" w:space="0" w:color="auto"/>
        <w:bottom w:val="none" w:sz="0" w:space="0" w:color="auto"/>
        <w:right w:val="none" w:sz="0" w:space="0" w:color="auto"/>
      </w:divBdr>
      <w:divsChild>
        <w:div w:id="20509111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5325078">
      <w:bodyDiv w:val="1"/>
      <w:marLeft w:val="0"/>
      <w:marRight w:val="0"/>
      <w:marTop w:val="0"/>
      <w:marBottom w:val="0"/>
      <w:divBdr>
        <w:top w:val="none" w:sz="0" w:space="0" w:color="auto"/>
        <w:left w:val="none" w:sz="0" w:space="0" w:color="auto"/>
        <w:bottom w:val="none" w:sz="0" w:space="0" w:color="auto"/>
        <w:right w:val="none" w:sz="0" w:space="0" w:color="auto"/>
      </w:divBdr>
      <w:divsChild>
        <w:div w:id="725030487">
          <w:blockQuote w:val="1"/>
          <w:marLeft w:val="720"/>
          <w:marRight w:val="720"/>
          <w:marTop w:val="100"/>
          <w:marBottom w:val="100"/>
          <w:divBdr>
            <w:top w:val="none" w:sz="0" w:space="0" w:color="auto"/>
            <w:left w:val="none" w:sz="0" w:space="0" w:color="auto"/>
            <w:bottom w:val="none" w:sz="0" w:space="0" w:color="auto"/>
            <w:right w:val="none" w:sz="0" w:space="0" w:color="auto"/>
          </w:divBdr>
        </w:div>
        <w:div w:id="593588644">
          <w:blockQuote w:val="1"/>
          <w:marLeft w:val="720"/>
          <w:marRight w:val="720"/>
          <w:marTop w:val="100"/>
          <w:marBottom w:val="100"/>
          <w:divBdr>
            <w:top w:val="none" w:sz="0" w:space="0" w:color="auto"/>
            <w:left w:val="none" w:sz="0" w:space="0" w:color="auto"/>
            <w:bottom w:val="none" w:sz="0" w:space="0" w:color="auto"/>
            <w:right w:val="none" w:sz="0" w:space="0" w:color="auto"/>
          </w:divBdr>
        </w:div>
        <w:div w:id="9508668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7676318">
      <w:bodyDiv w:val="1"/>
      <w:marLeft w:val="0"/>
      <w:marRight w:val="0"/>
      <w:marTop w:val="0"/>
      <w:marBottom w:val="0"/>
      <w:divBdr>
        <w:top w:val="none" w:sz="0" w:space="0" w:color="auto"/>
        <w:left w:val="none" w:sz="0" w:space="0" w:color="auto"/>
        <w:bottom w:val="none" w:sz="0" w:space="0" w:color="auto"/>
        <w:right w:val="none" w:sz="0" w:space="0" w:color="auto"/>
      </w:divBdr>
    </w:div>
    <w:div w:id="1765030860">
      <w:bodyDiv w:val="1"/>
      <w:marLeft w:val="0"/>
      <w:marRight w:val="0"/>
      <w:marTop w:val="0"/>
      <w:marBottom w:val="0"/>
      <w:divBdr>
        <w:top w:val="none" w:sz="0" w:space="0" w:color="auto"/>
        <w:left w:val="none" w:sz="0" w:space="0" w:color="auto"/>
        <w:bottom w:val="none" w:sz="0" w:space="0" w:color="auto"/>
        <w:right w:val="none" w:sz="0" w:space="0" w:color="auto"/>
      </w:divBdr>
      <w:divsChild>
        <w:div w:id="9366427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8843980">
      <w:bodyDiv w:val="1"/>
      <w:marLeft w:val="0"/>
      <w:marRight w:val="0"/>
      <w:marTop w:val="0"/>
      <w:marBottom w:val="0"/>
      <w:divBdr>
        <w:top w:val="none" w:sz="0" w:space="0" w:color="auto"/>
        <w:left w:val="none" w:sz="0" w:space="0" w:color="auto"/>
        <w:bottom w:val="none" w:sz="0" w:space="0" w:color="auto"/>
        <w:right w:val="none" w:sz="0" w:space="0" w:color="auto"/>
      </w:divBdr>
    </w:div>
    <w:div w:id="1772387100">
      <w:bodyDiv w:val="1"/>
      <w:marLeft w:val="0"/>
      <w:marRight w:val="0"/>
      <w:marTop w:val="0"/>
      <w:marBottom w:val="0"/>
      <w:divBdr>
        <w:top w:val="none" w:sz="0" w:space="0" w:color="auto"/>
        <w:left w:val="none" w:sz="0" w:space="0" w:color="auto"/>
        <w:bottom w:val="none" w:sz="0" w:space="0" w:color="auto"/>
        <w:right w:val="none" w:sz="0" w:space="0" w:color="auto"/>
      </w:divBdr>
      <w:divsChild>
        <w:div w:id="2534387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5009636">
      <w:bodyDiv w:val="1"/>
      <w:marLeft w:val="0"/>
      <w:marRight w:val="0"/>
      <w:marTop w:val="0"/>
      <w:marBottom w:val="0"/>
      <w:divBdr>
        <w:top w:val="none" w:sz="0" w:space="0" w:color="auto"/>
        <w:left w:val="none" w:sz="0" w:space="0" w:color="auto"/>
        <w:bottom w:val="none" w:sz="0" w:space="0" w:color="auto"/>
        <w:right w:val="none" w:sz="0" w:space="0" w:color="auto"/>
      </w:divBdr>
    </w:div>
    <w:div w:id="1776092944">
      <w:bodyDiv w:val="1"/>
      <w:marLeft w:val="0"/>
      <w:marRight w:val="0"/>
      <w:marTop w:val="0"/>
      <w:marBottom w:val="0"/>
      <w:divBdr>
        <w:top w:val="none" w:sz="0" w:space="0" w:color="auto"/>
        <w:left w:val="none" w:sz="0" w:space="0" w:color="auto"/>
        <w:bottom w:val="none" w:sz="0" w:space="0" w:color="auto"/>
        <w:right w:val="none" w:sz="0" w:space="0" w:color="auto"/>
      </w:divBdr>
    </w:div>
    <w:div w:id="1776436331">
      <w:bodyDiv w:val="1"/>
      <w:marLeft w:val="0"/>
      <w:marRight w:val="0"/>
      <w:marTop w:val="0"/>
      <w:marBottom w:val="0"/>
      <w:divBdr>
        <w:top w:val="none" w:sz="0" w:space="0" w:color="auto"/>
        <w:left w:val="none" w:sz="0" w:space="0" w:color="auto"/>
        <w:bottom w:val="none" w:sz="0" w:space="0" w:color="auto"/>
        <w:right w:val="none" w:sz="0" w:space="0" w:color="auto"/>
      </w:divBdr>
    </w:div>
    <w:div w:id="1776897576">
      <w:bodyDiv w:val="1"/>
      <w:marLeft w:val="0"/>
      <w:marRight w:val="0"/>
      <w:marTop w:val="0"/>
      <w:marBottom w:val="0"/>
      <w:divBdr>
        <w:top w:val="none" w:sz="0" w:space="0" w:color="auto"/>
        <w:left w:val="none" w:sz="0" w:space="0" w:color="auto"/>
        <w:bottom w:val="none" w:sz="0" w:space="0" w:color="auto"/>
        <w:right w:val="none" w:sz="0" w:space="0" w:color="auto"/>
      </w:divBdr>
    </w:div>
    <w:div w:id="1778940122">
      <w:bodyDiv w:val="1"/>
      <w:marLeft w:val="0"/>
      <w:marRight w:val="0"/>
      <w:marTop w:val="0"/>
      <w:marBottom w:val="0"/>
      <w:divBdr>
        <w:top w:val="none" w:sz="0" w:space="0" w:color="auto"/>
        <w:left w:val="none" w:sz="0" w:space="0" w:color="auto"/>
        <w:bottom w:val="none" w:sz="0" w:space="0" w:color="auto"/>
        <w:right w:val="none" w:sz="0" w:space="0" w:color="auto"/>
      </w:divBdr>
    </w:div>
    <w:div w:id="1782676957">
      <w:bodyDiv w:val="1"/>
      <w:marLeft w:val="0"/>
      <w:marRight w:val="0"/>
      <w:marTop w:val="0"/>
      <w:marBottom w:val="0"/>
      <w:divBdr>
        <w:top w:val="none" w:sz="0" w:space="0" w:color="auto"/>
        <w:left w:val="none" w:sz="0" w:space="0" w:color="auto"/>
        <w:bottom w:val="none" w:sz="0" w:space="0" w:color="auto"/>
        <w:right w:val="none" w:sz="0" w:space="0" w:color="auto"/>
      </w:divBdr>
    </w:div>
    <w:div w:id="1784500280">
      <w:bodyDiv w:val="1"/>
      <w:marLeft w:val="0"/>
      <w:marRight w:val="0"/>
      <w:marTop w:val="0"/>
      <w:marBottom w:val="0"/>
      <w:divBdr>
        <w:top w:val="none" w:sz="0" w:space="0" w:color="auto"/>
        <w:left w:val="none" w:sz="0" w:space="0" w:color="auto"/>
        <w:bottom w:val="none" w:sz="0" w:space="0" w:color="auto"/>
        <w:right w:val="none" w:sz="0" w:space="0" w:color="auto"/>
      </w:divBdr>
    </w:div>
    <w:div w:id="1786725699">
      <w:bodyDiv w:val="1"/>
      <w:marLeft w:val="0"/>
      <w:marRight w:val="0"/>
      <w:marTop w:val="0"/>
      <w:marBottom w:val="0"/>
      <w:divBdr>
        <w:top w:val="none" w:sz="0" w:space="0" w:color="auto"/>
        <w:left w:val="none" w:sz="0" w:space="0" w:color="auto"/>
        <w:bottom w:val="none" w:sz="0" w:space="0" w:color="auto"/>
        <w:right w:val="none" w:sz="0" w:space="0" w:color="auto"/>
      </w:divBdr>
    </w:div>
    <w:div w:id="1803573247">
      <w:bodyDiv w:val="1"/>
      <w:marLeft w:val="0"/>
      <w:marRight w:val="0"/>
      <w:marTop w:val="0"/>
      <w:marBottom w:val="0"/>
      <w:divBdr>
        <w:top w:val="none" w:sz="0" w:space="0" w:color="auto"/>
        <w:left w:val="none" w:sz="0" w:space="0" w:color="auto"/>
        <w:bottom w:val="none" w:sz="0" w:space="0" w:color="auto"/>
        <w:right w:val="none" w:sz="0" w:space="0" w:color="auto"/>
      </w:divBdr>
    </w:div>
    <w:div w:id="1805810154">
      <w:bodyDiv w:val="1"/>
      <w:marLeft w:val="0"/>
      <w:marRight w:val="0"/>
      <w:marTop w:val="0"/>
      <w:marBottom w:val="0"/>
      <w:divBdr>
        <w:top w:val="none" w:sz="0" w:space="0" w:color="auto"/>
        <w:left w:val="none" w:sz="0" w:space="0" w:color="auto"/>
        <w:bottom w:val="none" w:sz="0" w:space="0" w:color="auto"/>
        <w:right w:val="none" w:sz="0" w:space="0" w:color="auto"/>
      </w:divBdr>
    </w:div>
    <w:div w:id="1809199447">
      <w:bodyDiv w:val="1"/>
      <w:marLeft w:val="0"/>
      <w:marRight w:val="0"/>
      <w:marTop w:val="0"/>
      <w:marBottom w:val="0"/>
      <w:divBdr>
        <w:top w:val="none" w:sz="0" w:space="0" w:color="auto"/>
        <w:left w:val="none" w:sz="0" w:space="0" w:color="auto"/>
        <w:bottom w:val="none" w:sz="0" w:space="0" w:color="auto"/>
        <w:right w:val="none" w:sz="0" w:space="0" w:color="auto"/>
      </w:divBdr>
    </w:div>
    <w:div w:id="1809784132">
      <w:bodyDiv w:val="1"/>
      <w:marLeft w:val="0"/>
      <w:marRight w:val="0"/>
      <w:marTop w:val="0"/>
      <w:marBottom w:val="0"/>
      <w:divBdr>
        <w:top w:val="none" w:sz="0" w:space="0" w:color="auto"/>
        <w:left w:val="none" w:sz="0" w:space="0" w:color="auto"/>
        <w:bottom w:val="none" w:sz="0" w:space="0" w:color="auto"/>
        <w:right w:val="none" w:sz="0" w:space="0" w:color="auto"/>
      </w:divBdr>
    </w:div>
    <w:div w:id="1813867604">
      <w:bodyDiv w:val="1"/>
      <w:marLeft w:val="0"/>
      <w:marRight w:val="0"/>
      <w:marTop w:val="0"/>
      <w:marBottom w:val="0"/>
      <w:divBdr>
        <w:top w:val="none" w:sz="0" w:space="0" w:color="auto"/>
        <w:left w:val="none" w:sz="0" w:space="0" w:color="auto"/>
        <w:bottom w:val="none" w:sz="0" w:space="0" w:color="auto"/>
        <w:right w:val="none" w:sz="0" w:space="0" w:color="auto"/>
      </w:divBdr>
    </w:div>
    <w:div w:id="1813983323">
      <w:bodyDiv w:val="1"/>
      <w:marLeft w:val="0"/>
      <w:marRight w:val="0"/>
      <w:marTop w:val="0"/>
      <w:marBottom w:val="0"/>
      <w:divBdr>
        <w:top w:val="none" w:sz="0" w:space="0" w:color="auto"/>
        <w:left w:val="none" w:sz="0" w:space="0" w:color="auto"/>
        <w:bottom w:val="none" w:sz="0" w:space="0" w:color="auto"/>
        <w:right w:val="none" w:sz="0" w:space="0" w:color="auto"/>
      </w:divBdr>
      <w:divsChild>
        <w:div w:id="3248686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4521928">
      <w:bodyDiv w:val="1"/>
      <w:marLeft w:val="0"/>
      <w:marRight w:val="0"/>
      <w:marTop w:val="0"/>
      <w:marBottom w:val="0"/>
      <w:divBdr>
        <w:top w:val="none" w:sz="0" w:space="0" w:color="auto"/>
        <w:left w:val="none" w:sz="0" w:space="0" w:color="auto"/>
        <w:bottom w:val="none" w:sz="0" w:space="0" w:color="auto"/>
        <w:right w:val="none" w:sz="0" w:space="0" w:color="auto"/>
      </w:divBdr>
      <w:divsChild>
        <w:div w:id="2091342403">
          <w:blockQuote w:val="1"/>
          <w:marLeft w:val="720"/>
          <w:marRight w:val="720"/>
          <w:marTop w:val="100"/>
          <w:marBottom w:val="100"/>
          <w:divBdr>
            <w:top w:val="none" w:sz="0" w:space="0" w:color="auto"/>
            <w:left w:val="none" w:sz="0" w:space="0" w:color="auto"/>
            <w:bottom w:val="none" w:sz="0" w:space="0" w:color="auto"/>
            <w:right w:val="none" w:sz="0" w:space="0" w:color="auto"/>
          </w:divBdr>
        </w:div>
        <w:div w:id="1551452670">
          <w:blockQuote w:val="1"/>
          <w:marLeft w:val="720"/>
          <w:marRight w:val="720"/>
          <w:marTop w:val="100"/>
          <w:marBottom w:val="100"/>
          <w:divBdr>
            <w:top w:val="none" w:sz="0" w:space="0" w:color="auto"/>
            <w:left w:val="none" w:sz="0" w:space="0" w:color="auto"/>
            <w:bottom w:val="none" w:sz="0" w:space="0" w:color="auto"/>
            <w:right w:val="none" w:sz="0" w:space="0" w:color="auto"/>
          </w:divBdr>
        </w:div>
        <w:div w:id="8808277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3081391">
      <w:bodyDiv w:val="1"/>
      <w:marLeft w:val="0"/>
      <w:marRight w:val="0"/>
      <w:marTop w:val="0"/>
      <w:marBottom w:val="0"/>
      <w:divBdr>
        <w:top w:val="none" w:sz="0" w:space="0" w:color="auto"/>
        <w:left w:val="none" w:sz="0" w:space="0" w:color="auto"/>
        <w:bottom w:val="none" w:sz="0" w:space="0" w:color="auto"/>
        <w:right w:val="none" w:sz="0" w:space="0" w:color="auto"/>
      </w:divBdr>
    </w:div>
    <w:div w:id="1827431917">
      <w:bodyDiv w:val="1"/>
      <w:marLeft w:val="0"/>
      <w:marRight w:val="0"/>
      <w:marTop w:val="0"/>
      <w:marBottom w:val="0"/>
      <w:divBdr>
        <w:top w:val="none" w:sz="0" w:space="0" w:color="auto"/>
        <w:left w:val="none" w:sz="0" w:space="0" w:color="auto"/>
        <w:bottom w:val="none" w:sz="0" w:space="0" w:color="auto"/>
        <w:right w:val="none" w:sz="0" w:space="0" w:color="auto"/>
      </w:divBdr>
      <w:divsChild>
        <w:div w:id="107895029">
          <w:blockQuote w:val="1"/>
          <w:marLeft w:val="720"/>
          <w:marRight w:val="720"/>
          <w:marTop w:val="100"/>
          <w:marBottom w:val="100"/>
          <w:divBdr>
            <w:top w:val="none" w:sz="0" w:space="0" w:color="auto"/>
            <w:left w:val="none" w:sz="0" w:space="0" w:color="auto"/>
            <w:bottom w:val="none" w:sz="0" w:space="0" w:color="auto"/>
            <w:right w:val="none" w:sz="0" w:space="0" w:color="auto"/>
          </w:divBdr>
        </w:div>
        <w:div w:id="11670914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7938097">
      <w:bodyDiv w:val="1"/>
      <w:marLeft w:val="0"/>
      <w:marRight w:val="0"/>
      <w:marTop w:val="0"/>
      <w:marBottom w:val="0"/>
      <w:divBdr>
        <w:top w:val="none" w:sz="0" w:space="0" w:color="auto"/>
        <w:left w:val="none" w:sz="0" w:space="0" w:color="auto"/>
        <w:bottom w:val="none" w:sz="0" w:space="0" w:color="auto"/>
        <w:right w:val="none" w:sz="0" w:space="0" w:color="auto"/>
      </w:divBdr>
    </w:div>
    <w:div w:id="1830630107">
      <w:bodyDiv w:val="1"/>
      <w:marLeft w:val="0"/>
      <w:marRight w:val="0"/>
      <w:marTop w:val="0"/>
      <w:marBottom w:val="0"/>
      <w:divBdr>
        <w:top w:val="none" w:sz="0" w:space="0" w:color="auto"/>
        <w:left w:val="none" w:sz="0" w:space="0" w:color="auto"/>
        <w:bottom w:val="none" w:sz="0" w:space="0" w:color="auto"/>
        <w:right w:val="none" w:sz="0" w:space="0" w:color="auto"/>
      </w:divBdr>
    </w:div>
    <w:div w:id="1830898000">
      <w:bodyDiv w:val="1"/>
      <w:marLeft w:val="0"/>
      <w:marRight w:val="0"/>
      <w:marTop w:val="0"/>
      <w:marBottom w:val="0"/>
      <w:divBdr>
        <w:top w:val="none" w:sz="0" w:space="0" w:color="auto"/>
        <w:left w:val="none" w:sz="0" w:space="0" w:color="auto"/>
        <w:bottom w:val="none" w:sz="0" w:space="0" w:color="auto"/>
        <w:right w:val="none" w:sz="0" w:space="0" w:color="auto"/>
      </w:divBdr>
    </w:div>
    <w:div w:id="1831142137">
      <w:bodyDiv w:val="1"/>
      <w:marLeft w:val="0"/>
      <w:marRight w:val="0"/>
      <w:marTop w:val="0"/>
      <w:marBottom w:val="0"/>
      <w:divBdr>
        <w:top w:val="none" w:sz="0" w:space="0" w:color="auto"/>
        <w:left w:val="none" w:sz="0" w:space="0" w:color="auto"/>
        <w:bottom w:val="none" w:sz="0" w:space="0" w:color="auto"/>
        <w:right w:val="none" w:sz="0" w:space="0" w:color="auto"/>
      </w:divBdr>
    </w:div>
    <w:div w:id="1839423980">
      <w:bodyDiv w:val="1"/>
      <w:marLeft w:val="0"/>
      <w:marRight w:val="0"/>
      <w:marTop w:val="0"/>
      <w:marBottom w:val="0"/>
      <w:divBdr>
        <w:top w:val="none" w:sz="0" w:space="0" w:color="auto"/>
        <w:left w:val="none" w:sz="0" w:space="0" w:color="auto"/>
        <w:bottom w:val="none" w:sz="0" w:space="0" w:color="auto"/>
        <w:right w:val="none" w:sz="0" w:space="0" w:color="auto"/>
      </w:divBdr>
    </w:div>
    <w:div w:id="1843201968">
      <w:bodyDiv w:val="1"/>
      <w:marLeft w:val="0"/>
      <w:marRight w:val="0"/>
      <w:marTop w:val="0"/>
      <w:marBottom w:val="0"/>
      <w:divBdr>
        <w:top w:val="none" w:sz="0" w:space="0" w:color="auto"/>
        <w:left w:val="none" w:sz="0" w:space="0" w:color="auto"/>
        <w:bottom w:val="none" w:sz="0" w:space="0" w:color="auto"/>
        <w:right w:val="none" w:sz="0" w:space="0" w:color="auto"/>
      </w:divBdr>
    </w:div>
    <w:div w:id="1844279006">
      <w:bodyDiv w:val="1"/>
      <w:marLeft w:val="0"/>
      <w:marRight w:val="0"/>
      <w:marTop w:val="0"/>
      <w:marBottom w:val="0"/>
      <w:divBdr>
        <w:top w:val="none" w:sz="0" w:space="0" w:color="auto"/>
        <w:left w:val="none" w:sz="0" w:space="0" w:color="auto"/>
        <w:bottom w:val="none" w:sz="0" w:space="0" w:color="auto"/>
        <w:right w:val="none" w:sz="0" w:space="0" w:color="auto"/>
      </w:divBdr>
    </w:div>
    <w:div w:id="1854147056">
      <w:bodyDiv w:val="1"/>
      <w:marLeft w:val="0"/>
      <w:marRight w:val="0"/>
      <w:marTop w:val="0"/>
      <w:marBottom w:val="0"/>
      <w:divBdr>
        <w:top w:val="none" w:sz="0" w:space="0" w:color="auto"/>
        <w:left w:val="none" w:sz="0" w:space="0" w:color="auto"/>
        <w:bottom w:val="none" w:sz="0" w:space="0" w:color="auto"/>
        <w:right w:val="none" w:sz="0" w:space="0" w:color="auto"/>
      </w:divBdr>
      <w:divsChild>
        <w:div w:id="348530438">
          <w:blockQuote w:val="1"/>
          <w:marLeft w:val="720"/>
          <w:marRight w:val="720"/>
          <w:marTop w:val="100"/>
          <w:marBottom w:val="100"/>
          <w:divBdr>
            <w:top w:val="none" w:sz="0" w:space="0" w:color="auto"/>
            <w:left w:val="none" w:sz="0" w:space="0" w:color="auto"/>
            <w:bottom w:val="none" w:sz="0" w:space="0" w:color="auto"/>
            <w:right w:val="none" w:sz="0" w:space="0" w:color="auto"/>
          </w:divBdr>
        </w:div>
        <w:div w:id="1043748721">
          <w:blockQuote w:val="1"/>
          <w:marLeft w:val="720"/>
          <w:marRight w:val="720"/>
          <w:marTop w:val="100"/>
          <w:marBottom w:val="100"/>
          <w:divBdr>
            <w:top w:val="none" w:sz="0" w:space="0" w:color="auto"/>
            <w:left w:val="none" w:sz="0" w:space="0" w:color="auto"/>
            <w:bottom w:val="none" w:sz="0" w:space="0" w:color="auto"/>
            <w:right w:val="none" w:sz="0" w:space="0" w:color="auto"/>
          </w:divBdr>
        </w:div>
        <w:div w:id="1042487339">
          <w:blockQuote w:val="1"/>
          <w:marLeft w:val="720"/>
          <w:marRight w:val="720"/>
          <w:marTop w:val="100"/>
          <w:marBottom w:val="100"/>
          <w:divBdr>
            <w:top w:val="none" w:sz="0" w:space="0" w:color="auto"/>
            <w:left w:val="none" w:sz="0" w:space="0" w:color="auto"/>
            <w:bottom w:val="none" w:sz="0" w:space="0" w:color="auto"/>
            <w:right w:val="none" w:sz="0" w:space="0" w:color="auto"/>
          </w:divBdr>
        </w:div>
        <w:div w:id="940601890">
          <w:blockQuote w:val="1"/>
          <w:marLeft w:val="720"/>
          <w:marRight w:val="720"/>
          <w:marTop w:val="100"/>
          <w:marBottom w:val="100"/>
          <w:divBdr>
            <w:top w:val="none" w:sz="0" w:space="0" w:color="auto"/>
            <w:left w:val="none" w:sz="0" w:space="0" w:color="auto"/>
            <w:bottom w:val="none" w:sz="0" w:space="0" w:color="auto"/>
            <w:right w:val="none" w:sz="0" w:space="0" w:color="auto"/>
          </w:divBdr>
        </w:div>
        <w:div w:id="646976727">
          <w:blockQuote w:val="1"/>
          <w:marLeft w:val="720"/>
          <w:marRight w:val="720"/>
          <w:marTop w:val="100"/>
          <w:marBottom w:val="100"/>
          <w:divBdr>
            <w:top w:val="none" w:sz="0" w:space="0" w:color="auto"/>
            <w:left w:val="none" w:sz="0" w:space="0" w:color="auto"/>
            <w:bottom w:val="none" w:sz="0" w:space="0" w:color="auto"/>
            <w:right w:val="none" w:sz="0" w:space="0" w:color="auto"/>
          </w:divBdr>
        </w:div>
        <w:div w:id="451482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5610153">
      <w:bodyDiv w:val="1"/>
      <w:marLeft w:val="0"/>
      <w:marRight w:val="0"/>
      <w:marTop w:val="0"/>
      <w:marBottom w:val="0"/>
      <w:divBdr>
        <w:top w:val="none" w:sz="0" w:space="0" w:color="auto"/>
        <w:left w:val="none" w:sz="0" w:space="0" w:color="auto"/>
        <w:bottom w:val="none" w:sz="0" w:space="0" w:color="auto"/>
        <w:right w:val="none" w:sz="0" w:space="0" w:color="auto"/>
      </w:divBdr>
      <w:divsChild>
        <w:div w:id="20223929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8159151">
      <w:bodyDiv w:val="1"/>
      <w:marLeft w:val="0"/>
      <w:marRight w:val="0"/>
      <w:marTop w:val="0"/>
      <w:marBottom w:val="0"/>
      <w:divBdr>
        <w:top w:val="none" w:sz="0" w:space="0" w:color="auto"/>
        <w:left w:val="none" w:sz="0" w:space="0" w:color="auto"/>
        <w:bottom w:val="none" w:sz="0" w:space="0" w:color="auto"/>
        <w:right w:val="none" w:sz="0" w:space="0" w:color="auto"/>
      </w:divBdr>
    </w:div>
    <w:div w:id="1863473543">
      <w:bodyDiv w:val="1"/>
      <w:marLeft w:val="0"/>
      <w:marRight w:val="0"/>
      <w:marTop w:val="0"/>
      <w:marBottom w:val="0"/>
      <w:divBdr>
        <w:top w:val="none" w:sz="0" w:space="0" w:color="auto"/>
        <w:left w:val="none" w:sz="0" w:space="0" w:color="auto"/>
        <w:bottom w:val="none" w:sz="0" w:space="0" w:color="auto"/>
        <w:right w:val="none" w:sz="0" w:space="0" w:color="auto"/>
      </w:divBdr>
      <w:divsChild>
        <w:div w:id="361985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540324">
      <w:bodyDiv w:val="1"/>
      <w:marLeft w:val="0"/>
      <w:marRight w:val="0"/>
      <w:marTop w:val="0"/>
      <w:marBottom w:val="0"/>
      <w:divBdr>
        <w:top w:val="none" w:sz="0" w:space="0" w:color="auto"/>
        <w:left w:val="none" w:sz="0" w:space="0" w:color="auto"/>
        <w:bottom w:val="none" w:sz="0" w:space="0" w:color="auto"/>
        <w:right w:val="none" w:sz="0" w:space="0" w:color="auto"/>
      </w:divBdr>
      <w:divsChild>
        <w:div w:id="987512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6720878">
      <w:bodyDiv w:val="1"/>
      <w:marLeft w:val="0"/>
      <w:marRight w:val="0"/>
      <w:marTop w:val="0"/>
      <w:marBottom w:val="0"/>
      <w:divBdr>
        <w:top w:val="none" w:sz="0" w:space="0" w:color="auto"/>
        <w:left w:val="none" w:sz="0" w:space="0" w:color="auto"/>
        <w:bottom w:val="none" w:sz="0" w:space="0" w:color="auto"/>
        <w:right w:val="none" w:sz="0" w:space="0" w:color="auto"/>
      </w:divBdr>
    </w:div>
    <w:div w:id="1888564240">
      <w:bodyDiv w:val="1"/>
      <w:marLeft w:val="0"/>
      <w:marRight w:val="0"/>
      <w:marTop w:val="0"/>
      <w:marBottom w:val="0"/>
      <w:divBdr>
        <w:top w:val="none" w:sz="0" w:space="0" w:color="auto"/>
        <w:left w:val="none" w:sz="0" w:space="0" w:color="auto"/>
        <w:bottom w:val="none" w:sz="0" w:space="0" w:color="auto"/>
        <w:right w:val="none" w:sz="0" w:space="0" w:color="auto"/>
      </w:divBdr>
    </w:div>
    <w:div w:id="1894075045">
      <w:bodyDiv w:val="1"/>
      <w:marLeft w:val="0"/>
      <w:marRight w:val="0"/>
      <w:marTop w:val="0"/>
      <w:marBottom w:val="0"/>
      <w:divBdr>
        <w:top w:val="none" w:sz="0" w:space="0" w:color="auto"/>
        <w:left w:val="none" w:sz="0" w:space="0" w:color="auto"/>
        <w:bottom w:val="none" w:sz="0" w:space="0" w:color="auto"/>
        <w:right w:val="none" w:sz="0" w:space="0" w:color="auto"/>
      </w:divBdr>
      <w:divsChild>
        <w:div w:id="760762879">
          <w:blockQuote w:val="1"/>
          <w:marLeft w:val="720"/>
          <w:marRight w:val="720"/>
          <w:marTop w:val="100"/>
          <w:marBottom w:val="100"/>
          <w:divBdr>
            <w:top w:val="none" w:sz="0" w:space="0" w:color="auto"/>
            <w:left w:val="none" w:sz="0" w:space="0" w:color="auto"/>
            <w:bottom w:val="none" w:sz="0" w:space="0" w:color="auto"/>
            <w:right w:val="none" w:sz="0" w:space="0" w:color="auto"/>
          </w:divBdr>
        </w:div>
        <w:div w:id="10596740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4845536">
      <w:bodyDiv w:val="1"/>
      <w:marLeft w:val="0"/>
      <w:marRight w:val="0"/>
      <w:marTop w:val="0"/>
      <w:marBottom w:val="0"/>
      <w:divBdr>
        <w:top w:val="none" w:sz="0" w:space="0" w:color="auto"/>
        <w:left w:val="none" w:sz="0" w:space="0" w:color="auto"/>
        <w:bottom w:val="none" w:sz="0" w:space="0" w:color="auto"/>
        <w:right w:val="none" w:sz="0" w:space="0" w:color="auto"/>
      </w:divBdr>
    </w:div>
    <w:div w:id="1901134144">
      <w:bodyDiv w:val="1"/>
      <w:marLeft w:val="0"/>
      <w:marRight w:val="0"/>
      <w:marTop w:val="0"/>
      <w:marBottom w:val="0"/>
      <w:divBdr>
        <w:top w:val="none" w:sz="0" w:space="0" w:color="auto"/>
        <w:left w:val="none" w:sz="0" w:space="0" w:color="auto"/>
        <w:bottom w:val="none" w:sz="0" w:space="0" w:color="auto"/>
        <w:right w:val="none" w:sz="0" w:space="0" w:color="auto"/>
      </w:divBdr>
    </w:div>
    <w:div w:id="1902130286">
      <w:bodyDiv w:val="1"/>
      <w:marLeft w:val="0"/>
      <w:marRight w:val="0"/>
      <w:marTop w:val="0"/>
      <w:marBottom w:val="0"/>
      <w:divBdr>
        <w:top w:val="none" w:sz="0" w:space="0" w:color="auto"/>
        <w:left w:val="none" w:sz="0" w:space="0" w:color="auto"/>
        <w:bottom w:val="none" w:sz="0" w:space="0" w:color="auto"/>
        <w:right w:val="none" w:sz="0" w:space="0" w:color="auto"/>
      </w:divBdr>
    </w:div>
    <w:div w:id="1905333885">
      <w:bodyDiv w:val="1"/>
      <w:marLeft w:val="0"/>
      <w:marRight w:val="0"/>
      <w:marTop w:val="0"/>
      <w:marBottom w:val="0"/>
      <w:divBdr>
        <w:top w:val="none" w:sz="0" w:space="0" w:color="auto"/>
        <w:left w:val="none" w:sz="0" w:space="0" w:color="auto"/>
        <w:bottom w:val="none" w:sz="0" w:space="0" w:color="auto"/>
        <w:right w:val="none" w:sz="0" w:space="0" w:color="auto"/>
      </w:divBdr>
    </w:div>
    <w:div w:id="1912543914">
      <w:bodyDiv w:val="1"/>
      <w:marLeft w:val="0"/>
      <w:marRight w:val="0"/>
      <w:marTop w:val="0"/>
      <w:marBottom w:val="0"/>
      <w:divBdr>
        <w:top w:val="none" w:sz="0" w:space="0" w:color="auto"/>
        <w:left w:val="none" w:sz="0" w:space="0" w:color="auto"/>
        <w:bottom w:val="none" w:sz="0" w:space="0" w:color="auto"/>
        <w:right w:val="none" w:sz="0" w:space="0" w:color="auto"/>
      </w:divBdr>
      <w:divsChild>
        <w:div w:id="10867266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1062816">
      <w:bodyDiv w:val="1"/>
      <w:marLeft w:val="0"/>
      <w:marRight w:val="0"/>
      <w:marTop w:val="0"/>
      <w:marBottom w:val="0"/>
      <w:divBdr>
        <w:top w:val="none" w:sz="0" w:space="0" w:color="auto"/>
        <w:left w:val="none" w:sz="0" w:space="0" w:color="auto"/>
        <w:bottom w:val="none" w:sz="0" w:space="0" w:color="auto"/>
        <w:right w:val="none" w:sz="0" w:space="0" w:color="auto"/>
      </w:divBdr>
    </w:div>
    <w:div w:id="1932934345">
      <w:bodyDiv w:val="1"/>
      <w:marLeft w:val="0"/>
      <w:marRight w:val="0"/>
      <w:marTop w:val="0"/>
      <w:marBottom w:val="0"/>
      <w:divBdr>
        <w:top w:val="none" w:sz="0" w:space="0" w:color="auto"/>
        <w:left w:val="none" w:sz="0" w:space="0" w:color="auto"/>
        <w:bottom w:val="none" w:sz="0" w:space="0" w:color="auto"/>
        <w:right w:val="none" w:sz="0" w:space="0" w:color="auto"/>
      </w:divBdr>
    </w:div>
    <w:div w:id="1938638359">
      <w:bodyDiv w:val="1"/>
      <w:marLeft w:val="0"/>
      <w:marRight w:val="0"/>
      <w:marTop w:val="0"/>
      <w:marBottom w:val="0"/>
      <w:divBdr>
        <w:top w:val="none" w:sz="0" w:space="0" w:color="auto"/>
        <w:left w:val="none" w:sz="0" w:space="0" w:color="auto"/>
        <w:bottom w:val="none" w:sz="0" w:space="0" w:color="auto"/>
        <w:right w:val="none" w:sz="0" w:space="0" w:color="auto"/>
      </w:divBdr>
    </w:div>
    <w:div w:id="1939292517">
      <w:bodyDiv w:val="1"/>
      <w:marLeft w:val="0"/>
      <w:marRight w:val="0"/>
      <w:marTop w:val="0"/>
      <w:marBottom w:val="0"/>
      <w:divBdr>
        <w:top w:val="none" w:sz="0" w:space="0" w:color="auto"/>
        <w:left w:val="none" w:sz="0" w:space="0" w:color="auto"/>
        <w:bottom w:val="none" w:sz="0" w:space="0" w:color="auto"/>
        <w:right w:val="none" w:sz="0" w:space="0" w:color="auto"/>
      </w:divBdr>
    </w:div>
    <w:div w:id="1946108831">
      <w:bodyDiv w:val="1"/>
      <w:marLeft w:val="0"/>
      <w:marRight w:val="0"/>
      <w:marTop w:val="0"/>
      <w:marBottom w:val="0"/>
      <w:divBdr>
        <w:top w:val="none" w:sz="0" w:space="0" w:color="auto"/>
        <w:left w:val="none" w:sz="0" w:space="0" w:color="auto"/>
        <w:bottom w:val="none" w:sz="0" w:space="0" w:color="auto"/>
        <w:right w:val="none" w:sz="0" w:space="0" w:color="auto"/>
      </w:divBdr>
      <w:divsChild>
        <w:div w:id="8227406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8274357">
      <w:bodyDiv w:val="1"/>
      <w:marLeft w:val="0"/>
      <w:marRight w:val="0"/>
      <w:marTop w:val="0"/>
      <w:marBottom w:val="0"/>
      <w:divBdr>
        <w:top w:val="none" w:sz="0" w:space="0" w:color="auto"/>
        <w:left w:val="none" w:sz="0" w:space="0" w:color="auto"/>
        <w:bottom w:val="none" w:sz="0" w:space="0" w:color="auto"/>
        <w:right w:val="none" w:sz="0" w:space="0" w:color="auto"/>
      </w:divBdr>
    </w:div>
    <w:div w:id="1963804872">
      <w:bodyDiv w:val="1"/>
      <w:marLeft w:val="0"/>
      <w:marRight w:val="0"/>
      <w:marTop w:val="0"/>
      <w:marBottom w:val="0"/>
      <w:divBdr>
        <w:top w:val="none" w:sz="0" w:space="0" w:color="auto"/>
        <w:left w:val="none" w:sz="0" w:space="0" w:color="auto"/>
        <w:bottom w:val="none" w:sz="0" w:space="0" w:color="auto"/>
        <w:right w:val="none" w:sz="0" w:space="0" w:color="auto"/>
      </w:divBdr>
    </w:div>
    <w:div w:id="1969164418">
      <w:bodyDiv w:val="1"/>
      <w:marLeft w:val="0"/>
      <w:marRight w:val="0"/>
      <w:marTop w:val="0"/>
      <w:marBottom w:val="0"/>
      <w:divBdr>
        <w:top w:val="none" w:sz="0" w:space="0" w:color="auto"/>
        <w:left w:val="none" w:sz="0" w:space="0" w:color="auto"/>
        <w:bottom w:val="none" w:sz="0" w:space="0" w:color="auto"/>
        <w:right w:val="none" w:sz="0" w:space="0" w:color="auto"/>
      </w:divBdr>
    </w:div>
    <w:div w:id="1971980596">
      <w:bodyDiv w:val="1"/>
      <w:marLeft w:val="0"/>
      <w:marRight w:val="0"/>
      <w:marTop w:val="0"/>
      <w:marBottom w:val="0"/>
      <w:divBdr>
        <w:top w:val="none" w:sz="0" w:space="0" w:color="auto"/>
        <w:left w:val="none" w:sz="0" w:space="0" w:color="auto"/>
        <w:bottom w:val="none" w:sz="0" w:space="0" w:color="auto"/>
        <w:right w:val="none" w:sz="0" w:space="0" w:color="auto"/>
      </w:divBdr>
      <w:divsChild>
        <w:div w:id="1322582285">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634465">
          <w:blockQuote w:val="1"/>
          <w:marLeft w:val="720"/>
          <w:marRight w:val="720"/>
          <w:marTop w:val="100"/>
          <w:marBottom w:val="100"/>
          <w:divBdr>
            <w:top w:val="none" w:sz="0" w:space="0" w:color="auto"/>
            <w:left w:val="none" w:sz="0" w:space="0" w:color="auto"/>
            <w:bottom w:val="none" w:sz="0" w:space="0" w:color="auto"/>
            <w:right w:val="none" w:sz="0" w:space="0" w:color="auto"/>
          </w:divBdr>
        </w:div>
        <w:div w:id="723523816">
          <w:blockQuote w:val="1"/>
          <w:marLeft w:val="720"/>
          <w:marRight w:val="720"/>
          <w:marTop w:val="100"/>
          <w:marBottom w:val="100"/>
          <w:divBdr>
            <w:top w:val="none" w:sz="0" w:space="0" w:color="auto"/>
            <w:left w:val="none" w:sz="0" w:space="0" w:color="auto"/>
            <w:bottom w:val="none" w:sz="0" w:space="0" w:color="auto"/>
            <w:right w:val="none" w:sz="0" w:space="0" w:color="auto"/>
          </w:divBdr>
        </w:div>
        <w:div w:id="494077613">
          <w:blockQuote w:val="1"/>
          <w:marLeft w:val="720"/>
          <w:marRight w:val="720"/>
          <w:marTop w:val="100"/>
          <w:marBottom w:val="100"/>
          <w:divBdr>
            <w:top w:val="none" w:sz="0" w:space="0" w:color="auto"/>
            <w:left w:val="none" w:sz="0" w:space="0" w:color="auto"/>
            <w:bottom w:val="none" w:sz="0" w:space="0" w:color="auto"/>
            <w:right w:val="none" w:sz="0" w:space="0" w:color="auto"/>
          </w:divBdr>
        </w:div>
        <w:div w:id="474025471">
          <w:blockQuote w:val="1"/>
          <w:marLeft w:val="720"/>
          <w:marRight w:val="720"/>
          <w:marTop w:val="100"/>
          <w:marBottom w:val="100"/>
          <w:divBdr>
            <w:top w:val="none" w:sz="0" w:space="0" w:color="auto"/>
            <w:left w:val="none" w:sz="0" w:space="0" w:color="auto"/>
            <w:bottom w:val="none" w:sz="0" w:space="0" w:color="auto"/>
            <w:right w:val="none" w:sz="0" w:space="0" w:color="auto"/>
          </w:divBdr>
        </w:div>
        <w:div w:id="1083837779">
          <w:blockQuote w:val="1"/>
          <w:marLeft w:val="720"/>
          <w:marRight w:val="720"/>
          <w:marTop w:val="100"/>
          <w:marBottom w:val="100"/>
          <w:divBdr>
            <w:top w:val="none" w:sz="0" w:space="0" w:color="auto"/>
            <w:left w:val="none" w:sz="0" w:space="0" w:color="auto"/>
            <w:bottom w:val="none" w:sz="0" w:space="0" w:color="auto"/>
            <w:right w:val="none" w:sz="0" w:space="0" w:color="auto"/>
          </w:divBdr>
        </w:div>
        <w:div w:id="777720948">
          <w:blockQuote w:val="1"/>
          <w:marLeft w:val="720"/>
          <w:marRight w:val="720"/>
          <w:marTop w:val="100"/>
          <w:marBottom w:val="100"/>
          <w:divBdr>
            <w:top w:val="none" w:sz="0" w:space="0" w:color="auto"/>
            <w:left w:val="none" w:sz="0" w:space="0" w:color="auto"/>
            <w:bottom w:val="none" w:sz="0" w:space="0" w:color="auto"/>
            <w:right w:val="none" w:sz="0" w:space="0" w:color="auto"/>
          </w:divBdr>
        </w:div>
        <w:div w:id="8681780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2900345">
      <w:bodyDiv w:val="1"/>
      <w:marLeft w:val="0"/>
      <w:marRight w:val="0"/>
      <w:marTop w:val="0"/>
      <w:marBottom w:val="0"/>
      <w:divBdr>
        <w:top w:val="none" w:sz="0" w:space="0" w:color="auto"/>
        <w:left w:val="none" w:sz="0" w:space="0" w:color="auto"/>
        <w:bottom w:val="none" w:sz="0" w:space="0" w:color="auto"/>
        <w:right w:val="none" w:sz="0" w:space="0" w:color="auto"/>
      </w:divBdr>
      <w:divsChild>
        <w:div w:id="198665076">
          <w:marLeft w:val="0"/>
          <w:marRight w:val="0"/>
          <w:marTop w:val="0"/>
          <w:marBottom w:val="0"/>
          <w:divBdr>
            <w:top w:val="none" w:sz="0" w:space="0" w:color="auto"/>
            <w:left w:val="none" w:sz="0" w:space="0" w:color="auto"/>
            <w:bottom w:val="none" w:sz="0" w:space="0" w:color="auto"/>
            <w:right w:val="none" w:sz="0" w:space="0" w:color="auto"/>
          </w:divBdr>
        </w:div>
      </w:divsChild>
    </w:div>
    <w:div w:id="1977293456">
      <w:bodyDiv w:val="1"/>
      <w:marLeft w:val="0"/>
      <w:marRight w:val="0"/>
      <w:marTop w:val="0"/>
      <w:marBottom w:val="0"/>
      <w:divBdr>
        <w:top w:val="none" w:sz="0" w:space="0" w:color="auto"/>
        <w:left w:val="none" w:sz="0" w:space="0" w:color="auto"/>
        <w:bottom w:val="none" w:sz="0" w:space="0" w:color="auto"/>
        <w:right w:val="none" w:sz="0" w:space="0" w:color="auto"/>
      </w:divBdr>
    </w:div>
    <w:div w:id="1982728482">
      <w:bodyDiv w:val="1"/>
      <w:marLeft w:val="0"/>
      <w:marRight w:val="0"/>
      <w:marTop w:val="0"/>
      <w:marBottom w:val="0"/>
      <w:divBdr>
        <w:top w:val="none" w:sz="0" w:space="0" w:color="auto"/>
        <w:left w:val="none" w:sz="0" w:space="0" w:color="auto"/>
        <w:bottom w:val="none" w:sz="0" w:space="0" w:color="auto"/>
        <w:right w:val="none" w:sz="0" w:space="0" w:color="auto"/>
      </w:divBdr>
    </w:div>
    <w:div w:id="1988780553">
      <w:bodyDiv w:val="1"/>
      <w:marLeft w:val="0"/>
      <w:marRight w:val="0"/>
      <w:marTop w:val="0"/>
      <w:marBottom w:val="0"/>
      <w:divBdr>
        <w:top w:val="none" w:sz="0" w:space="0" w:color="auto"/>
        <w:left w:val="none" w:sz="0" w:space="0" w:color="auto"/>
        <w:bottom w:val="none" w:sz="0" w:space="0" w:color="auto"/>
        <w:right w:val="none" w:sz="0" w:space="0" w:color="auto"/>
      </w:divBdr>
    </w:div>
    <w:div w:id="1993440708">
      <w:bodyDiv w:val="1"/>
      <w:marLeft w:val="0"/>
      <w:marRight w:val="0"/>
      <w:marTop w:val="0"/>
      <w:marBottom w:val="0"/>
      <w:divBdr>
        <w:top w:val="none" w:sz="0" w:space="0" w:color="auto"/>
        <w:left w:val="none" w:sz="0" w:space="0" w:color="auto"/>
        <w:bottom w:val="none" w:sz="0" w:space="0" w:color="auto"/>
        <w:right w:val="none" w:sz="0" w:space="0" w:color="auto"/>
      </w:divBdr>
    </w:div>
    <w:div w:id="1997032306">
      <w:bodyDiv w:val="1"/>
      <w:marLeft w:val="0"/>
      <w:marRight w:val="0"/>
      <w:marTop w:val="0"/>
      <w:marBottom w:val="0"/>
      <w:divBdr>
        <w:top w:val="none" w:sz="0" w:space="0" w:color="auto"/>
        <w:left w:val="none" w:sz="0" w:space="0" w:color="auto"/>
        <w:bottom w:val="none" w:sz="0" w:space="0" w:color="auto"/>
        <w:right w:val="none" w:sz="0" w:space="0" w:color="auto"/>
      </w:divBdr>
    </w:div>
    <w:div w:id="2001342984">
      <w:bodyDiv w:val="1"/>
      <w:marLeft w:val="0"/>
      <w:marRight w:val="0"/>
      <w:marTop w:val="0"/>
      <w:marBottom w:val="0"/>
      <w:divBdr>
        <w:top w:val="none" w:sz="0" w:space="0" w:color="auto"/>
        <w:left w:val="none" w:sz="0" w:space="0" w:color="auto"/>
        <w:bottom w:val="none" w:sz="0" w:space="0" w:color="auto"/>
        <w:right w:val="none" w:sz="0" w:space="0" w:color="auto"/>
      </w:divBdr>
    </w:div>
    <w:div w:id="2001806460">
      <w:bodyDiv w:val="1"/>
      <w:marLeft w:val="0"/>
      <w:marRight w:val="0"/>
      <w:marTop w:val="0"/>
      <w:marBottom w:val="0"/>
      <w:divBdr>
        <w:top w:val="none" w:sz="0" w:space="0" w:color="auto"/>
        <w:left w:val="none" w:sz="0" w:space="0" w:color="auto"/>
        <w:bottom w:val="none" w:sz="0" w:space="0" w:color="auto"/>
        <w:right w:val="none" w:sz="0" w:space="0" w:color="auto"/>
      </w:divBdr>
    </w:div>
    <w:div w:id="2014450381">
      <w:bodyDiv w:val="1"/>
      <w:marLeft w:val="0"/>
      <w:marRight w:val="0"/>
      <w:marTop w:val="0"/>
      <w:marBottom w:val="0"/>
      <w:divBdr>
        <w:top w:val="none" w:sz="0" w:space="0" w:color="auto"/>
        <w:left w:val="none" w:sz="0" w:space="0" w:color="auto"/>
        <w:bottom w:val="none" w:sz="0" w:space="0" w:color="auto"/>
        <w:right w:val="none" w:sz="0" w:space="0" w:color="auto"/>
      </w:divBdr>
    </w:div>
    <w:div w:id="2019431038">
      <w:bodyDiv w:val="1"/>
      <w:marLeft w:val="0"/>
      <w:marRight w:val="0"/>
      <w:marTop w:val="0"/>
      <w:marBottom w:val="0"/>
      <w:divBdr>
        <w:top w:val="none" w:sz="0" w:space="0" w:color="auto"/>
        <w:left w:val="none" w:sz="0" w:space="0" w:color="auto"/>
        <w:bottom w:val="none" w:sz="0" w:space="0" w:color="auto"/>
        <w:right w:val="none" w:sz="0" w:space="0" w:color="auto"/>
      </w:divBdr>
    </w:div>
    <w:div w:id="2034457893">
      <w:bodyDiv w:val="1"/>
      <w:marLeft w:val="0"/>
      <w:marRight w:val="0"/>
      <w:marTop w:val="0"/>
      <w:marBottom w:val="0"/>
      <w:divBdr>
        <w:top w:val="none" w:sz="0" w:space="0" w:color="auto"/>
        <w:left w:val="none" w:sz="0" w:space="0" w:color="auto"/>
        <w:bottom w:val="none" w:sz="0" w:space="0" w:color="auto"/>
        <w:right w:val="none" w:sz="0" w:space="0" w:color="auto"/>
      </w:divBdr>
    </w:div>
    <w:div w:id="2041201421">
      <w:bodyDiv w:val="1"/>
      <w:marLeft w:val="0"/>
      <w:marRight w:val="0"/>
      <w:marTop w:val="0"/>
      <w:marBottom w:val="0"/>
      <w:divBdr>
        <w:top w:val="none" w:sz="0" w:space="0" w:color="auto"/>
        <w:left w:val="none" w:sz="0" w:space="0" w:color="auto"/>
        <w:bottom w:val="none" w:sz="0" w:space="0" w:color="auto"/>
        <w:right w:val="none" w:sz="0" w:space="0" w:color="auto"/>
      </w:divBdr>
    </w:div>
    <w:div w:id="2042895682">
      <w:bodyDiv w:val="1"/>
      <w:marLeft w:val="0"/>
      <w:marRight w:val="0"/>
      <w:marTop w:val="0"/>
      <w:marBottom w:val="0"/>
      <w:divBdr>
        <w:top w:val="none" w:sz="0" w:space="0" w:color="auto"/>
        <w:left w:val="none" w:sz="0" w:space="0" w:color="auto"/>
        <w:bottom w:val="none" w:sz="0" w:space="0" w:color="auto"/>
        <w:right w:val="none" w:sz="0" w:space="0" w:color="auto"/>
      </w:divBdr>
    </w:div>
    <w:div w:id="2048674206">
      <w:bodyDiv w:val="1"/>
      <w:marLeft w:val="0"/>
      <w:marRight w:val="0"/>
      <w:marTop w:val="0"/>
      <w:marBottom w:val="0"/>
      <w:divBdr>
        <w:top w:val="none" w:sz="0" w:space="0" w:color="auto"/>
        <w:left w:val="none" w:sz="0" w:space="0" w:color="auto"/>
        <w:bottom w:val="none" w:sz="0" w:space="0" w:color="auto"/>
        <w:right w:val="none" w:sz="0" w:space="0" w:color="auto"/>
      </w:divBdr>
    </w:div>
    <w:div w:id="2050303723">
      <w:bodyDiv w:val="1"/>
      <w:marLeft w:val="0"/>
      <w:marRight w:val="0"/>
      <w:marTop w:val="0"/>
      <w:marBottom w:val="0"/>
      <w:divBdr>
        <w:top w:val="none" w:sz="0" w:space="0" w:color="auto"/>
        <w:left w:val="none" w:sz="0" w:space="0" w:color="auto"/>
        <w:bottom w:val="none" w:sz="0" w:space="0" w:color="auto"/>
        <w:right w:val="none" w:sz="0" w:space="0" w:color="auto"/>
      </w:divBdr>
      <w:divsChild>
        <w:div w:id="1574467864">
          <w:marLeft w:val="0"/>
          <w:marRight w:val="0"/>
          <w:marTop w:val="0"/>
          <w:marBottom w:val="0"/>
          <w:divBdr>
            <w:top w:val="single" w:sz="2" w:space="0" w:color="auto"/>
            <w:left w:val="single" w:sz="2" w:space="0" w:color="auto"/>
            <w:bottom w:val="single" w:sz="2" w:space="0" w:color="auto"/>
            <w:right w:val="single" w:sz="2" w:space="0" w:color="auto"/>
          </w:divBdr>
          <w:divsChild>
            <w:div w:id="1789617745">
              <w:marLeft w:val="0"/>
              <w:marRight w:val="0"/>
              <w:marTop w:val="0"/>
              <w:marBottom w:val="0"/>
              <w:divBdr>
                <w:top w:val="single" w:sz="2" w:space="0" w:color="auto"/>
                <w:left w:val="single" w:sz="2" w:space="0" w:color="auto"/>
                <w:bottom w:val="single" w:sz="2" w:space="0" w:color="auto"/>
                <w:right w:val="single" w:sz="2" w:space="0" w:color="auto"/>
              </w:divBdr>
            </w:div>
          </w:divsChild>
        </w:div>
        <w:div w:id="1436746779">
          <w:marLeft w:val="0"/>
          <w:marRight w:val="0"/>
          <w:marTop w:val="0"/>
          <w:marBottom w:val="0"/>
          <w:divBdr>
            <w:top w:val="single" w:sz="2" w:space="0" w:color="auto"/>
            <w:left w:val="single" w:sz="2" w:space="0" w:color="auto"/>
            <w:bottom w:val="single" w:sz="2" w:space="0" w:color="auto"/>
            <w:right w:val="single" w:sz="2" w:space="0" w:color="auto"/>
          </w:divBdr>
          <w:divsChild>
            <w:div w:id="1859079778">
              <w:marLeft w:val="0"/>
              <w:marRight w:val="0"/>
              <w:marTop w:val="0"/>
              <w:marBottom w:val="0"/>
              <w:divBdr>
                <w:top w:val="single" w:sz="2" w:space="0" w:color="auto"/>
                <w:left w:val="single" w:sz="2" w:space="0" w:color="auto"/>
                <w:bottom w:val="single" w:sz="2" w:space="0" w:color="auto"/>
                <w:right w:val="single" w:sz="2" w:space="0" w:color="auto"/>
              </w:divBdr>
              <w:divsChild>
                <w:div w:id="1375155590">
                  <w:marLeft w:val="0"/>
                  <w:marRight w:val="0"/>
                  <w:marTop w:val="0"/>
                  <w:marBottom w:val="0"/>
                  <w:divBdr>
                    <w:top w:val="single" w:sz="2" w:space="0" w:color="auto"/>
                    <w:left w:val="single" w:sz="2" w:space="0" w:color="auto"/>
                    <w:bottom w:val="single" w:sz="2" w:space="0" w:color="auto"/>
                    <w:right w:val="single" w:sz="2" w:space="0" w:color="auto"/>
                  </w:divBdr>
                  <w:divsChild>
                    <w:div w:id="10104510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8696975">
              <w:marLeft w:val="0"/>
              <w:marRight w:val="0"/>
              <w:marTop w:val="0"/>
              <w:marBottom w:val="0"/>
              <w:divBdr>
                <w:top w:val="single" w:sz="2" w:space="0" w:color="auto"/>
                <w:left w:val="single" w:sz="2" w:space="0" w:color="auto"/>
                <w:bottom w:val="single" w:sz="2" w:space="0" w:color="auto"/>
                <w:right w:val="single" w:sz="2" w:space="0" w:color="auto"/>
              </w:divBdr>
              <w:divsChild>
                <w:div w:id="3239687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51218800">
      <w:bodyDiv w:val="1"/>
      <w:marLeft w:val="0"/>
      <w:marRight w:val="0"/>
      <w:marTop w:val="0"/>
      <w:marBottom w:val="0"/>
      <w:divBdr>
        <w:top w:val="none" w:sz="0" w:space="0" w:color="auto"/>
        <w:left w:val="none" w:sz="0" w:space="0" w:color="auto"/>
        <w:bottom w:val="none" w:sz="0" w:space="0" w:color="auto"/>
        <w:right w:val="none" w:sz="0" w:space="0" w:color="auto"/>
      </w:divBdr>
      <w:divsChild>
        <w:div w:id="3402090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8814131">
      <w:bodyDiv w:val="1"/>
      <w:marLeft w:val="0"/>
      <w:marRight w:val="0"/>
      <w:marTop w:val="0"/>
      <w:marBottom w:val="0"/>
      <w:divBdr>
        <w:top w:val="none" w:sz="0" w:space="0" w:color="auto"/>
        <w:left w:val="none" w:sz="0" w:space="0" w:color="auto"/>
        <w:bottom w:val="none" w:sz="0" w:space="0" w:color="auto"/>
        <w:right w:val="none" w:sz="0" w:space="0" w:color="auto"/>
      </w:divBdr>
    </w:div>
    <w:div w:id="2060859284">
      <w:bodyDiv w:val="1"/>
      <w:marLeft w:val="0"/>
      <w:marRight w:val="0"/>
      <w:marTop w:val="0"/>
      <w:marBottom w:val="0"/>
      <w:divBdr>
        <w:top w:val="none" w:sz="0" w:space="0" w:color="auto"/>
        <w:left w:val="none" w:sz="0" w:space="0" w:color="auto"/>
        <w:bottom w:val="none" w:sz="0" w:space="0" w:color="auto"/>
        <w:right w:val="none" w:sz="0" w:space="0" w:color="auto"/>
      </w:divBdr>
    </w:div>
    <w:div w:id="2063360081">
      <w:bodyDiv w:val="1"/>
      <w:marLeft w:val="0"/>
      <w:marRight w:val="0"/>
      <w:marTop w:val="0"/>
      <w:marBottom w:val="0"/>
      <w:divBdr>
        <w:top w:val="none" w:sz="0" w:space="0" w:color="auto"/>
        <w:left w:val="none" w:sz="0" w:space="0" w:color="auto"/>
        <w:bottom w:val="none" w:sz="0" w:space="0" w:color="auto"/>
        <w:right w:val="none" w:sz="0" w:space="0" w:color="auto"/>
      </w:divBdr>
    </w:div>
    <w:div w:id="2067139410">
      <w:bodyDiv w:val="1"/>
      <w:marLeft w:val="0"/>
      <w:marRight w:val="0"/>
      <w:marTop w:val="0"/>
      <w:marBottom w:val="0"/>
      <w:divBdr>
        <w:top w:val="none" w:sz="0" w:space="0" w:color="auto"/>
        <w:left w:val="none" w:sz="0" w:space="0" w:color="auto"/>
        <w:bottom w:val="none" w:sz="0" w:space="0" w:color="auto"/>
        <w:right w:val="none" w:sz="0" w:space="0" w:color="auto"/>
      </w:divBdr>
      <w:divsChild>
        <w:div w:id="14656565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9064764">
      <w:bodyDiv w:val="1"/>
      <w:marLeft w:val="0"/>
      <w:marRight w:val="0"/>
      <w:marTop w:val="0"/>
      <w:marBottom w:val="0"/>
      <w:divBdr>
        <w:top w:val="none" w:sz="0" w:space="0" w:color="auto"/>
        <w:left w:val="none" w:sz="0" w:space="0" w:color="auto"/>
        <w:bottom w:val="none" w:sz="0" w:space="0" w:color="auto"/>
        <w:right w:val="none" w:sz="0" w:space="0" w:color="auto"/>
      </w:divBdr>
    </w:div>
    <w:div w:id="2070229539">
      <w:bodyDiv w:val="1"/>
      <w:marLeft w:val="0"/>
      <w:marRight w:val="0"/>
      <w:marTop w:val="0"/>
      <w:marBottom w:val="0"/>
      <w:divBdr>
        <w:top w:val="none" w:sz="0" w:space="0" w:color="auto"/>
        <w:left w:val="none" w:sz="0" w:space="0" w:color="auto"/>
        <w:bottom w:val="none" w:sz="0" w:space="0" w:color="auto"/>
        <w:right w:val="none" w:sz="0" w:space="0" w:color="auto"/>
      </w:divBdr>
    </w:div>
    <w:div w:id="2074160644">
      <w:bodyDiv w:val="1"/>
      <w:marLeft w:val="0"/>
      <w:marRight w:val="0"/>
      <w:marTop w:val="0"/>
      <w:marBottom w:val="0"/>
      <w:divBdr>
        <w:top w:val="none" w:sz="0" w:space="0" w:color="auto"/>
        <w:left w:val="none" w:sz="0" w:space="0" w:color="auto"/>
        <w:bottom w:val="none" w:sz="0" w:space="0" w:color="auto"/>
        <w:right w:val="none" w:sz="0" w:space="0" w:color="auto"/>
      </w:divBdr>
      <w:divsChild>
        <w:div w:id="17055191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8699030">
      <w:bodyDiv w:val="1"/>
      <w:marLeft w:val="0"/>
      <w:marRight w:val="0"/>
      <w:marTop w:val="0"/>
      <w:marBottom w:val="0"/>
      <w:divBdr>
        <w:top w:val="none" w:sz="0" w:space="0" w:color="auto"/>
        <w:left w:val="none" w:sz="0" w:space="0" w:color="auto"/>
        <w:bottom w:val="none" w:sz="0" w:space="0" w:color="auto"/>
        <w:right w:val="none" w:sz="0" w:space="0" w:color="auto"/>
      </w:divBdr>
      <w:divsChild>
        <w:div w:id="16732966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9551506">
      <w:bodyDiv w:val="1"/>
      <w:marLeft w:val="0"/>
      <w:marRight w:val="0"/>
      <w:marTop w:val="0"/>
      <w:marBottom w:val="0"/>
      <w:divBdr>
        <w:top w:val="none" w:sz="0" w:space="0" w:color="auto"/>
        <w:left w:val="none" w:sz="0" w:space="0" w:color="auto"/>
        <w:bottom w:val="none" w:sz="0" w:space="0" w:color="auto"/>
        <w:right w:val="none" w:sz="0" w:space="0" w:color="auto"/>
      </w:divBdr>
    </w:div>
    <w:div w:id="2082360290">
      <w:bodyDiv w:val="1"/>
      <w:marLeft w:val="0"/>
      <w:marRight w:val="0"/>
      <w:marTop w:val="0"/>
      <w:marBottom w:val="0"/>
      <w:divBdr>
        <w:top w:val="none" w:sz="0" w:space="0" w:color="auto"/>
        <w:left w:val="none" w:sz="0" w:space="0" w:color="auto"/>
        <w:bottom w:val="none" w:sz="0" w:space="0" w:color="auto"/>
        <w:right w:val="none" w:sz="0" w:space="0" w:color="auto"/>
      </w:divBdr>
    </w:div>
    <w:div w:id="2088574650">
      <w:bodyDiv w:val="1"/>
      <w:marLeft w:val="0"/>
      <w:marRight w:val="0"/>
      <w:marTop w:val="0"/>
      <w:marBottom w:val="0"/>
      <w:divBdr>
        <w:top w:val="none" w:sz="0" w:space="0" w:color="auto"/>
        <w:left w:val="none" w:sz="0" w:space="0" w:color="auto"/>
        <w:bottom w:val="none" w:sz="0" w:space="0" w:color="auto"/>
        <w:right w:val="none" w:sz="0" w:space="0" w:color="auto"/>
      </w:divBdr>
    </w:div>
    <w:div w:id="2089960329">
      <w:bodyDiv w:val="1"/>
      <w:marLeft w:val="0"/>
      <w:marRight w:val="0"/>
      <w:marTop w:val="0"/>
      <w:marBottom w:val="0"/>
      <w:divBdr>
        <w:top w:val="none" w:sz="0" w:space="0" w:color="auto"/>
        <w:left w:val="none" w:sz="0" w:space="0" w:color="auto"/>
        <w:bottom w:val="none" w:sz="0" w:space="0" w:color="auto"/>
        <w:right w:val="none" w:sz="0" w:space="0" w:color="auto"/>
      </w:divBdr>
      <w:divsChild>
        <w:div w:id="18010240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1810672">
      <w:bodyDiv w:val="1"/>
      <w:marLeft w:val="0"/>
      <w:marRight w:val="0"/>
      <w:marTop w:val="0"/>
      <w:marBottom w:val="0"/>
      <w:divBdr>
        <w:top w:val="none" w:sz="0" w:space="0" w:color="auto"/>
        <w:left w:val="none" w:sz="0" w:space="0" w:color="auto"/>
        <w:bottom w:val="none" w:sz="0" w:space="0" w:color="auto"/>
        <w:right w:val="none" w:sz="0" w:space="0" w:color="auto"/>
      </w:divBdr>
    </w:div>
    <w:div w:id="2101751621">
      <w:bodyDiv w:val="1"/>
      <w:marLeft w:val="0"/>
      <w:marRight w:val="0"/>
      <w:marTop w:val="0"/>
      <w:marBottom w:val="0"/>
      <w:divBdr>
        <w:top w:val="none" w:sz="0" w:space="0" w:color="auto"/>
        <w:left w:val="none" w:sz="0" w:space="0" w:color="auto"/>
        <w:bottom w:val="none" w:sz="0" w:space="0" w:color="auto"/>
        <w:right w:val="none" w:sz="0" w:space="0" w:color="auto"/>
      </w:divBdr>
    </w:div>
    <w:div w:id="2102406753">
      <w:bodyDiv w:val="1"/>
      <w:marLeft w:val="0"/>
      <w:marRight w:val="0"/>
      <w:marTop w:val="0"/>
      <w:marBottom w:val="0"/>
      <w:divBdr>
        <w:top w:val="none" w:sz="0" w:space="0" w:color="auto"/>
        <w:left w:val="none" w:sz="0" w:space="0" w:color="auto"/>
        <w:bottom w:val="none" w:sz="0" w:space="0" w:color="auto"/>
        <w:right w:val="none" w:sz="0" w:space="0" w:color="auto"/>
      </w:divBdr>
    </w:div>
    <w:div w:id="2102557144">
      <w:bodyDiv w:val="1"/>
      <w:marLeft w:val="0"/>
      <w:marRight w:val="0"/>
      <w:marTop w:val="0"/>
      <w:marBottom w:val="0"/>
      <w:divBdr>
        <w:top w:val="none" w:sz="0" w:space="0" w:color="auto"/>
        <w:left w:val="none" w:sz="0" w:space="0" w:color="auto"/>
        <w:bottom w:val="none" w:sz="0" w:space="0" w:color="auto"/>
        <w:right w:val="none" w:sz="0" w:space="0" w:color="auto"/>
      </w:divBdr>
      <w:divsChild>
        <w:div w:id="16681704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4302192">
      <w:bodyDiv w:val="1"/>
      <w:marLeft w:val="0"/>
      <w:marRight w:val="0"/>
      <w:marTop w:val="0"/>
      <w:marBottom w:val="0"/>
      <w:divBdr>
        <w:top w:val="none" w:sz="0" w:space="0" w:color="auto"/>
        <w:left w:val="none" w:sz="0" w:space="0" w:color="auto"/>
        <w:bottom w:val="none" w:sz="0" w:space="0" w:color="auto"/>
        <w:right w:val="none" w:sz="0" w:space="0" w:color="auto"/>
      </w:divBdr>
    </w:div>
    <w:div w:id="2106611308">
      <w:bodyDiv w:val="1"/>
      <w:marLeft w:val="0"/>
      <w:marRight w:val="0"/>
      <w:marTop w:val="0"/>
      <w:marBottom w:val="0"/>
      <w:divBdr>
        <w:top w:val="none" w:sz="0" w:space="0" w:color="auto"/>
        <w:left w:val="none" w:sz="0" w:space="0" w:color="auto"/>
        <w:bottom w:val="none" w:sz="0" w:space="0" w:color="auto"/>
        <w:right w:val="none" w:sz="0" w:space="0" w:color="auto"/>
      </w:divBdr>
    </w:div>
    <w:div w:id="2108963140">
      <w:bodyDiv w:val="1"/>
      <w:marLeft w:val="0"/>
      <w:marRight w:val="0"/>
      <w:marTop w:val="0"/>
      <w:marBottom w:val="0"/>
      <w:divBdr>
        <w:top w:val="none" w:sz="0" w:space="0" w:color="auto"/>
        <w:left w:val="none" w:sz="0" w:space="0" w:color="auto"/>
        <w:bottom w:val="none" w:sz="0" w:space="0" w:color="auto"/>
        <w:right w:val="none" w:sz="0" w:space="0" w:color="auto"/>
      </w:divBdr>
    </w:div>
    <w:div w:id="2109881869">
      <w:bodyDiv w:val="1"/>
      <w:marLeft w:val="0"/>
      <w:marRight w:val="0"/>
      <w:marTop w:val="0"/>
      <w:marBottom w:val="0"/>
      <w:divBdr>
        <w:top w:val="none" w:sz="0" w:space="0" w:color="auto"/>
        <w:left w:val="none" w:sz="0" w:space="0" w:color="auto"/>
        <w:bottom w:val="none" w:sz="0" w:space="0" w:color="auto"/>
        <w:right w:val="none" w:sz="0" w:space="0" w:color="auto"/>
      </w:divBdr>
    </w:div>
    <w:div w:id="2113501868">
      <w:bodyDiv w:val="1"/>
      <w:marLeft w:val="0"/>
      <w:marRight w:val="0"/>
      <w:marTop w:val="0"/>
      <w:marBottom w:val="0"/>
      <w:divBdr>
        <w:top w:val="none" w:sz="0" w:space="0" w:color="auto"/>
        <w:left w:val="none" w:sz="0" w:space="0" w:color="auto"/>
        <w:bottom w:val="none" w:sz="0" w:space="0" w:color="auto"/>
        <w:right w:val="none" w:sz="0" w:space="0" w:color="auto"/>
      </w:divBdr>
    </w:div>
    <w:div w:id="2114157068">
      <w:bodyDiv w:val="1"/>
      <w:marLeft w:val="0"/>
      <w:marRight w:val="0"/>
      <w:marTop w:val="0"/>
      <w:marBottom w:val="0"/>
      <w:divBdr>
        <w:top w:val="none" w:sz="0" w:space="0" w:color="auto"/>
        <w:left w:val="none" w:sz="0" w:space="0" w:color="auto"/>
        <w:bottom w:val="none" w:sz="0" w:space="0" w:color="auto"/>
        <w:right w:val="none" w:sz="0" w:space="0" w:color="auto"/>
      </w:divBdr>
    </w:div>
    <w:div w:id="2116825071">
      <w:bodyDiv w:val="1"/>
      <w:marLeft w:val="0"/>
      <w:marRight w:val="0"/>
      <w:marTop w:val="0"/>
      <w:marBottom w:val="0"/>
      <w:divBdr>
        <w:top w:val="none" w:sz="0" w:space="0" w:color="auto"/>
        <w:left w:val="none" w:sz="0" w:space="0" w:color="auto"/>
        <w:bottom w:val="none" w:sz="0" w:space="0" w:color="auto"/>
        <w:right w:val="none" w:sz="0" w:space="0" w:color="auto"/>
      </w:divBdr>
    </w:div>
    <w:div w:id="2117868283">
      <w:bodyDiv w:val="1"/>
      <w:marLeft w:val="0"/>
      <w:marRight w:val="0"/>
      <w:marTop w:val="0"/>
      <w:marBottom w:val="0"/>
      <w:divBdr>
        <w:top w:val="none" w:sz="0" w:space="0" w:color="auto"/>
        <w:left w:val="none" w:sz="0" w:space="0" w:color="auto"/>
        <w:bottom w:val="none" w:sz="0" w:space="0" w:color="auto"/>
        <w:right w:val="none" w:sz="0" w:space="0" w:color="auto"/>
      </w:divBdr>
    </w:div>
    <w:div w:id="2117870470">
      <w:bodyDiv w:val="1"/>
      <w:marLeft w:val="0"/>
      <w:marRight w:val="0"/>
      <w:marTop w:val="0"/>
      <w:marBottom w:val="0"/>
      <w:divBdr>
        <w:top w:val="none" w:sz="0" w:space="0" w:color="auto"/>
        <w:left w:val="none" w:sz="0" w:space="0" w:color="auto"/>
        <w:bottom w:val="none" w:sz="0" w:space="0" w:color="auto"/>
        <w:right w:val="none" w:sz="0" w:space="0" w:color="auto"/>
      </w:divBdr>
      <w:divsChild>
        <w:div w:id="1789738755">
          <w:marLeft w:val="0"/>
          <w:marRight w:val="0"/>
          <w:marTop w:val="0"/>
          <w:marBottom w:val="0"/>
          <w:divBdr>
            <w:top w:val="none" w:sz="0" w:space="0" w:color="auto"/>
            <w:left w:val="none" w:sz="0" w:space="0" w:color="auto"/>
            <w:bottom w:val="none" w:sz="0" w:space="0" w:color="auto"/>
            <w:right w:val="none" w:sz="0" w:space="0" w:color="auto"/>
          </w:divBdr>
        </w:div>
      </w:divsChild>
    </w:div>
    <w:div w:id="2118525598">
      <w:bodyDiv w:val="1"/>
      <w:marLeft w:val="0"/>
      <w:marRight w:val="0"/>
      <w:marTop w:val="0"/>
      <w:marBottom w:val="0"/>
      <w:divBdr>
        <w:top w:val="none" w:sz="0" w:space="0" w:color="auto"/>
        <w:left w:val="none" w:sz="0" w:space="0" w:color="auto"/>
        <w:bottom w:val="none" w:sz="0" w:space="0" w:color="auto"/>
        <w:right w:val="none" w:sz="0" w:space="0" w:color="auto"/>
      </w:divBdr>
    </w:div>
    <w:div w:id="2118987550">
      <w:bodyDiv w:val="1"/>
      <w:marLeft w:val="0"/>
      <w:marRight w:val="0"/>
      <w:marTop w:val="0"/>
      <w:marBottom w:val="0"/>
      <w:divBdr>
        <w:top w:val="none" w:sz="0" w:space="0" w:color="auto"/>
        <w:left w:val="none" w:sz="0" w:space="0" w:color="auto"/>
        <w:bottom w:val="none" w:sz="0" w:space="0" w:color="auto"/>
        <w:right w:val="none" w:sz="0" w:space="0" w:color="auto"/>
      </w:divBdr>
    </w:div>
    <w:div w:id="2121954559">
      <w:bodyDiv w:val="1"/>
      <w:marLeft w:val="0"/>
      <w:marRight w:val="0"/>
      <w:marTop w:val="0"/>
      <w:marBottom w:val="0"/>
      <w:divBdr>
        <w:top w:val="none" w:sz="0" w:space="0" w:color="auto"/>
        <w:left w:val="none" w:sz="0" w:space="0" w:color="auto"/>
        <w:bottom w:val="none" w:sz="0" w:space="0" w:color="auto"/>
        <w:right w:val="none" w:sz="0" w:space="0" w:color="auto"/>
      </w:divBdr>
    </w:div>
    <w:div w:id="2122990031">
      <w:bodyDiv w:val="1"/>
      <w:marLeft w:val="0"/>
      <w:marRight w:val="0"/>
      <w:marTop w:val="0"/>
      <w:marBottom w:val="0"/>
      <w:divBdr>
        <w:top w:val="none" w:sz="0" w:space="0" w:color="auto"/>
        <w:left w:val="none" w:sz="0" w:space="0" w:color="auto"/>
        <w:bottom w:val="none" w:sz="0" w:space="0" w:color="auto"/>
        <w:right w:val="none" w:sz="0" w:space="0" w:color="auto"/>
      </w:divBdr>
      <w:divsChild>
        <w:div w:id="16488210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6344574">
      <w:bodyDiv w:val="1"/>
      <w:marLeft w:val="0"/>
      <w:marRight w:val="0"/>
      <w:marTop w:val="0"/>
      <w:marBottom w:val="0"/>
      <w:divBdr>
        <w:top w:val="none" w:sz="0" w:space="0" w:color="auto"/>
        <w:left w:val="none" w:sz="0" w:space="0" w:color="auto"/>
        <w:bottom w:val="none" w:sz="0" w:space="0" w:color="auto"/>
        <w:right w:val="none" w:sz="0" w:space="0" w:color="auto"/>
      </w:divBdr>
      <w:divsChild>
        <w:div w:id="10082863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6652134">
      <w:bodyDiv w:val="1"/>
      <w:marLeft w:val="0"/>
      <w:marRight w:val="0"/>
      <w:marTop w:val="0"/>
      <w:marBottom w:val="0"/>
      <w:divBdr>
        <w:top w:val="none" w:sz="0" w:space="0" w:color="auto"/>
        <w:left w:val="none" w:sz="0" w:space="0" w:color="auto"/>
        <w:bottom w:val="none" w:sz="0" w:space="0" w:color="auto"/>
        <w:right w:val="none" w:sz="0" w:space="0" w:color="auto"/>
      </w:divBdr>
    </w:div>
    <w:div w:id="2127038256">
      <w:bodyDiv w:val="1"/>
      <w:marLeft w:val="0"/>
      <w:marRight w:val="0"/>
      <w:marTop w:val="0"/>
      <w:marBottom w:val="0"/>
      <w:divBdr>
        <w:top w:val="none" w:sz="0" w:space="0" w:color="auto"/>
        <w:left w:val="none" w:sz="0" w:space="0" w:color="auto"/>
        <w:bottom w:val="none" w:sz="0" w:space="0" w:color="auto"/>
        <w:right w:val="none" w:sz="0" w:space="0" w:color="auto"/>
      </w:divBdr>
    </w:div>
    <w:div w:id="2131781370">
      <w:bodyDiv w:val="1"/>
      <w:marLeft w:val="0"/>
      <w:marRight w:val="0"/>
      <w:marTop w:val="0"/>
      <w:marBottom w:val="0"/>
      <w:divBdr>
        <w:top w:val="none" w:sz="0" w:space="0" w:color="auto"/>
        <w:left w:val="none" w:sz="0" w:space="0" w:color="auto"/>
        <w:bottom w:val="none" w:sz="0" w:space="0" w:color="auto"/>
        <w:right w:val="none" w:sz="0" w:space="0" w:color="auto"/>
      </w:divBdr>
    </w:div>
    <w:div w:id="2137094324">
      <w:bodyDiv w:val="1"/>
      <w:marLeft w:val="0"/>
      <w:marRight w:val="0"/>
      <w:marTop w:val="0"/>
      <w:marBottom w:val="0"/>
      <w:divBdr>
        <w:top w:val="none" w:sz="0" w:space="0" w:color="auto"/>
        <w:left w:val="none" w:sz="0" w:space="0" w:color="auto"/>
        <w:bottom w:val="none" w:sz="0" w:space="0" w:color="auto"/>
        <w:right w:val="none" w:sz="0" w:space="0" w:color="auto"/>
      </w:divBdr>
      <w:divsChild>
        <w:div w:id="712383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7677863">
      <w:bodyDiv w:val="1"/>
      <w:marLeft w:val="0"/>
      <w:marRight w:val="0"/>
      <w:marTop w:val="0"/>
      <w:marBottom w:val="0"/>
      <w:divBdr>
        <w:top w:val="none" w:sz="0" w:space="0" w:color="auto"/>
        <w:left w:val="none" w:sz="0" w:space="0" w:color="auto"/>
        <w:bottom w:val="none" w:sz="0" w:space="0" w:color="auto"/>
        <w:right w:val="none" w:sz="0" w:space="0" w:color="auto"/>
      </w:divBdr>
    </w:div>
    <w:div w:id="2138527478">
      <w:bodyDiv w:val="1"/>
      <w:marLeft w:val="0"/>
      <w:marRight w:val="0"/>
      <w:marTop w:val="0"/>
      <w:marBottom w:val="0"/>
      <w:divBdr>
        <w:top w:val="none" w:sz="0" w:space="0" w:color="auto"/>
        <w:left w:val="none" w:sz="0" w:space="0" w:color="auto"/>
        <w:bottom w:val="none" w:sz="0" w:space="0" w:color="auto"/>
        <w:right w:val="none" w:sz="0" w:space="0" w:color="auto"/>
      </w:divBdr>
    </w:div>
    <w:div w:id="2145075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 Id="rId10" Type="http://schemas.openxmlformats.org/officeDocument/2006/relationships/footer" Target="footer1.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181</Pages>
  <Words>38122</Words>
  <Characters>217301</Characters>
  <Application>Microsoft Office Word</Application>
  <DocSecurity>0</DocSecurity>
  <Lines>1810</Lines>
  <Paragraphs>509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2026-06-07T01:15:13Z</dcterms:created>
  <dcterms:modified xsi:type="dcterms:W3CDTF">2026-06-07T01:15:13Z</dcterms:modified>
</cp:coreProperties>
</file>

<file path=docProps/custom.xml><?xml version="1.0" encoding="utf-8"?>
<Properties xmlns="http://schemas.openxmlformats.org/officeDocument/2006/custom-properties" xmlns:vt="http://schemas.openxmlformats.org/officeDocument/2006/docPropsVTypes"/>
</file>