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69.png" ContentType="image/png"/>
  <Override PartName="/word/media/rId67.png" ContentType="image/png"/>
  <Override PartName="/word/media/rId73.png" ContentType="image/png"/>
  <Override PartName="/word/media/rId71.png" ContentType="image/png"/>
  <Override PartName="/word/media/rId75.png" ContentType="image/png"/>
  <Override PartName="/word/media/rId77.png" ContentType="image/png"/>
  <Override PartName="/word/media/rId136.png" ContentType="image/png"/>
  <Override PartName="/word/media/rId137.png" ContentType="image/png"/>
  <Override PartName="/word/media/rId79.png" ContentType="image/png"/>
  <Override PartName="/word/media/rId138.png" ContentType="image/png"/>
  <Override PartName="/word/media/rId81.png" ContentType="image/png"/>
  <Override PartName="/word/media/rId89.png" ContentType="image/png"/>
  <Override PartName="/word/media/rId83.png" ContentType="image/png"/>
  <Override PartName="/word/media/rId85.png" ContentType="image/png"/>
  <Override PartName="/word/media/rId87.png" ContentType="image/png"/>
  <Override PartName="/word/media/rId91.png" ContentType="image/png"/>
  <Override PartName="/word/media/rId139.png" ContentType="image/png"/>
  <Override PartName="/word/media/rId93.png" ContentType="image/png"/>
  <Override PartName="/word/media/rId142.png" ContentType="image/png"/>
  <Override PartName="/word/media/rId141.png" ContentType="image/png"/>
  <Override PartName="/word/media/rId140.png" ContentType="image/png"/>
  <Override PartName="/word/media/rId95.png" ContentType="image/png"/>
  <Override PartName="/word/media/rId97.png" ContentType="image/png"/>
  <Override PartName="/word/media/rId101.png" ContentType="image/png"/>
  <Override PartName="/word/media/rId99.png" ContentType="image/png"/>
  <Override PartName="/word/media/rId103.png" ContentType="image/png"/>
  <Override PartName="/word/media/rId146.png" ContentType="image/png"/>
  <Override PartName="/word/media/rId111.png" ContentType="image/png"/>
  <Override PartName="/word/media/rId105.png" ContentType="image/png"/>
  <Override PartName="/word/media/rId143.png" ContentType="image/png"/>
  <Override PartName="/word/media/rId144.png" ContentType="image/png"/>
  <Override PartName="/word/media/rId109.png" ContentType="image/png"/>
  <Override PartName="/word/media/rId107.png" ContentType="image/png"/>
  <Override PartName="/word/media/rId145.png" ContentType="image/png"/>
  <Override PartName="/word/media/rId113.png" ContentType="image/png"/>
  <Override PartName="/word/media/rId115.png" ContentType="image/png"/>
  <Override PartName="/word/media/rId118.png" ContentType="image/png"/>
  <Override PartName="/word/media/rId147.png" ContentType="image/png"/>
  <Override PartName="/word/media/rId148.png" ContentType="image/png"/>
  <Override PartName="/word/media/rId149.png" ContentType="image/png"/>
  <Override PartName="/word/media/rId120.png" ContentType="image/png"/>
  <Override PartName="/word/media/rId122.png" ContentType="image/png"/>
  <Override PartName="/word/media/rId124.png" ContentType="image/png"/>
  <Override PartName="/word/media/rId127.png" ContentType="image/png"/>
  <Override PartName="/word/media/rId151.png" ContentType="image/png"/>
  <Override PartName="/word/media/rId150.png" ContentType="image/png"/>
  <Override PartName="/word/media/rId129.png" ContentType="image/png"/>
  <Override PartName="/word/media/rId131.png" ContentType="image/png"/>
  <Override PartName="/word/media/rId152.png" ContentType="image/png"/>
  <Override PartName="/word/media/rId133.png" ContentType="image/png"/>
  <Override PartName="/word/media/rId21.jpg" ContentType="image/jpeg"/>
  <Override PartName="/word/media/rId20.jpg" ContentType="image/jpeg"/>
  <Override PartName="/word/media/rId33.jpg" ContentType="image/jpeg"/>
  <Override PartName="/word/media/rId61.jpg" ContentType="image/jpeg"/>
  <Override PartName="/word/media/rId22.webp" ContentType="image/webp"/>
  <Override PartName="/word/media/rId21.webp" ContentType="image/webp"/>
  <Override PartName="/word/media/rId28.webp" ContentType="image/webp"/>
  <Override PartName="/word/media/rId20.webp" ContentType="image/webp"/>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029200" cy="7543800"/>
            <wp:effectExtent b="0" l="0" r="0" t="0"/>
            <wp:docPr descr="" title="" id="1" name="Picture"/>
            <a:graphic>
              <a:graphicData uri="http://schemas.openxmlformats.org/drawingml/2006/picture">
                <pic:pic>
                  <pic:nvPicPr>
                    <pic:cNvPr descr="/sessions/ecstatic-hopeful-cerf/tmp/tmpad7ap_2n/FFG_front_cover_2026-05-31.jpg" id="0" name="Picture"/>
                    <pic:cNvPicPr>
                      <a:picLocks noChangeArrowheads="1" noChangeAspect="1"/>
                    </pic:cNvPicPr>
                  </pic:nvPicPr>
                  <pic:blipFill>
                    <a:blip r:embed="rId20"/>
                    <a:stretch>
                      <a:fillRect/>
                    </a:stretch>
                  </pic:blipFill>
                  <pic:spPr bwMode="auto">
                    <a:xfrm>
                      <a:off x="0" y="0"/>
                      <a:ext cx="5029200" cy="7543800"/>
                    </a:xfrm>
                    <a:prstGeom prst="rect">
                      <a:avLst/>
                    </a:prstGeom>
                    <a:noFill/>
                    <a:ln w="9525">
                      <a:noFill/>
                      <a:headEnd/>
                      <a:tailEnd/>
                    </a:ln>
                  </pic:spPr>
                </pic:pic>
              </a:graphicData>
            </a:graphic>
          </wp:inline>
        </w:drawing>
      </w:r>
    </w:p>
    <w:p>
      <w:r>
        <w:br w:type="page"/>
      </w:r>
    </w:p>
    <w:p>
      <w:pPr>
        <w:pStyle w:val="BodyText"/>
      </w:pPr>
      <w:r>
        <w:drawing>
          <wp:inline>
            <wp:extent cx="5029200" cy="7543800"/>
            <wp:effectExtent b="0" l="0" r="0" t="0"/>
            <wp:docPr descr="" title="" id="1" name="Picture"/>
            <a:graphic>
              <a:graphicData uri="http://schemas.openxmlformats.org/drawingml/2006/picture">
                <pic:pic>
                  <pic:nvPicPr>
                    <pic:cNvPr descr="/sessions/ecstatic-hopeful-cerf/tmp/tmpad7ap_2n/FFG_back_cover_2026-05-31.jpg" id="0" name="Picture"/>
                    <pic:cNvPicPr>
                      <a:picLocks noChangeArrowheads="1" noChangeAspect="1"/>
                    </pic:cNvPicPr>
                  </pic:nvPicPr>
                  <pic:blipFill>
                    <a:blip r:embed="rId21"/>
                    <a:stretch>
                      <a:fillRect/>
                    </a:stretch>
                  </pic:blipFill>
                  <pic:spPr bwMode="auto">
                    <a:xfrm>
                      <a:off x="0" y="0"/>
                      <a:ext cx="5029200" cy="7543800"/>
                    </a:xfrm>
                    <a:prstGeom prst="rect">
                      <a:avLst/>
                    </a:prstGeom>
                    <a:noFill/>
                    <a:ln w="9525">
                      <a:noFill/>
                      <a:headEnd/>
                      <a:tailEnd/>
                    </a:ln>
                  </pic:spPr>
                </pic:pic>
              </a:graphicData>
            </a:graphic>
          </wp:inline>
        </w:drawing>
      </w:r>
    </w:p>
    <w:p>
      <w:r>
        <w:br w:type="page"/>
      </w:r>
    </w:p>
    <w:p>
      <w:pPr>
        <w:pStyle w:val="BodyText"/>
      </w:pPr>
      <w:r>
        <w:t xml:space="preserve"> </w:t>
      </w:r>
    </w:p>
    <w:p>
      <w:pPr>
        <w:pStyle w:val="BodyText"/>
      </w:pPr>
      <w:r>
        <w:t xml:space="preserve"> </w:t>
      </w:r>
    </w:p>
    <w:p>
      <w:pPr>
        <w:pStyle w:val="BodyText"/>
      </w:pPr>
      <w:r>
        <w:t xml:space="preserve"> </w:t>
      </w:r>
    </w:p>
    <w:p>
      <w:pPr>
        <w:pStyle w:val="BodyText"/>
      </w:pPr>
      <w:r>
        <w:rPr>
          <w:b/>
        </w:rPr>
        <w:t xml:space="preserve">THE FORGOTTEN FOREVER GIFT TO PUBLIC SCHOOLS</w:t>
      </w:r>
    </w:p>
    <w:p>
      <w:r>
        <w:br w:type="page"/>
      </w:r>
    </w:p>
    <w:p>
      <w:pPr>
        <w:pStyle w:val="Heading1"/>
      </w:pPr>
      <w:bookmarkStart w:id="22" w:name="Xaa46c0751794f56e24cd815439355bc58727b77"/>
      <w:r>
        <w:t xml:space="preserve">THE FORGOTTEN FOREVER GIFT TO PUBLIC SCHOOLS</w:t>
      </w:r>
      <w:bookmarkEnd w:id="22"/>
    </w:p>
    <w:p>
      <w:pPr>
        <w:pStyle w:val="Heading3"/>
      </w:pPr>
      <w:bookmarkStart w:id="23" w:name="Xc7b91bce76232c1856c188db487c8753b6ff511"/>
      <w:r>
        <w:t xml:space="preserve">The Story of the Land America Set Aside for Its Schools — and What Became of It</w:t>
      </w:r>
      <w:bookmarkEnd w:id="23"/>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pPr>
        <w:pStyle w:val="BodyText"/>
      </w:pPr>
      <w:r>
        <w:rPr>
          <w:b/>
        </w:rPr>
        <w:t xml:space="preserve">Contents</w:t>
      </w:r>
    </w:p>
    <w:tbl>
      <w:tblPr>
        <w:tblStyle w:val="Table"/>
        <w:tblW w:type="pct" w:w="5000.0"/>
        <w:tblLook w:firstRow="0"/>
      </w:tblPr>
      <w:tblGrid>
        <w:gridCol w:w="3960"/>
        <w:gridCol w:w="3960"/>
      </w:tblGrid>
      <w:tr>
        <w:tc>
          <w:p>
            <w:pPr>
              <w:pStyle w:val="Compact"/>
              <w:jc w:val="left"/>
            </w:pPr>
            <w:r>
              <w:t xml:space="preserve">Why This Matters</w:t>
            </w:r>
          </w:p>
        </w:tc>
        <w:tc>
          <w:p>
            <w:pPr>
              <w:pStyle w:val="Compact"/>
              <w:jc w:val="right"/>
            </w:pPr>
            <w:r>
              <w:t xml:space="preserve">8</w:t>
            </w:r>
          </w:p>
        </w:tc>
      </w:tr>
      <w:tr>
        <w:tc>
          <w:p>
            <w:pPr>
              <w:pStyle w:val="Compact"/>
              <w:jc w:val="left"/>
            </w:pPr>
            <w:r>
              <w:t xml:space="preserve">A Note from the First Author</w:t>
            </w:r>
          </w:p>
        </w:tc>
        <w:tc>
          <w:p>
            <w:pPr>
              <w:pStyle w:val="Compact"/>
              <w:jc w:val="right"/>
            </w:pPr>
            <w:r>
              <w:t xml:space="preserve">10</w:t>
            </w:r>
          </w:p>
        </w:tc>
      </w:tr>
      <w:tr>
        <w:tc>
          <w:p>
            <w:pPr>
              <w:pStyle w:val="Compact"/>
              <w:jc w:val="left"/>
            </w:pPr>
            <w:r>
              <w:t xml:space="preserve">A Note on Sources</w:t>
            </w:r>
          </w:p>
        </w:tc>
        <w:tc>
          <w:p>
            <w:pPr>
              <w:pStyle w:val="Compact"/>
              <w:jc w:val="right"/>
            </w:pPr>
            <w:r>
              <w:t xml:space="preserve">12</w:t>
            </w:r>
          </w:p>
        </w:tc>
      </w:tr>
      <w:tr>
        <w:tc>
          <w:p>
            <w:pPr>
              <w:pStyle w:val="Compact"/>
              <w:jc w:val="left"/>
            </w:pPr>
            <w:r>
              <w:t xml:space="preserve">A Note on This Edition</w:t>
            </w:r>
          </w:p>
        </w:tc>
        <w:tc>
          <w:p>
            <w:pPr>
              <w:pStyle w:val="Compact"/>
              <w:jc w:val="right"/>
            </w:pPr>
            <w:r>
              <w:t xml:space="preserve">13</w:t>
            </w:r>
          </w:p>
        </w:tc>
      </w:tr>
      <w:tr>
        <w:tc>
          <w:p>
            <w:pPr>
              <w:pStyle w:val="Compact"/>
              <w:jc w:val="left"/>
            </w:pPr>
            <w:r>
              <w:t xml:space="preserve">A Few Words, Defined</w:t>
            </w:r>
          </w:p>
        </w:tc>
        <w:tc>
          <w:p>
            <w:pPr>
              <w:pStyle w:val="Compact"/>
              <w:jc w:val="right"/>
            </w:pPr>
            <w:r>
              <w:t xml:space="preserve">14</w:t>
            </w:r>
          </w:p>
        </w:tc>
      </w:tr>
      <w:tr>
        <w:tc>
          <w:p>
            <w:pPr>
              <w:pStyle w:val="Compact"/>
              <w:jc w:val="left"/>
            </w:pPr>
            <w:r>
              <w:t xml:space="preserve">PART ONE — The Gift and the Duty</w:t>
            </w:r>
          </w:p>
        </w:tc>
        <w:tc>
          <w:p>
            <w:pPr>
              <w:pStyle w:val="Compact"/>
              <w:jc w:val="right"/>
            </w:pPr>
            <w:r>
              <w:t xml:space="preserve">15</w:t>
            </w:r>
          </w:p>
        </w:tc>
      </w:tr>
      <w:tr>
        <w:tc>
          <w:p>
            <w:pPr>
              <w:pStyle w:val="Compact"/>
              <w:jc w:val="left"/>
            </w:pPr>
            <w:r>
              <w:t xml:space="preserve">Chapter 1 — The Inheritance Still Standing</w:t>
            </w:r>
          </w:p>
        </w:tc>
        <w:tc>
          <w:p>
            <w:pPr>
              <w:pStyle w:val="Compact"/>
              <w:jc w:val="right"/>
            </w:pPr>
            <w:r>
              <w:t xml:space="preserve">16</w:t>
            </w:r>
          </w:p>
        </w:tc>
      </w:tr>
      <w:tr>
        <w:tc>
          <w:p>
            <w:pPr>
              <w:pStyle w:val="Compact"/>
              <w:jc w:val="left"/>
            </w:pPr>
            <w:r>
              <w:t xml:space="preserve">Chapter 2 — The World That Made the Gift</w:t>
            </w:r>
          </w:p>
        </w:tc>
        <w:tc>
          <w:p>
            <w:pPr>
              <w:pStyle w:val="Compact"/>
              <w:jc w:val="right"/>
            </w:pPr>
            <w:r>
              <w:t xml:space="preserve">18</w:t>
            </w:r>
          </w:p>
        </w:tc>
      </w:tr>
      <w:tr>
        <w:tc>
          <w:p>
            <w:pPr>
              <w:pStyle w:val="Compact"/>
              <w:jc w:val="left"/>
            </w:pPr>
            <w:r>
              <w:t xml:space="preserve">Chapter 3 — The Punctilio of Honor</w:t>
            </w:r>
          </w:p>
        </w:tc>
        <w:tc>
          <w:p>
            <w:pPr>
              <w:pStyle w:val="Compact"/>
              <w:jc w:val="right"/>
            </w:pPr>
            <w:r>
              <w:t xml:space="preserve">20</w:t>
            </w:r>
          </w:p>
        </w:tc>
      </w:tr>
      <w:tr>
        <w:tc>
          <w:p>
            <w:pPr>
              <w:pStyle w:val="Compact"/>
              <w:jc w:val="left"/>
            </w:pPr>
            <w:r>
              <w:t xml:space="preserve">Chapter 4 — Loyalty: The Gift Treated as Pocket Money</w:t>
            </w:r>
          </w:p>
        </w:tc>
        <w:tc>
          <w:p>
            <w:pPr>
              <w:pStyle w:val="Compact"/>
              <w:jc w:val="right"/>
            </w:pPr>
            <w:r>
              <w:t xml:space="preserve">21</w:t>
            </w:r>
          </w:p>
        </w:tc>
      </w:tr>
      <w:tr>
        <w:tc>
          <w:p>
            <w:pPr>
              <w:pStyle w:val="Compact"/>
              <w:jc w:val="left"/>
            </w:pPr>
            <w:r>
              <w:t xml:space="preserve">Chapter 5 — Prudence: Do Not Eat the Seed Corn</w:t>
            </w:r>
          </w:p>
        </w:tc>
        <w:tc>
          <w:p>
            <w:pPr>
              <w:pStyle w:val="Compact"/>
              <w:jc w:val="right"/>
            </w:pPr>
            <w:r>
              <w:t xml:space="preserve">24</w:t>
            </w:r>
          </w:p>
        </w:tc>
      </w:tr>
      <w:tr>
        <w:tc>
          <w:p>
            <w:pPr>
              <w:pStyle w:val="Compact"/>
              <w:jc w:val="left"/>
            </w:pPr>
            <w:r>
              <w:t xml:space="preserve">Chapter 6 — Competence and Accounting: The Books Must Tell the Truth</w:t>
            </w:r>
          </w:p>
        </w:tc>
        <w:tc>
          <w:p>
            <w:pPr>
              <w:pStyle w:val="Compact"/>
              <w:jc w:val="right"/>
            </w:pPr>
            <w:r>
              <w:t xml:space="preserve">28</w:t>
            </w:r>
          </w:p>
        </w:tc>
      </w:tr>
      <w:tr>
        <w:tc>
          <w:p>
            <w:pPr>
              <w:pStyle w:val="Compact"/>
              <w:jc w:val="left"/>
            </w:pPr>
            <w:r>
              <w:t xml:space="preserve">Chapter 7 — Supervision and Enforcement: Someone Has to Watch the Watcher</w:t>
            </w:r>
          </w:p>
        </w:tc>
        <w:tc>
          <w:p>
            <w:pPr>
              <w:pStyle w:val="Compact"/>
              <w:jc w:val="right"/>
            </w:pPr>
            <w:r>
              <w:t xml:space="preserve">30</w:t>
            </w:r>
          </w:p>
        </w:tc>
      </w:tr>
      <w:tr>
        <w:tc>
          <w:p>
            <w:pPr>
              <w:pStyle w:val="Compact"/>
              <w:jc w:val="left"/>
            </w:pPr>
            <w:r>
              <w:t xml:space="preserve">Chapter 8 — What the Record Teaches the Architects of Forever-Trusts</w:t>
            </w:r>
          </w:p>
        </w:tc>
        <w:tc>
          <w:p>
            <w:pPr>
              <w:pStyle w:val="Compact"/>
              <w:jc w:val="right"/>
            </w:pPr>
            <w:r>
              <w:t xml:space="preserve">34</w:t>
            </w:r>
          </w:p>
        </w:tc>
      </w:tr>
      <w:tr>
        <w:tc>
          <w:p>
            <w:pPr>
              <w:pStyle w:val="Compact"/>
              <w:jc w:val="left"/>
            </w:pPr>
            <w:r>
              <w:t xml:space="preserve">Part One — Apparatus</w:t>
            </w:r>
          </w:p>
        </w:tc>
        <w:tc>
          <w:p>
            <w:pPr>
              <w:pStyle w:val="Compact"/>
              <w:jc w:val="right"/>
            </w:pPr>
            <w:r>
              <w:t xml:space="preserve">43</w:t>
            </w:r>
          </w:p>
        </w:tc>
      </w:tr>
      <w:tr>
        <w:tc>
          <w:p>
            <w:pPr>
              <w:pStyle w:val="Compact"/>
              <w:jc w:val="left"/>
            </w:pPr>
            <w:r>
              <w:t xml:space="preserve">Lens 1 — The Timeline: One Grant, Across a Century</w:t>
            </w:r>
          </w:p>
        </w:tc>
        <w:tc>
          <w:p>
            <w:pPr>
              <w:pStyle w:val="Compact"/>
              <w:jc w:val="right"/>
            </w:pPr>
            <w:r>
              <w:t xml:space="preserve">44</w:t>
            </w:r>
          </w:p>
        </w:tc>
      </w:tr>
      <w:tr>
        <w:tc>
          <w:p>
            <w:pPr>
              <w:pStyle w:val="Compact"/>
              <w:jc w:val="left"/>
            </w:pPr>
            <w:r>
              <w:t xml:space="preserve">Lens 2 — The Cases: How Courts Read the Trust</w:t>
            </w:r>
          </w:p>
        </w:tc>
        <w:tc>
          <w:p>
            <w:pPr>
              <w:pStyle w:val="Compact"/>
              <w:jc w:val="right"/>
            </w:pPr>
            <w:r>
              <w:t xml:space="preserve">46</w:t>
            </w:r>
          </w:p>
        </w:tc>
      </w:tr>
      <w:tr>
        <w:tc>
          <w:p>
            <w:pPr>
              <w:pStyle w:val="Compact"/>
              <w:jc w:val="left"/>
            </w:pPr>
            <w:r>
              <w:t xml:space="preserve">Lens 3 — A Field Guide to the Kinds of Theft</w:t>
            </w:r>
          </w:p>
        </w:tc>
        <w:tc>
          <w:p>
            <w:pPr>
              <w:pStyle w:val="Compact"/>
              <w:jc w:val="right"/>
            </w:pPr>
            <w:r>
              <w:t xml:space="preserve">48</w:t>
            </w:r>
          </w:p>
        </w:tc>
      </w:tr>
      <w:tr>
        <w:tc>
          <w:p>
            <w:pPr>
              <w:pStyle w:val="Compact"/>
              <w:jc w:val="left"/>
            </w:pPr>
            <w:r>
              <w:t xml:space="preserve">Lens 4 — The Comparative Matrix: Keyed to Enforceability</w:t>
            </w:r>
          </w:p>
        </w:tc>
        <w:tc>
          <w:p>
            <w:pPr>
              <w:pStyle w:val="Compact"/>
              <w:jc w:val="right"/>
            </w:pPr>
            <w:r>
              <w:t xml:space="preserve">49</w:t>
            </w:r>
          </w:p>
        </w:tc>
      </w:tr>
      <w:tr>
        <w:tc>
          <w:p>
            <w:pPr>
              <w:pStyle w:val="Compact"/>
              <w:jc w:val="left"/>
            </w:pPr>
            <w:r>
              <w:t xml:space="preserve">PART TWO — The Granted States, A to Z</w:t>
            </w:r>
          </w:p>
        </w:tc>
        <w:tc>
          <w:p>
            <w:pPr>
              <w:pStyle w:val="Compact"/>
              <w:jc w:val="right"/>
            </w:pPr>
            <w:r>
              <w:t xml:space="preserve">55</w:t>
            </w:r>
          </w:p>
        </w:tc>
      </w:tr>
      <w:tr>
        <w:tc>
          <w:p>
            <w:pPr>
              <w:pStyle w:val="Compact"/>
              <w:jc w:val="left"/>
            </w:pPr>
            <w:r>
              <w:t xml:space="preserve">A Note on Method and Sources</w:t>
            </w:r>
          </w:p>
        </w:tc>
        <w:tc>
          <w:p>
            <w:pPr>
              <w:pStyle w:val="Compact"/>
              <w:jc w:val="right"/>
            </w:pPr>
            <w:r>
              <w:t xml:space="preserve">124</w:t>
            </w:r>
          </w:p>
        </w:tc>
      </w:tr>
      <w:tr>
        <w:tc>
          <w:p>
            <w:pPr>
              <w:pStyle w:val="Compact"/>
              <w:jc w:val="left"/>
            </w:pPr>
            <w:r>
              <w:t xml:space="preserve">APPENDIX — The Non-Grant States</w:t>
            </w:r>
          </w:p>
        </w:tc>
        <w:tc>
          <w:p>
            <w:pPr>
              <w:pStyle w:val="Compact"/>
              <w:jc w:val="right"/>
            </w:pPr>
            <w:r>
              <w:t xml:space="preserve">125</w:t>
            </w:r>
          </w:p>
        </w:tc>
      </w:tr>
      <w:tr>
        <w:tc>
          <w:p>
            <w:pPr>
              <w:pStyle w:val="Compact"/>
              <w:jc w:val="left"/>
            </w:pPr>
            <w:r>
              <w:t xml:space="preserve">Illustration Program</w:t>
            </w:r>
          </w:p>
        </w:tc>
        <w:tc>
          <w:p>
            <w:pPr>
              <w:pStyle w:val="Compact"/>
              <w:jc w:val="right"/>
            </w:pPr>
            <w:r>
              <w:t xml:space="preserve">131</w:t>
            </w:r>
          </w:p>
        </w:tc>
      </w:tr>
      <w:tr>
        <w:tc>
          <w:p>
            <w:pPr>
              <w:pStyle w:val="Compact"/>
              <w:jc w:val="left"/>
            </w:pPr>
            <w:r>
              <w:t xml:space="preserve">Notes</w:t>
            </w:r>
          </w:p>
        </w:tc>
        <w:tc>
          <w:p>
            <w:pPr>
              <w:pStyle w:val="Compact"/>
              <w:jc w:val="right"/>
            </w:pPr>
            <w:r>
              <w:t xml:space="preserve">132</w:t>
            </w:r>
          </w:p>
        </w:tc>
      </w:tr>
      <w:tr>
        <w:tc>
          <w:p>
            <w:pPr>
              <w:pStyle w:val="Compact"/>
              <w:jc w:val="left"/>
            </w:pPr>
            <w:r>
              <w:t xml:space="preserve">What You Can Do</w:t>
            </w:r>
          </w:p>
        </w:tc>
        <w:tc>
          <w:p>
            <w:pPr>
              <w:pStyle w:val="Compact"/>
              <w:jc w:val="right"/>
            </w:pPr>
            <w:r>
              <w:t xml:space="preserve">136</w:t>
            </w:r>
          </w:p>
        </w:tc>
      </w:tr>
      <w:tr>
        <w:tc>
          <w:p>
            <w:pPr>
              <w:pStyle w:val="Compact"/>
              <w:jc w:val="left"/>
            </w:pPr>
            <w:r>
              <w:t xml:space="preserve">Editor’s Report – Codex v11 Evidence-Lock Pass</w:t>
            </w:r>
          </w:p>
        </w:tc>
        <w:tc>
          <w:p>
            <w:pPr>
              <w:pStyle w:val="Compact"/>
              <w:jc w:val="right"/>
            </w:pPr>
            <w:r>
              <w:t xml:space="preserve">137</w:t>
            </w:r>
          </w:p>
        </w:tc>
      </w:tr>
    </w:tbl>
    <w:p>
      <w:r>
        <w:br w:type="page"/>
      </w:r>
    </w:p>
    <w:p>
      <w:pPr>
        <w:pStyle w:val="Heading1"/>
      </w:pPr>
      <w:bookmarkStart w:id="24" w:name="why-this-matters"/>
      <w:r>
        <w:t xml:space="preserve">Why This Matters</w:t>
      </w:r>
      <w:bookmarkEnd w:id="24"/>
    </w:p>
    <w:p>
      <w:pPr>
        <w:pStyle w:val="Heading3"/>
      </w:pPr>
      <w:bookmarkStart w:id="25" w:name="a-note-from-the-authors"/>
      <w:r>
        <w:t xml:space="preserve">A Note from the Authors</w:t>
      </w:r>
      <w:bookmarkEnd w:id="25"/>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imported ASTL state pages report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26" w:name="a-note-from-the-first-author"/>
      <w:r>
        <w:t xml:space="preserve">A Note from the First Author</w:t>
      </w:r>
      <w:bookmarkEnd w:id="26"/>
    </w:p>
    <w:p>
      <w:pPr>
        <w:pStyle w:val="FirstParagraph"/>
      </w:pPr>
      <w:r>
        <w:rPr>
          <w:i/>
        </w:rPr>
        <w:t xml:space="preserve">[Draft in Margaret Bird’s voice, composed from her recorded words — for her to revise. The middle paragraph touches the same national point as the joint note; hers to keep, trim, or merge.]</w:t>
      </w:r>
    </w:p>
    <w:p>
      <w:pPr>
        <w:pStyle w:val="BodyText"/>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García,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27" w:name="a-note-on-sources"/>
      <w:r>
        <w:t xml:space="preserve">A Note on Sources</w:t>
      </w:r>
      <w:bookmarkEnd w:id="27"/>
    </w:p>
    <w:p>
      <w:pPr>
        <w:pStyle w:val="FirstParagraph"/>
      </w:pPr>
      <w:r>
        <w:t xml:space="preserve">This book rests on five kinds of evidence. The narrative should feel plain, but the floor under it is documentary.</w:t>
      </w:r>
    </w:p>
    <w:p>
      <w:pPr>
        <w:numPr>
          <w:ilvl w:val="0"/>
          <w:numId w:val="1001"/>
        </w:numPr>
        <w:pStyle w:val="Compact"/>
      </w:pPr>
      <w:r>
        <w:rPr>
          <w:b/>
        </w:rPr>
        <w:t xml:space="preserve">Founding law.</w:t>
      </w:r>
      <w:r>
        <w:t xml:space="preserve"> </w:t>
      </w:r>
      <w:r>
        <w:t xml:space="preserve">The Land Ordinance of May 20, 1785 is the operative grant instrument: the Confederation Congress reserved Section 16 for schools before the Northwest Ordinance supplied the more famous education language. The distinction matters throughout the book: 1785 conveyed land; 1787 supplied civic philosophy.</w:t>
      </w:r>
    </w:p>
    <w:p>
      <w:pPr>
        <w:numPr>
          <w:ilvl w:val="0"/>
          <w:numId w:val="1001"/>
        </w:numPr>
        <w:pStyle w:val="Compact"/>
      </w:pPr>
      <w:r>
        <w:rPr>
          <w:b/>
        </w:rPr>
        <w:t xml:space="preserve">Admission and enabling acts.</w:t>
      </w:r>
      <w:r>
        <w:t xml:space="preserve"> </w:t>
      </w:r>
      <w:r>
        <w:t xml:space="preserve">The thirty-three granted states are treated as one federal project carried forward through successive statehood acts, not as fifty local experiments. The controlling interpretive rule is</w:t>
      </w:r>
      <w:r>
        <w:t xml:space="preserve"> </w:t>
      </w:r>
      <w:r>
        <w:rPr>
          <w:i/>
        </w:rPr>
        <w:t xml:space="preserve">United States v. Morrison</w:t>
      </w:r>
      <w:r>
        <w:t xml:space="preserve">, 240 U.S. 192 (1916): materially identical school-land grants for the same purpose receive the same construction.</w:t>
      </w:r>
    </w:p>
    <w:p>
      <w:pPr>
        <w:numPr>
          <w:ilvl w:val="0"/>
          <w:numId w:val="1001"/>
        </w:numPr>
        <w:pStyle w:val="Compact"/>
      </w:pPr>
      <w:r>
        <w:rPr>
          <w:b/>
        </w:rPr>
        <w:t xml:space="preserve">Trust-duty cases.</w:t>
      </w:r>
      <w:r>
        <w:t xml:space="preserve"> </w:t>
      </w:r>
      <w:r>
        <w:t xml:space="preserve">The duty chapters use the established fiduciary line:</w:t>
      </w:r>
      <w:r>
        <w:t xml:space="preserve"> </w:t>
      </w:r>
      <w:r>
        <w:rPr>
          <w:i/>
        </w:rPr>
        <w:t xml:space="preserve">Keech</w:t>
      </w:r>
      <w:r>
        <w:t xml:space="preserve">,</w:t>
      </w:r>
      <w:r>
        <w:t xml:space="preserve"> </w:t>
      </w:r>
      <w:r>
        <w:rPr>
          <w:i/>
        </w:rPr>
        <w:t xml:space="preserve">Magruder</w:t>
      </w:r>
      <w:r>
        <w:t xml:space="preserve">,</w:t>
      </w:r>
      <w:r>
        <w:t xml:space="preserve"> </w:t>
      </w:r>
      <w:r>
        <w:rPr>
          <w:i/>
        </w:rPr>
        <w:t xml:space="preserve">Meinhard</w:t>
      </w:r>
      <w:r>
        <w:t xml:space="preserve">,</w:t>
      </w:r>
      <w:r>
        <w:t xml:space="preserve"> </w:t>
      </w:r>
      <w:r>
        <w:rPr>
          <w:i/>
        </w:rPr>
        <w:t xml:space="preserve">Ervien</w:t>
      </w:r>
      <w:r>
        <w:t xml:space="preserve">,</w:t>
      </w:r>
      <w:r>
        <w:t xml:space="preserve"> </w:t>
      </w:r>
      <w:r>
        <w:rPr>
          <w:i/>
        </w:rPr>
        <w:t xml:space="preserve">Lassen</w:t>
      </w:r>
      <w:r>
        <w:t xml:space="preserve">,</w:t>
      </w:r>
      <w:r>
        <w:t xml:space="preserve"> </w:t>
      </w:r>
      <w:r>
        <w:rPr>
          <w:i/>
        </w:rPr>
        <w:t xml:space="preserve">Andrus</w:t>
      </w:r>
      <w:r>
        <w:t xml:space="preserve">,</w:t>
      </w:r>
      <w:r>
        <w:t xml:space="preserve"> </w:t>
      </w:r>
      <w:r>
        <w:rPr>
          <w:i/>
        </w:rPr>
        <w:t xml:space="preserve">Papasan</w:t>
      </w:r>
      <w:r>
        <w:t xml:space="preserve">,</w:t>
      </w:r>
      <w:r>
        <w:t xml:space="preserve"> </w:t>
      </w:r>
      <w:r>
        <w:rPr>
          <w:i/>
        </w:rPr>
        <w:t xml:space="preserve">Skamania</w:t>
      </w:r>
      <w:r>
        <w:t xml:space="preserve">,</w:t>
      </w:r>
      <w:r>
        <w:t xml:space="preserve"> </w:t>
      </w:r>
      <w:r>
        <w:rPr>
          <w:i/>
        </w:rPr>
        <w:t xml:space="preserve">Ebke</w:t>
      </w:r>
      <w:r>
        <w:t xml:space="preserve">, and related state cases. Direct quotations are drawn only from</w:t>
      </w:r>
      <w:r>
        <w:t xml:space="preserve"> </w:t>
      </w:r>
      <w:r>
        <w:rPr>
          <w:rStyle w:val="VerbatimChar"/>
        </w:rPr>
        <w:t xml:space="preserve">Quotes_Verified_for_Insets_2026-05-29.md</w:t>
      </w:r>
      <w:r>
        <w:t xml:space="preserve"> </w:t>
      </w:r>
      <w:r>
        <w:t xml:space="preserve">unless a later author pass adds a precisely cited source to that file.</w:t>
      </w:r>
    </w:p>
    <w:p>
      <w:pPr>
        <w:numPr>
          <w:ilvl w:val="0"/>
          <w:numId w:val="1001"/>
        </w:numPr>
        <w:pStyle w:val="Compact"/>
      </w:pPr>
      <w:r>
        <w:rPr>
          <w:b/>
        </w:rPr>
        <w:t xml:space="preserve">State dossiers and Attorney-General opinions.</w:t>
      </w:r>
      <w:r>
        <w:t xml:space="preserve"> </w:t>
      </w:r>
      <w:r>
        <w:t xml:space="preserve">Part Two uses the state-by-state source packets, the comparative atlas work, the ~48 state Attorney-General opinions, and the ASTL imported state pages. Present-day acreage, corpus, and distribution numbers should carry an</w:t>
      </w:r>
      <w:r>
        <w:t xml:space="preserve"> </w:t>
      </w:r>
      <w:r>
        <w:rPr>
          <w:rStyle w:val="VerbatimChar"/>
        </w:rPr>
        <w:t xml:space="preserve">AS OF</w:t>
      </w:r>
      <w:r>
        <w:t xml:space="preserve"> </w:t>
      </w:r>
      <w:r>
        <w:t xml:space="preserve">date or be omitted/tightened pending verification.</w:t>
      </w:r>
    </w:p>
    <w:p>
      <w:pPr>
        <w:numPr>
          <w:ilvl w:val="0"/>
          <w:numId w:val="1001"/>
        </w:numPr>
        <w:pStyle w:val="Compact"/>
      </w:pPr>
      <w:r>
        <w:rPr>
          <w:b/>
        </w:rPr>
        <w:t xml:space="preserve">The Georgia opening.</w:t>
      </w:r>
      <w:r>
        <w:t xml:space="preserve"> </w:t>
      </w:r>
      <w:r>
        <w:t xml:space="preserve">The free-school stigma passage uses Dorothy Orr,</w:t>
      </w:r>
      <w:r>
        <w:t xml:space="preserve"> </w:t>
      </w:r>
      <w:r>
        <w:rPr>
          <w:i/>
        </w:rPr>
        <w:t xml:space="preserve">A History of Education in Georgia</w:t>
      </w:r>
      <w:r>
        <w:t xml:space="preserve"> </w:t>
      </w:r>
      <w:r>
        <w:t xml:space="preserve">(1950), with the Bryan County 1847 figure — 164 children entitled to Poor School Fund aid, no more than 16 attending — preserved through the Georgia sourcing memo and Taylor Robinson’s 2014 dissertation trail. The book paraphrases the stigma rather than adding unapproved quotation language.</w:t>
      </w:r>
    </w:p>
    <w:p>
      <w:pPr>
        <w:numPr>
          <w:ilvl w:val="0"/>
          <w:numId w:val="1001"/>
        </w:numPr>
        <w:pStyle w:val="Compact"/>
      </w:pPr>
      <w:r>
        <w:rPr>
          <w:b/>
        </w:rPr>
        <w:t xml:space="preserve">Oregon and modern controversies.</w:t>
      </w:r>
      <w:r>
        <w:t xml:space="preserve"> </w:t>
      </w:r>
      <w:r>
        <w:t xml:space="preserve">Elliott State Forest figures come from public State Land Board testimony, OASTL public valuation materials, and the SB 1546 legislative record. The manuscript states the public figures and the dispute over their meaning; it does not treat OASTL’s contested valuation theory as a court finding.</w:t>
      </w:r>
    </w:p>
    <w:p>
      <w:pPr>
        <w:numPr>
          <w:ilvl w:val="0"/>
          <w:numId w:val="1001"/>
        </w:numPr>
        <w:pStyle w:val="Compact"/>
      </w:pPr>
      <w:r>
        <w:rPr>
          <w:b/>
        </w:rPr>
        <w:t xml:space="preserve">Living trust-land data.</w:t>
      </w:r>
      <w:r>
        <w:t xml:space="preserve"> </w:t>
      </w:r>
      <w:r>
        <w:t xml:space="preserve">The national scale figure — more than 45 million acres still held in trust by 20 states, with aggregate permanent school funds well over $100 billion and more than $1 billion distributed to beneficiaries in FY2022 — reflects Advocates for School Trust Lands’ most recent public figures. (Earlier drafts’</w:t>
      </w:r>
      <w:r>
        <w:t xml:space="preserve"> </w:t>
      </w:r>
      <w:r>
        <w:t xml:space="preserve">“</w:t>
      </w:r>
      <w:r>
        <w:t xml:space="preserve">$115 billion / $5 billion FY2024</w:t>
      </w:r>
      <w:r>
        <w:t xml:space="preserve">”</w:t>
      </w:r>
      <w:r>
        <w:t xml:space="preserve"> </w:t>
      </w:r>
      <w:r>
        <w:t xml:space="preserve">totals could not be sourced to ASTL and were dropped; the 45-million-acre and $100-billion-plus numbers are ASTL’s standing totals.) Refresh against the live ASTL dataset before final print.</w:t>
      </w:r>
    </w:p>
    <w:p>
      <w:r>
        <w:br w:type="page"/>
      </w:r>
    </w:p>
    <w:p>
      <w:pPr>
        <w:pStyle w:val="Heading1"/>
      </w:pPr>
      <w:bookmarkStart w:id="28" w:name="a-note-on-this-edition"/>
      <w:r>
        <w:t xml:space="preserve">A Note on This Edition</w:t>
      </w:r>
      <w:bookmarkEnd w:id="28"/>
    </w:p>
    <w:p>
      <w:pPr>
        <w:pStyle w:val="FirstParagraph"/>
      </w:pPr>
      <w:r>
        <w:t xml:space="preserve">This is the first edition of</w:t>
      </w:r>
      <w:r>
        <w:t xml:space="preserve"> </w:t>
      </w:r>
      <w:r>
        <w:rPr>
          <w:i/>
        </w:rPr>
        <w:t xml:space="preserve">The Forgotten Forever Gift to Public Schools</w:t>
      </w:r>
      <w:r>
        <w:t xml:space="preserve"> </w:t>
      </w:r>
      <w:r>
        <w:t xml:space="preserve">(Volume One — Looking Back), the first of three companion volumes; this one looks back at the history, with companion volumes addressing the present and the work ahead. It is published as a living first edition: the argument and the documented record are settled, while the present-day state figures are kept current online (see</w:t>
      </w:r>
      <w:r>
        <w:t xml:space="preserve"> </w:t>
      </w:r>
      <w:r>
        <w:t xml:space="preserve">“</w:t>
      </w:r>
      <w:r>
        <w:t xml:space="preserve">A Living Record,</w:t>
      </w:r>
      <w:r>
        <w:t xml:space="preserve">”</w:t>
      </w:r>
      <w:r>
        <w:t xml:space="preserve"> </w:t>
      </w:r>
      <w:r>
        <w:t xml:space="preserve">below).</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settled and sourced in the Notes at the back. The fifty state portraits in Part Two are deliberately brief — for two reasons. First, they describe living trusts whose lands, funds, and leaders change from month to month; a permanent fund’s balance is never the same twice, so the current figure belongs online, not frozen on a printed page. Second, a book is the wrong place for an encyclopedia: the full record for each state — the complete figures, the source documents, the longer history, and the latest developments — runs far past what any single printed volume should carry. So we have put the essential portrait here and the full, current record online. Each state entry carries a code you can scan to reach its living page, with everything we hold and a place to tell us if we have something wrong. This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ecstatic-hopeful-cerf/mnt/Claude%20Cowork/L4_Deliverables/Book_Revision/FFG/_qr/qr_hub.png" id="0" name="Picture"/>
                    <pic:cNvPicPr>
                      <a:picLocks noChangeArrowheads="1" noChangeAspect="1"/>
                    </pic:cNvPicPr>
                  </pic:nvPicPr>
                  <pic:blipFill>
                    <a:blip r:embed="rId29"/>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pPr>
        <w:pStyle w:val="BodyText"/>
      </w:pPr>
      <w:r>
        <w:rPr>
          <w:b/>
        </w:rPr>
        <w:t xml:space="preserve">About America’s School Trust Library.</w:t>
      </w:r>
      <w:r>
        <w:t xml:space="preserve"> </w:t>
      </w:r>
      <w:r>
        <w:t xml:space="preserve">The pages those codes reach are part of</w:t>
      </w:r>
      <w:r>
        <w:t xml:space="preserve"> </w:t>
      </w:r>
      <w:r>
        <w:rPr>
          <w:i/>
        </w:rPr>
        <w:t xml:space="preserve">America’s School Trust Library</w:t>
      </w:r>
      <w:r>
        <w:t xml:space="preserve"> </w:t>
      </w:r>
      <w:r>
        <w:t xml:space="preserve">— a free, public, online record of the school-land trusts of all fifty states, maintained by Advocates for School Trust Lands at schooltrusts.net. It gathers in one place what has never been gathered before: each state’s grant, lands, funds, governing law, and history, kept current and open to correction. The Library is the living, comprehensive companion to this book — the book is its doorway. Our aim is a record durable enough to outlast any single lawsuit, administration, or generation, so that the people who inherit these trusts can always find out what they were left.</w:t>
      </w:r>
    </w:p>
    <w:p>
      <w:r>
        <w:br w:type="page"/>
      </w:r>
    </w:p>
    <w:p>
      <w:pPr>
        <w:pStyle w:val="Heading1"/>
      </w:pPr>
      <w:bookmarkStart w:id="30" w:name="a-few-words-defined"/>
      <w:r>
        <w:t xml:space="preserve">A Few Words, Defined</w:t>
      </w:r>
      <w:bookmarkEnd w:id="30"/>
    </w:p>
    <w:p>
      <w:pPr>
        <w:pStyle w:val="FirstParagraph"/>
      </w:pPr>
      <w:r>
        <w:rPr>
          <w:i/>
        </w:rPr>
        <w:t xml:space="preserve">A handful of terms recur throughout this book. None requires a law degree.</w:t>
      </w:r>
    </w:p>
    <w:p>
      <w:pPr>
        <w:pStyle w:val="BodyText"/>
      </w:pPr>
      <w:r>
        <w:rPr>
          <w:b/>
        </w:rPr>
        <w:t xml:space="preserve">Trust.</w:t>
      </w:r>
      <w:r>
        <w:t xml:space="preserve"> </w:t>
      </w:r>
      <w:r>
        <w:t xml:space="preserve">An arrangement in which one party (the</w:t>
      </w:r>
      <w:r>
        <w:t xml:space="preserve"> </w:t>
      </w:r>
      <w:r>
        <w:rPr>
          <w:i/>
        </w:rPr>
        <w:t xml:space="preserve">trustee</w:t>
      </w:r>
      <w:r>
        <w:t xml:space="preserve">) holds property strictly for the benefit of another (the</w:t>
      </w:r>
      <w:r>
        <w:t xml:space="preserve"> </w:t>
      </w:r>
      <w:r>
        <w:rPr>
          <w:i/>
        </w:rPr>
        <w:t xml:space="preserve">beneficiary</w:t>
      </w:r>
      <w:r>
        <w:t xml:space="preserve">), under duties a court will enforce. It need not use the word</w:t>
      </w:r>
      <w:r>
        <w:t xml:space="preserve"> </w:t>
      </w:r>
      <w:r>
        <w:t xml:space="preserve">“</w:t>
      </w:r>
      <w:r>
        <w:t xml:space="preserve">trust</w:t>
      </w:r>
      <w:r>
        <w:t xml:space="preserve">”</w:t>
      </w:r>
      <w:r>
        <w:t xml:space="preserve"> </w:t>
      </w:r>
      <w:r>
        <w:t xml:space="preserve">to be one.</w:t>
      </w:r>
    </w:p>
    <w:p>
      <w:pPr>
        <w:pStyle w:val="BodyText"/>
      </w:pPr>
      <w:r>
        <w:rPr>
          <w:b/>
        </w:rPr>
        <w:t xml:space="preserve">Beneficiary.</w:t>
      </w:r>
      <w:r>
        <w:t xml:space="preserve"> </w:t>
      </w:r>
      <w:r>
        <w:t xml:space="preserve">Here, the public schools. (Children are who</w:t>
      </w:r>
      <w:r>
        <w:t xml:space="preserve"> </w:t>
      </w:r>
      <w:r>
        <w:rPr>
          <w:i/>
        </w:rPr>
        <w:t xml:space="preserve">benefit</w:t>
      </w:r>
      <w:r>
        <w:t xml:space="preserve">; the schools are the beneficiary the trust runs to.)</w:t>
      </w:r>
    </w:p>
    <w:p>
      <w:pPr>
        <w:pStyle w:val="BodyText"/>
      </w:pPr>
      <w:r>
        <w:rPr>
          <w:b/>
        </w:rPr>
        <w:t xml:space="preserve">Trustee.</w:t>
      </w:r>
      <w:r>
        <w:t xml:space="preserve"> </w:t>
      </w:r>
      <w:r>
        <w:t xml:space="preserve">The party that holds and manages the trust — here, the state, acting through its land board, land office, or trust-lands agency.</w:t>
      </w:r>
    </w:p>
    <w:p>
      <w:pPr>
        <w:pStyle w:val="BodyText"/>
      </w:pPr>
      <w:r>
        <w:rPr>
          <w:b/>
        </w:rPr>
        <w:t xml:space="preserve">Corpus (or principal).</w:t>
      </w:r>
      <w:r>
        <w:t xml:space="preserve"> </w:t>
      </w:r>
      <w:r>
        <w:t xml:space="preserve">The body of the trust — the land itself, and the permanent fund built from selling or leasing it. The corpus is to be preserved forever; only the</w:t>
      </w:r>
      <w:r>
        <w:t xml:space="preserve"> </w:t>
      </w:r>
      <w:r>
        <w:rPr>
          <w:i/>
        </w:rPr>
        <w:t xml:space="preserve">income</w:t>
      </w:r>
      <w:r>
        <w:t xml:space="preserve"> </w:t>
      </w:r>
      <w:r>
        <w:t xml:space="preserve">it throws off is meant to be spent.</w:t>
      </w:r>
    </w:p>
    <w:p>
      <w:pPr>
        <w:pStyle w:val="BodyText"/>
      </w:pPr>
      <w:r>
        <w:rPr>
          <w:b/>
        </w:rPr>
        <w:t xml:space="preserve">Permanent (or perpetual) school fund.</w:t>
      </w:r>
      <w:r>
        <w:t xml:space="preserve"> </w:t>
      </w:r>
      <w:r>
        <w:t xml:space="preserve">The invested proceeds of trust land, held intact in perpetuity, paying out earnings to the schools year after year.</w:t>
      </w:r>
    </w:p>
    <w:p>
      <w:pPr>
        <w:pStyle w:val="BodyText"/>
      </w:pPr>
      <w:r>
        <w:rPr>
          <w:b/>
        </w:rPr>
        <w:t xml:space="preserve">Section 16 (and 36).</w:t>
      </w:r>
      <w:r>
        <w:t xml:space="preserve"> </w:t>
      </w:r>
      <w:r>
        <w:t xml:space="preserve">The squares reserved for schools in the federal survey: one — later two — out of every thirty-six-square-mile township.</w:t>
      </w:r>
    </w:p>
    <w:p>
      <w:pPr>
        <w:pStyle w:val="BodyText"/>
      </w:pPr>
      <w:r>
        <w:rPr>
          <w:b/>
        </w:rPr>
        <w:t xml:space="preserve">Enabling Act.</w:t>
      </w:r>
      <w:r>
        <w:t xml:space="preserve"> </w:t>
      </w:r>
      <w:r>
        <w:t xml:space="preserve">The federal statute admitting a territory as a state, which carried the school-land grant and its conditions.</w:t>
      </w:r>
    </w:p>
    <w:p>
      <w:r>
        <w:br w:type="page"/>
      </w:r>
    </w:p>
    <w:p>
      <w:pPr>
        <w:pStyle w:val="Heading1"/>
      </w:pPr>
      <w:bookmarkStart w:id="31" w:name="part-one-the-gift-and-the-duty"/>
      <w:r>
        <w:t xml:space="preserve">PART ONE — The Gift and the Duty</w:t>
      </w:r>
      <w:bookmarkEnd w:id="31"/>
    </w:p>
    <w:p>
      <w:r>
        <w:br w:type="page"/>
      </w:r>
    </w:p>
    <w:p>
      <w:pPr>
        <w:pStyle w:val="Heading1"/>
      </w:pPr>
      <w:bookmarkStart w:id="32" w:name="chapter-1-the-inheritance-still-standing"/>
      <w:r>
        <w:t xml:space="preserve">Chapter 1 — The Inheritance Still Standing</w:t>
      </w:r>
      <w:bookmarkEnd w:id="32"/>
    </w:p>
    <w:p>
      <w:pPr>
        <w:pStyle w:val="BlockText"/>
      </w:pPr>
      <w:r>
        <w:t xml:space="preserve">“</w:t>
      </w:r>
      <w:r>
        <w:t xml:space="preserve">A popular Government, without popular information, or the means of acquiring it, is but a Prologue to a Farce or a Tragedy; or, perhaps both.</w:t>
      </w:r>
      <w:r>
        <w:t xml:space="preserve">”</w:t>
      </w:r>
      <w:r>
        <w:t xml:space="preserve"> </w:t>
      </w:r>
      <w:r>
        <w:t xml:space="preserve">— James Madison to W. T. Barry, 1822</w:t>
      </w:r>
    </w:p>
    <w:p>
      <w:pPr>
        <w:pStyle w:val="FirstParagraph"/>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an area a little smaller than Colorado or Utah.</w:t>
      </w:r>
    </w:p>
    <w:p>
      <w:pPr>
        <w:pStyle w:val="BodyText"/>
      </w:pPr>
      <w:r>
        <w:drawing>
          <wp:inline>
            <wp:extent cx="5334000" cy="1922552"/>
            <wp:effectExtent b="0" l="0" r="0" t="0"/>
            <wp:docPr descr="Figure 1. The Scale of the Gift. The school-land grant that survives today runs to more than forty-five million acres held by twenty states today — an expanse approaching the size of entire western states. Source: imported ASTL state-page corpus." title="" id="1" name="Picture"/>
            <a:graphic>
              <a:graphicData uri="http://schemas.openxmlformats.org/drawingml/2006/picture">
                <pic:pic>
                  <pic:nvPicPr>
                    <pic:cNvPr descr="/sessions/ecstatic-hopeful-cerf/tmp/tmpad7ap_2n/fig_scale.jpg" id="0" name="Picture"/>
                    <pic:cNvPicPr>
                      <a:picLocks noChangeArrowheads="1" noChangeAspect="1"/>
                    </pic:cNvPicPr>
                  </pic:nvPicPr>
                  <pic:blipFill>
                    <a:blip r:embed="rId33"/>
                    <a:stretch>
                      <a:fillRect/>
                    </a:stretch>
                  </pic:blipFill>
                  <pic:spPr bwMode="auto">
                    <a:xfrm>
                      <a:off x="0" y="0"/>
                      <a:ext cx="5334000" cy="1922552"/>
                    </a:xfrm>
                    <a:prstGeom prst="rect">
                      <a:avLst/>
                    </a:prstGeom>
                    <a:noFill/>
                    <a:ln w="9525">
                      <a:noFill/>
                      <a:headEnd/>
                      <a:tailEnd/>
                    </a:ln>
                  </pic:spPr>
                </pic:pic>
              </a:graphicData>
            </a:graphic>
          </wp:inline>
        </w:drawing>
      </w:r>
      <w:r>
        <w:t xml:space="preserve"> </w:t>
      </w: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1</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2</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3</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34" w:name="chapter-2-the-world-that-made-the-gift"/>
      <w:r>
        <w:t xml:space="preserve">Chapter 2 — The World That Made the Gift</w:t>
      </w:r>
      <w:bookmarkEnd w:id="34"/>
    </w:p>
    <w:p>
      <w:pPr>
        <w:pStyle w:val="BlockText"/>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t xml:space="preserve"> </w:t>
      </w:r>
      <w:r>
        <w:t xml:space="preserve">— John Adams</w:t>
      </w:r>
    </w:p>
    <w:p>
      <w:pPr>
        <w:pStyle w:val="FirstParagraph"/>
      </w:pPr>
      <w:r>
        <w:t xml:space="preserve">It is hard, from here, to feel how strange and bold the school-land grant was. We are used to public schools; we are used to a government with money. The men who made the grant had neither.</w:t>
      </w:r>
    </w:p>
    <w:p>
      <w:pPr>
        <w:pStyle w:val="BodyText"/>
      </w:pPr>
      <w:r>
        <w:t xml:space="preserve">Picture the moment. The Revolution had been won and the country was broke — not short of funds, but genuinely empty, a treasury at zero, soldiers unpaid, the Confederation unable to tax. The one thing the new nation had was land: a vast public domain west of the original states, claimed and ceded and stretching toward a Pacific no one in the government had seen. Land was not merely an asset; it was</w:t>
      </w:r>
      <w:r>
        <w:t xml:space="preserve"> </w:t>
      </w:r>
      <w:r>
        <w:rPr>
          <w:i/>
        </w:rPr>
        <w:t xml:space="preserve">the</w:t>
      </w:r>
      <w:r>
        <w:t xml:space="preserve"> </w:t>
      </w:r>
      <w:r>
        <w:t xml:space="preserve">asset, and more than that, it was the basis of citizenship itself — in most places a man could not vote unless he owned some. To set aside land was to set aside the most valuable and most meaningful thing the country possessed.</w:t>
      </w:r>
    </w:p>
    <w:p>
      <w:pPr>
        <w:pStyle w:val="BlockText"/>
      </w:pPr>
      <w:r>
        <w:rPr>
          <w:b/>
        </w:rPr>
        <w:t xml:space="preserve">▣ BOXED INSERT — The World of 1785</w:t>
      </w:r>
    </w:p>
    <w:p>
      <w:pPr>
        <w:pStyle w:val="BlockText"/>
      </w:pPr>
      <w:r>
        <w:t xml:space="preserve">The Revolutionary War had drained the treasury to nothing. The government could not pay its soldiers, could not raise a reliable tax, and had almost no hard money to its name. What it had was land — a continent of it, just acquired, largely unsurveyed, stretching toward an ocean no official had laid eyes on. And land was not just wealth. In most of the new states a man could not cast a vote unless he owned property; land was the ticket to citizenship. So when the Congress, in the Land Ordinance of 1785, reserved one square mile out of every thirty-six for the support of schools, it was not handing over a spare and worthless thing. It was committing the most valuable — and most politically charged — asset the nation owned, roughly one thirty-sixth of a continent, to the education of children not yet born. Measured against what the government actually had to give, it may be the most generous public act in the country’s founding.</w:t>
      </w:r>
    </w:p>
    <w:p>
      <w:pPr>
        <w:pStyle w:val="FirstParagraph"/>
      </w:pPr>
      <w:r>
        <w:t xml:space="preserve">Into that moment came an idea that was not new at all. Thomas Jefferson, on the committee that shaped the western lands in 1784 and 1785</w:t>
      </w:r>
      <w:r>
        <w:rPr>
          <w:vertAlign w:val="superscript"/>
        </w:rPr>
        <w:t xml:space="preserve">1</w:t>
      </w:r>
      <w:r>
        <w:t xml:space="preserve">, and the men who worked the question with him, reached back for a device that was already ancient — older than the common law of England that carried it to America, with roots running back to the endowments of the medieval and the older Near Eastern world</w:t>
      </w:r>
      <w:r>
        <w:rPr>
          <w:vertAlign w:val="superscript"/>
        </w:rPr>
        <w:t xml:space="preserve">2</w:t>
      </w:r>
      <w:r>
        <w:t xml:space="preserve">. They reached for the</w:t>
      </w:r>
      <w:r>
        <w:t xml:space="preserve"> </w:t>
      </w:r>
      <w:r>
        <w:rPr>
          <w:i/>
        </w:rPr>
        <w:t xml:space="preserve">trust</w:t>
      </w:r>
      <w:r>
        <w:t xml:space="preserve">: the legal arrangement by which one person is made to hold property strictly for the good of another, and is bound by duties a court will enforce. They reached for it deliberately, and they reached for it because they were not naïve. They knew, from centuries of bitter example, how money left for the benefit of heirs and dependents and charities tends to be handled when no one is watching — how readily it is borrowed, diverted,</w:t>
      </w:r>
      <w:r>
        <w:t xml:space="preserve"> </w:t>
      </w:r>
      <w:r>
        <w:t xml:space="preserve">“</w:t>
      </w:r>
      <w:r>
        <w:t xml:space="preserve">invested</w:t>
      </w:r>
      <w:r>
        <w:t xml:space="preserve">”</w:t>
      </w:r>
      <w:r>
        <w:t xml:space="preserve"> </w:t>
      </w:r>
      <w:r>
        <w:t xml:space="preserve">into a friend’s venture, and lost. The trust existed because that had happened so many times that the law had grown a body of rules to prevent it.</w:t>
      </w:r>
    </w:p>
    <w:p>
      <w:pPr>
        <w:pStyle w:val="BlockText"/>
      </w:pPr>
      <w:r>
        <w:rPr>
          <w:b/>
        </w:rPr>
        <w:t xml:space="preserve">▣ BOXED INSERT — The Origins of the Trust</w:t>
      </w:r>
    </w:p>
    <w:p>
      <w:pPr>
        <w:pStyle w:val="BlockText"/>
      </w:pPr>
      <w:r>
        <w:t xml:space="preserve">The trust was not invented for the schools. It is one of the oldest instruments in law. Its lineage runs from the charitable and family endowments of the ancient Near East, through the religious foundations of the medieval world, into the English common law, where the device of holding property for another’s benefit was refined over centuries precisely because the alternative kept failing: money left to heirs and good causes was, again and again, misspent by the people entrusted with it. By the eighteenth century there was a thick body of law about what a trustee may and may not do. Crucially, a binding trust never required the word</w:t>
      </w:r>
      <w:r>
        <w:t xml:space="preserve"> </w:t>
      </w:r>
      <w:r>
        <w:t xml:space="preserve">“</w:t>
      </w:r>
      <w:r>
        <w:t xml:space="preserve">trust</w:t>
      </w:r>
      <w:r>
        <w:t xml:space="preserve">”</w:t>
      </w:r>
      <w:r>
        <w:t xml:space="preserve"> </w:t>
      </w:r>
      <w:r>
        <w:t xml:space="preserve">to exist — any more than a binding contract requires the word</w:t>
      </w:r>
      <w:r>
        <w:t xml:space="preserve"> </w:t>
      </w:r>
      <w:r>
        <w:t xml:space="preserve">“</w:t>
      </w:r>
      <w:r>
        <w:t xml:space="preserve">contract.</w:t>
      </w:r>
      <w:r>
        <w:t xml:space="preserve">”</w:t>
      </w:r>
      <w:r>
        <w:t xml:space="preserve"> </w:t>
      </w:r>
      <w:r>
        <w:t xml:space="preserve">It requires the substance: property, a beneficiary, and a duty to hold the one for the other. When Congress gave land to the states</w:t>
      </w:r>
      <w:r>
        <w:t xml:space="preserve"> </w:t>
      </w:r>
      <w:r>
        <w:t xml:space="preserve">“</w:t>
      </w:r>
      <w:r>
        <w:t xml:space="preserve">for the use of schools,</w:t>
      </w:r>
      <w:r>
        <w:t xml:space="preserve">”</w:t>
      </w:r>
      <w:r>
        <w:t xml:space="preserve"> </w:t>
      </w:r>
      <w:r>
        <w:t xml:space="preserve">it created exactly that, whether or not the statute ever used the word. The Supreme Court has said as much. The founders chose the strongest fiduciary instrument their legal tradition possessed — because they understood how dangerous it was to leave a fortune lying around for the benefit of people who could not yet speak for themselves.</w:t>
      </w:r>
    </w:p>
    <w:p>
      <w:pPr>
        <w:pStyle w:val="FirstParagraph"/>
      </w:pPr>
      <w:r>
        <w:t xml:space="preserve">So the grant was not charity and it was not an afterthought. It was the deliberate application of the most demanding legal tool the eighteenth century had, to the most valuable thing the country owned, on behalf of the people least able to protect it — children, in perpetuity. Two hundred and fifty years later, on the anniversary of the founding, that is worth remembering: the bargain was real, it was generous, and it was meant to last forever. What it asked of the states that accepted it is the subject of the next chapter.</w:t>
      </w:r>
    </w:p>
    <w:p>
      <w:r>
        <w:br w:type="page"/>
      </w:r>
    </w:p>
    <w:p>
      <w:pPr>
        <w:pStyle w:val="Heading1"/>
      </w:pPr>
      <w:bookmarkStart w:id="35" w:name="chapter-3-the-punctilio-of-honor"/>
      <w:r>
        <w:t xml:space="preserve">Chapter 3 — The Punctilio of Honor</w:t>
      </w:r>
      <w:bookmarkEnd w:id="35"/>
    </w:p>
    <w:p>
      <w:pPr>
        <w:pStyle w:val="BlockText"/>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FirstParagraph"/>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2"/>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2"/>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2"/>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2"/>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 We begin where the country began: with the first state to receive the gift, and the first to forget what it was holding.</w:t>
      </w:r>
    </w:p>
    <w:p>
      <w:r>
        <w:br w:type="page"/>
      </w:r>
    </w:p>
    <w:p>
      <w:pPr>
        <w:pStyle w:val="Heading1"/>
      </w:pPr>
      <w:bookmarkStart w:id="36" w:name="Xf0721b9a7c84c277dfa52e2a9db37e4de03c9e3"/>
      <w:r>
        <w:t xml:space="preserve">Chapter 4 — Loyalty: The Gift Treated as Pocket Money</w:t>
      </w:r>
      <w:bookmarkEnd w:id="36"/>
    </w:p>
    <w:p>
      <w:pPr>
        <w:pStyle w:val="BlockText"/>
      </w:pPr>
      <w:r>
        <w:t xml:space="preserve">“</w:t>
      </w:r>
      <w:r>
        <w:t xml:space="preserve">He that is entrusted with the interest of others, cannot be allowed to make the business an object of interest to himself.</w:t>
      </w:r>
      <w:r>
        <w:t xml:space="preserve">”</w:t>
      </w:r>
    </w:p>
    <w:p>
      <w:pPr>
        <w:numPr>
          <w:ilvl w:val="0"/>
          <w:numId w:val="1003"/>
        </w:numPr>
        <w:pStyle w:val="Compact"/>
      </w:pPr>
      <w:r>
        <w:t xml:space="preserve">Lord Chancellor King,</w:t>
      </w:r>
      <w:r>
        <w:t xml:space="preserve"> </w:t>
      </w:r>
      <w:r>
        <w:rPr>
          <w:i/>
        </w:rPr>
        <w:t xml:space="preserve">Keech v. Sandford</w:t>
      </w:r>
      <w:r>
        <w:t xml:space="preserve"> </w:t>
      </w:r>
      <w:r>
        <w:t xml:space="preserve">(1726)</w:t>
      </w:r>
    </w:p>
    <w:p>
      <w:pPr>
        <w:pStyle w:val="FirstParagraph"/>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37" w:name="principle"/>
      <w:r>
        <w:t xml:space="preserve">Principle</w:t>
      </w:r>
      <w:bookmarkEnd w:id="37"/>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1</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2</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38" w:name="abuse"/>
      <w:r>
        <w:t xml:space="preserve">Abuse</w:t>
      </w:r>
      <w:bookmarkEnd w:id="38"/>
    </w:p>
    <w:p>
      <w:pPr>
        <w:pStyle w:val="FirstParagraph"/>
      </w:pPr>
      <w:r>
        <w:t xml:space="preserve">The simplest loyalty breach is the one New Mexico tried in the early twentieth century</w:t>
      </w:r>
      <w:r>
        <w:rPr>
          <w:vertAlign w:val="superscript"/>
        </w:rPr>
        <w:t xml:space="preserve">3</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lockText"/>
      </w:pPr>
      <w:r>
        <w:rPr>
          <w:b/>
        </w:rPr>
        <w:t xml:space="preserve">▣ BOXED INSERT — When the Seller Is Also the Buyer</w:t>
      </w:r>
    </w:p>
    <w:p>
      <w:pPr>
        <w:pStyle w:val="BlockText"/>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lockText"/>
      </w:pPr>
      <w:r>
        <w:rPr>
          <w:b/>
        </w:rPr>
        <w:t xml:space="preserve">Figure spec:</w:t>
      </w:r>
      <w:r>
        <w:t xml:space="preserve"> </w:t>
      </w:r>
      <w:r>
        <w:t xml:space="preserve">side-by-side valuation bar: MB&amp;G investment value ($99.6M), 2016 sale ceiling (~$220.8M), 2024 decoupling package ($221M), and public-market evidence range ($1.0B-$1.3B). Caption should state that the figures come from public State Land Board testimony and the SB 1546 legislative report, and should avoid implying that each number measures the identical estate interest.</w:t>
      </w:r>
    </w:p>
    <w:p>
      <w:pPr>
        <w:pStyle w:val="FirstParagraph"/>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4</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39" w:name="honorable-counterexample"/>
      <w:r>
        <w:t xml:space="preserve">Honorable Counterexample</w:t>
      </w:r>
      <w:bookmarkEnd w:id="39"/>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40" w:name="Xb03ca550012684e798b5a556422781d37a83e68"/>
      <w:r>
        <w:t xml:space="preserve">Chapter 5 — Prudence: Do Not Eat the Seed Corn</w:t>
      </w:r>
      <w:bookmarkEnd w:id="40"/>
    </w:p>
    <w:p>
      <w:pPr>
        <w:pStyle w:val="BlockText"/>
      </w:pPr>
      <w:r>
        <w:t xml:space="preserve">“</w:t>
      </w:r>
      <w:r>
        <w:t xml:space="preserve">The trust must be administered with an eye single to the interests of the beneficiaries.</w:t>
      </w:r>
      <w:r>
        <w:t xml:space="preserve">”</w:t>
      </w:r>
    </w:p>
    <w:p>
      <w:pPr>
        <w:numPr>
          <w:ilvl w:val="0"/>
          <w:numId w:val="1004"/>
        </w:numPr>
        <w:pStyle w:val="Compact"/>
      </w:pPr>
      <w:r>
        <w:rPr>
          <w:i/>
        </w:rPr>
        <w:t xml:space="preserve">Lassen v. Arizona ex rel. Arizona Highway Department</w:t>
      </w:r>
      <w:r>
        <w:t xml:space="preserve"> </w:t>
      </w:r>
      <w:r>
        <w:t xml:space="preserve">(1967)</w:t>
      </w:r>
    </w:p>
    <w:p>
      <w:pPr>
        <w:pStyle w:val="FirstParagraph"/>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41" w:name="principle-1"/>
      <w:r>
        <w:t xml:space="preserve">Principle</w:t>
      </w:r>
      <w:bookmarkEnd w:id="41"/>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42" w:name="abuse-1"/>
      <w:r>
        <w:t xml:space="preserve">Abuse</w:t>
      </w:r>
      <w:bookmarkEnd w:id="42"/>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1</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rPr>
          <w:vertAlign w:val="superscript"/>
        </w:rPr>
        <w:t xml:space="preserve">2</w:t>
      </w:r>
      <w:r>
        <w:t xml:space="preserve">”</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3</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4</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lockText"/>
      </w:pPr>
      <w:r>
        <w:rPr>
          <w:b/>
        </w:rPr>
        <w:t xml:space="preserve">▣ BOXED INSERT — Don’t Eat the Seed Corn</w:t>
      </w:r>
    </w:p>
    <w:p>
      <w:pPr>
        <w:pStyle w:val="BlockText"/>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lockText"/>
      </w:pPr>
      <w:r>
        <w:rPr>
          <w:b/>
        </w:rPr>
        <w:t xml:space="preserve">▣ BOXED INSERT — The Corpus Test</w:t>
      </w:r>
    </w:p>
    <w:p>
      <w:pPr>
        <w:pStyle w:val="BlockText"/>
      </w:pPr>
      <w:r>
        <w:t xml:space="preserve">Before any sale, exchange, raid, or diversion, ask four questions.</w:t>
      </w:r>
    </w:p>
    <w:p>
      <w:pPr>
        <w:numPr>
          <w:ilvl w:val="0"/>
          <w:numId w:val="1005"/>
        </w:numPr>
        <w:pStyle w:val="Compact"/>
      </w:pPr>
      <w:r>
        <w:t xml:space="preserve">Is the trust receiving fair market value or a clearly documented equivalent?</w:t>
      </w:r>
    </w:p>
    <w:p>
      <w:pPr>
        <w:numPr>
          <w:ilvl w:val="0"/>
          <w:numId w:val="1005"/>
        </w:numPr>
        <w:pStyle w:val="Compact"/>
      </w:pPr>
      <w:r>
        <w:t xml:space="preserve">Is the principal preserved, or is principal being spent as if it were income?</w:t>
      </w:r>
    </w:p>
    <w:p>
      <w:pPr>
        <w:numPr>
          <w:ilvl w:val="0"/>
          <w:numId w:val="1005"/>
        </w:numPr>
        <w:pStyle w:val="Compact"/>
      </w:pPr>
      <w:r>
        <w:t xml:space="preserve">Would a private trustee, accountable only to the beneficiary, make the same transaction?</w:t>
      </w:r>
    </w:p>
    <w:p>
      <w:pPr>
        <w:numPr>
          <w:ilvl w:val="0"/>
          <w:numId w:val="1005"/>
        </w:numPr>
        <w:pStyle w:val="Compact"/>
      </w:pPr>
      <w:r>
        <w:t xml:space="preserve">Can the trustee show the calculation in public?</w:t>
      </w:r>
    </w:p>
    <w:p>
      <w:pPr>
        <w:pStyle w:val="BlockText"/>
      </w:pPr>
      <w:r>
        <w:t xml:space="preserve">If the answer to any of these is no, the burden should fall on the trustee, not on the schools.</w:t>
      </w:r>
    </w:p>
    <w:p>
      <w:pPr>
        <w:pStyle w:val="Heading2"/>
      </w:pPr>
      <w:bookmarkStart w:id="43" w:name="honorable-counterexample-1"/>
      <w:r>
        <w:t xml:space="preserve">Honorable Counterexample</w:t>
      </w:r>
      <w:bookmarkEnd w:id="43"/>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5</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rPr>
          <w:vertAlign w:val="superscript"/>
        </w:rPr>
        <w:t xml:space="preserve">6</w:t>
      </w:r>
      <w:r>
        <w:t xml:space="preserve">”</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7</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about $8.4 billion as of November 30, 2025</w:t>
      </w:r>
      <w:r>
        <w:rPr>
          <w:vertAlign w:val="superscript"/>
        </w:rPr>
        <w:t xml:space="preserve">8</w:t>
      </w:r>
      <w:r>
        <w:t xml:space="preserve"> </w:t>
      </w:r>
      <w:r>
        <w:t xml:space="preserve">in the Department of Trust Lands / State Treasurer monthly investment report.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$32.6 billion as of October 31, 2024</w:t>
      </w:r>
      <w:r>
        <w:rPr>
          <w:vertAlign w:val="superscript"/>
        </w:rPr>
        <w:t xml:space="preserve">9</w:t>
      </w:r>
      <w:r>
        <w:t xml:space="preserve">, is the strongest single contemporary illustration in the current verification file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44" w:name="Xa785ff15bbc5aca2cde698441a7895191522807"/>
      <w:r>
        <w:t xml:space="preserve">Chapter 6 — Competence and Accounting: The Books Must Tell the Truth</w:t>
      </w:r>
      <w:bookmarkEnd w:id="44"/>
    </w:p>
    <w:p>
      <w:pPr>
        <w:pStyle w:val="BlockText"/>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numPr>
          <w:ilvl w:val="0"/>
          <w:numId w:val="1006"/>
        </w:numPr>
        <w:pStyle w:val="Compact"/>
      </w:pPr>
      <w:r>
        <w:rPr>
          <w:i/>
        </w:rPr>
        <w:t xml:space="preserve">SEC v. Chenery Corp.</w:t>
      </w:r>
      <w:r>
        <w:t xml:space="preserve"> </w:t>
      </w:r>
      <w:r>
        <w:t xml:space="preserve">(1943)</w:t>
      </w:r>
    </w:p>
    <w:p>
      <w:pPr>
        <w:pStyle w:val="FirstParagraph"/>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45" w:name="principle-2"/>
      <w:r>
        <w:t xml:space="preserve">Principle</w:t>
      </w:r>
      <w:bookmarkEnd w:id="45"/>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46" w:name="abuse-2"/>
      <w:r>
        <w:t xml:space="preserve">Abuse</w:t>
      </w:r>
      <w:bookmarkEnd w:id="46"/>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BlockText"/>
      </w:pPr>
      <w:r>
        <w:rPr>
          <w:b/>
        </w:rPr>
        <w:t xml:space="preserve">▣ BOXED INSERT — Figure: One Grant, Many Ledgers</w:t>
      </w:r>
    </w:p>
    <w:p>
      <w:pPr>
        <w:pStyle w:val="BlockText"/>
      </w:pPr>
      <w:r>
        <w:rPr>
          <w:b/>
        </w:rPr>
        <w:t xml:space="preserve">Figure spec:</w:t>
      </w:r>
      <w:r>
        <w:t xml:space="preserve"> </w:t>
      </w:r>
      <w:r>
        <w:t xml:space="preserve">timeline beginning with the Land Ordinance of 1785 and running through the major admission/enabling-act waves to New Mexico and Arizona in 1910. Use one color for the federal grant promise and separate small ticks for each state admission. Annotation:</w:t>
      </w:r>
      <w:r>
        <w:t xml:space="preserve"> </w:t>
      </w:r>
      <w:r>
        <w:rPr>
          <w:i/>
        </w:rPr>
        <w:t xml:space="preserve">United States v. Morrison</w:t>
      </w:r>
      <w:r>
        <w:t xml:space="preserve"> </w:t>
      </w:r>
      <w:r>
        <w:t xml:space="preserve">(1916) construed the grant rule identically across the states that received it. The point is visual: one federal instrument, many state ledgers.</w:t>
      </w:r>
    </w:p>
    <w:p>
      <w:pPr>
        <w:pStyle w:val="Heading2"/>
      </w:pPr>
      <w:bookmarkStart w:id="47" w:name="honorable-counterexample-2"/>
      <w:r>
        <w:t xml:space="preserve">Honorable Counterexample</w:t>
      </w:r>
      <w:bookmarkEnd w:id="47"/>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48" w:name="Xe82d56c33fc65cef5eb77d02ed3c998e49bfba3"/>
      <w:r>
        <w:t xml:space="preserve">Chapter 7 — Supervision and Enforcement: Someone Has to Watch the Watcher</w:t>
      </w:r>
      <w:bookmarkEnd w:id="48"/>
    </w:p>
    <w:p>
      <w:pPr>
        <w:pStyle w:val="BlockText"/>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numPr>
          <w:ilvl w:val="0"/>
          <w:numId w:val="1007"/>
        </w:numPr>
        <w:pStyle w:val="Compact"/>
      </w:pPr>
      <w:r>
        <w:rPr>
          <w:i/>
        </w:rPr>
        <w:t xml:space="preserve">State ex rel. Ebke v. Board of Educational Lands &amp; Funds</w:t>
      </w:r>
      <w:r>
        <w:t xml:space="preserve"> </w:t>
      </w:r>
      <w:r>
        <w:t xml:space="preserve">(Neb. 1951)</w:t>
      </w:r>
    </w:p>
    <w:p>
      <w:pPr>
        <w:pStyle w:val="FirstParagraph"/>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49" w:name="principle-3"/>
      <w:r>
        <w:t xml:space="preserve">Principle</w:t>
      </w:r>
      <w:bookmarkEnd w:id="49"/>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50" w:name="abuse-3"/>
      <w:r>
        <w:t xml:space="preserve">Abuse</w:t>
      </w:r>
      <w:bookmarkEnd w:id="50"/>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51" w:name="honorable-counterexample-3"/>
      <w:r>
        <w:t xml:space="preserve">Honorable Counterexample</w:t>
      </w:r>
      <w:bookmarkEnd w:id="51"/>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$32.6 billion</w:t>
      </w:r>
      <w:r>
        <w:t xml:space="preserve"> </w:t>
      </w:r>
      <w:r>
        <w:t xml:space="preserve">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lockText"/>
      </w:pPr>
      <w:r>
        <w:rPr>
          <w:b/>
        </w:rPr>
        <w:t xml:space="preserve">▣ BOXED INSERT — The land they bought for two dollars and a quarter</w:t>
      </w:r>
      <w:r>
        <w:t xml:space="preserve"> </w:t>
      </w:r>
      <w:r>
        <w:rPr>
          <w:i/>
        </w:rPr>
        <w:t xml:space="preserve">(Utah: the coal-land swindle)</w:t>
      </w:r>
    </w:p>
    <w:p>
      <w:pPr>
        <w:pStyle w:val="BlockText"/>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BlockText"/>
      </w:pPr>
      <w:r>
        <w:rPr>
          <w:b/>
        </w:rPr>
        <w:t xml:space="preserve">The vote that sent a husband to the sofa</w:t>
      </w:r>
    </w:p>
    <w:p>
      <w:pPr>
        <w:pStyle w:val="BlockText"/>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FirstParagraph"/>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BlockText"/>
      </w:pPr>
      <w:r>
        <w:rPr>
          <w:b/>
        </w:rPr>
        <w:t xml:space="preserve">The campout that never had to happen</w:t>
      </w:r>
    </w:p>
    <w:p>
      <w:pPr>
        <w:pStyle w:val="BlockText"/>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FirstParagraph"/>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lockText"/>
      </w:pPr>
      <w:r>
        <w:rPr>
          <w:b/>
        </w:rPr>
        <w:t xml:space="preserve">▣ BOXED INSERT — Figure: How a School Trust Works</w:t>
      </w:r>
    </w:p>
    <w:p>
      <w:pPr>
        <w:pStyle w:val="BlockText"/>
      </w:pPr>
      <w:r>
        <w:rPr>
          <w:b/>
        </w:rPr>
        <w:t xml:space="preserve">Figure spec:</w:t>
      </w:r>
      <w:r>
        <w:t xml:space="preserve"> </w:t>
      </w:r>
      <w:r>
        <w:t xml:space="preserve">a simple trust diagram:</w:t>
      </w:r>
      <w:r>
        <w:t xml:space="preserve"> </w:t>
      </w:r>
      <w:r>
        <w:rPr>
          <w:b/>
        </w:rPr>
        <w:t xml:space="preserve">United States / grantor</w:t>
      </w:r>
      <w:r>
        <w:t xml:space="preserve"> </w:t>
      </w:r>
      <w:r>
        <w:t xml:space="preserve">-&gt;</w:t>
      </w:r>
      <w:r>
        <w:t xml:space="preserve"> </w:t>
      </w:r>
      <w:r>
        <w:rPr>
          <w:b/>
        </w:rPr>
        <w:t xml:space="preserve">State as trustee</w:t>
      </w:r>
      <w:r>
        <w:t xml:space="preserve"> </w:t>
      </w:r>
      <w:r>
        <w:t xml:space="preserve">-&gt;</w:t>
      </w:r>
      <w:r>
        <w:t xml:space="preserve"> </w:t>
      </w:r>
      <w:r>
        <w:rPr>
          <w:b/>
        </w:rPr>
        <w:t xml:space="preserve">schools as beneficiary</w:t>
      </w:r>
      <w:r>
        <w:t xml:space="preserve">. Under the trustee, show two asset boxes:</w:t>
      </w:r>
      <w:r>
        <w:t xml:space="preserve"> </w:t>
      </w:r>
      <w:r>
        <w:rPr>
          <w:b/>
        </w:rPr>
        <w:t xml:space="preserve">corpus</w:t>
      </w:r>
      <w:r>
        <w:t xml:space="preserve"> </w:t>
      </w:r>
      <w:r>
        <w:t xml:space="preserve">(land, minerals, permanent fund principal) and</w:t>
      </w:r>
      <w:r>
        <w:t xml:space="preserve"> </w:t>
      </w:r>
      <w:r>
        <w:rPr>
          <w:b/>
        </w:rPr>
        <w:t xml:space="preserve">income</w:t>
      </w:r>
      <w:r>
        <w:t xml:space="preserve"> </w:t>
      </w:r>
      <w:r>
        <w:t xml:space="preserve">(leases, royalties, interest, distributions). Use red arrows for prohibited leakage: general fund, favored buyer, uncompensated public project, under-market lease. Use green arrows for proper flow: fair-value sale/exchange into permanent fund; income distributed to schools under law.</w:t>
      </w:r>
    </w:p>
    <w:p>
      <w:pPr>
        <w:pStyle w:val="FirstParagraph"/>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52" w:name="X7c58e6fc56f4cc067210675d0dd3aeee3c1fe7b"/>
      <w:r>
        <w:t xml:space="preserve">Chapter 8 — What the Record Teaches the Architects of Forever-Trusts</w:t>
      </w:r>
      <w:bookmarkEnd w:id="52"/>
    </w:p>
    <w:p>
      <w:pPr>
        <w:pStyle w:val="BlockText"/>
      </w:pPr>
      <w:r>
        <w:t xml:space="preserve">“</w:t>
      </w:r>
      <w:r>
        <w:t xml:space="preserve">Society is indeed a contract. … It becomes a partnership not only between those who are living, but between those who are living, those who are dead, and those who are to be born</w:t>
      </w:r>
      <w:r>
        <w:rPr>
          <w:vertAlign w:val="superscript"/>
        </w:rPr>
        <w:t xml:space="preserve">1</w:t>
      </w:r>
      <w:r>
        <w:t xml:space="preserve">.</w:t>
      </w:r>
      <w:r>
        <w:t xml:space="preserve">”</w:t>
      </w:r>
      <w:r>
        <w:t xml:space="preserve"> </w:t>
      </w:r>
      <w:r>
        <w:t xml:space="preserve">— Edmund Burke,</w:t>
      </w:r>
      <w:r>
        <w:t xml:space="preserve"> </w:t>
      </w:r>
      <w:r>
        <w:rPr>
          <w:i/>
        </w:rPr>
        <w:t xml:space="preserve">Reflections on the Revolution in France</w:t>
      </w:r>
      <w:r>
        <w:t xml:space="preserve"> </w:t>
      </w:r>
      <w:r>
        <w:t xml:space="preserve">(1790)</w:t>
      </w:r>
    </w:p>
    <w:p>
      <w:pPr>
        <w:pStyle w:val="BlockText"/>
      </w:pPr>
      <w:r>
        <w:t xml:space="preserve">“</w:t>
      </w:r>
      <w:r>
        <w:t xml:space="preserve">The United States agreed to cede some of its land to the State in exchange for a commitment by the State to use the revenues derived from the land to educate the citizenry. … 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p>
    <w:p>
      <w:pPr>
        <w:pStyle w:val="BlockText"/>
      </w:pPr>
      <w:r>
        <w:t xml:space="preserve">—</w:t>
      </w:r>
      <w:r>
        <w:t xml:space="preserve"> </w:t>
      </w:r>
      <w:r>
        <w:rPr>
          <w:i/>
        </w:rPr>
        <w:t xml:space="preserve">Andrus v. Utah</w:t>
      </w:r>
      <w:r>
        <w:t xml:space="preserve"> </w:t>
      </w:r>
      <w:r>
        <w:t xml:space="preserve">(1980)</w:t>
      </w:r>
    </w:p>
    <w:p>
      <w:pPr>
        <w:pStyle w:val="FirstParagraph"/>
      </w:pPr>
      <w:r>
        <w:t xml:space="preserve">We have spent this book walking a single inheritance across two hundred years. We saw it created — section sixteen of every township, set aside for the schools, in a young republic that believed an educated people was the only safe foundation for self-government. We saw it betrayed in nearly every way a thing of value can be betrayed: sold off in fire-sales, leased to insiders for pennies, raided when a legislature wanted the money for something else, and quietly let go through plain neglect. And we saw it, in places, kept — defended in court, rebuilt by stubborn citizens, and in a few states grown into funds worth billions that still send a check to the schools every year.</w:t>
      </w:r>
    </w:p>
    <w:p>
      <w:pPr>
        <w:pStyle w:val="BodyText"/>
      </w:pPr>
      <w:r>
        <w:t xml:space="preserve">That is the story. This chapter is about what the story is</w:t>
      </w:r>
      <w:r>
        <w:t xml:space="preserve"> </w:t>
      </w:r>
      <w:r>
        <w:rPr>
          <w:i/>
        </w:rPr>
        <w:t xml:space="preserve">for</w:t>
      </w:r>
      <w:r>
        <w:t xml:space="preserve">.</w:t>
      </w:r>
    </w:p>
    <w:p>
      <w:pPr>
        <w:pStyle w:val="BodyText"/>
      </w:pPr>
      <w:r>
        <w:t xml:space="preserve">Because the school-trust record is not only a chapter of American history. It is the longest-running experiment we have in a very specific and very modern problem: how do you bind one generation to keep a promise to people who are not yet born? The framers of the school grants were trying to reach across time. They wanted the land — and later the money the land became — to serve children who would not be alive for a century or more, and they wanted that purpose to survive every legislature, every budget crisis, every clever official who would come along and find a reason to spend the corpus now. They were, in the truest sense, designing a forever-institution.</w:t>
      </w:r>
    </w:p>
    <w:p>
      <w:pPr>
        <w:pStyle w:val="BodyText"/>
      </w:pPr>
      <w:r>
        <w:t xml:space="preserve">And right now, in our own decade, other people are trying to do the same thing.</w:t>
      </w:r>
    </w:p>
    <w:p>
      <w:pPr>
        <w:pStyle w:val="BodyText"/>
      </w:pPr>
      <w:r>
        <w:t xml:space="preserve">They are chartering sovereign funds to hold the wealth that artificial intelligence and the data centers behind it are expected to throw off — funds meant to capture a windfall and meter it out to citizens across generations. They are building perpetual climate endowments meant to pay for adaptation and stewardship long after the people who funded them are gone. They are writing the founding documents for institutions that, like the school trusts, are supposed to outlive everyone in the room. They face the framers’ exact problem: a promise to the unborn, held by a sovereign that can change its mind.</w:t>
      </w:r>
    </w:p>
    <w:p>
      <w:pPr>
        <w:pStyle w:val="BodyText"/>
      </w:pPr>
      <w:r>
        <w:t xml:space="preserve">The school trusts ran that experiment for two centuries, in fifty separate laboratories, with results we can actually read. Some of those laboratories produced funds that survived. Most produced cautionary tales. The difference between the two was not luck, and it was not the nobility of the founders’ intentions — the intentions were noble nearly everywhere. The difference was</w:t>
      </w:r>
      <w:r>
        <w:t xml:space="preserve"> </w:t>
      </w:r>
      <w:r>
        <w:rPr>
          <w:i/>
        </w:rPr>
        <w:t xml:space="preserve">design</w:t>
      </w:r>
      <w:r>
        <w:t xml:space="preserve">. The people writing today’s forever-charters have the rare gift of a completed long-run trial. They would be foolish not to read the results.</w:t>
      </w:r>
    </w:p>
    <w:p>
      <w:pPr>
        <w:pStyle w:val="BodyText"/>
      </w:pPr>
      <w:r>
        <w:t xml:space="preserve">So this is the payload of the book. Here is what two hundred years of school-trust history teaches the people now building things meant to last forever.</w:t>
      </w:r>
    </w:p>
    <w:p>
      <w:pPr>
        <w:pStyle w:val="Heading2"/>
      </w:pPr>
      <w:bookmarkStart w:id="53" w:name="Xbf2bd63160424372574864a7745b339bf8aa93c"/>
      <w:r>
        <w:t xml:space="preserve">The first lesson: the duty is constant, but the ability to enforce it is engineered</w:t>
      </w:r>
      <w:bookmarkEnd w:id="53"/>
    </w:p>
    <w:p>
      <w:pPr>
        <w:pStyle w:val="FirstParagraph"/>
      </w:pPr>
      <w:r>
        <w:t xml:space="preserve">Start with the deepest thing the record teaches, because everything else rests on it.</w:t>
      </w:r>
    </w:p>
    <w:p>
      <w:pPr>
        <w:pStyle w:val="BodyText"/>
      </w:pPr>
      <w:r>
        <w:t xml:space="preserve">A trust does not need fancy words to exist. This surprises people, and it is worth saying plainly. When the United States granted section sixteen</w:t>
      </w:r>
      <w:r>
        <w:t xml:space="preserve"> </w:t>
      </w:r>
      <w:r>
        <w:t xml:space="preserve">“</w:t>
      </w:r>
      <w:r>
        <w:t xml:space="preserve">for the use of schools,</w:t>
      </w:r>
      <w:r>
        <w:t xml:space="preserve">”</w:t>
      </w:r>
      <w:r>
        <w:t xml:space="preserve"> </w:t>
      </w:r>
      <w:r>
        <w:t xml:space="preserve">it did not have to recite the word</w:t>
      </w:r>
      <w:r>
        <w:t xml:space="preserve"> </w:t>
      </w:r>
      <w:r>
        <w:t xml:space="preserve">“</w:t>
      </w:r>
      <w:r>
        <w:t xml:space="preserve">trust,</w:t>
      </w:r>
      <w:r>
        <w:t xml:space="preserve">”</w:t>
      </w:r>
      <w:r>
        <w:t xml:space="preserve"> </w:t>
      </w:r>
      <w:r>
        <w:t xml:space="preserve">or list the trustee’s duties, or explain that the land was to be managed loyally and prudently for the schools and not for anyone else’s benefit. The obligation attached anyway, by the simple logic of what a trust</w:t>
      </w:r>
      <w:r>
        <w:t xml:space="preserve"> </w:t>
      </w:r>
      <w:r>
        <w:rPr>
          <w:i/>
        </w:rPr>
        <w:t xml:space="preserve">is</w:t>
      </w:r>
      <w:r>
        <w:t xml:space="preserve">: someone holds property, someone else is meant to benefit, and the holder is bound to serve the beneficiary. The Supreme Court said as much very early. In</w:t>
      </w:r>
      <w:r>
        <w:t xml:space="preserve"> </w:t>
      </w:r>
      <w:r>
        <w:rPr>
          <w:i/>
        </w:rPr>
        <w:t xml:space="preserve">Cooper v. Roberts</w:t>
      </w:r>
      <w:r>
        <w:t xml:space="preserve"> </w:t>
      </w:r>
      <w:r>
        <w:t xml:space="preserve">(1855), the Court treated the school-section grant as creating a trust, with the United States as the</w:t>
      </w:r>
      <w:r>
        <w:t xml:space="preserve"> </w:t>
      </w:r>
      <w:r>
        <w:t xml:space="preserve">“</w:t>
      </w:r>
      <w:r>
        <w:t xml:space="preserve">founder of a charity</w:t>
      </w:r>
      <w:r>
        <w:t xml:space="preserve">”</w:t>
      </w:r>
      <w:r>
        <w:t xml:space="preserve"> </w:t>
      </w:r>
      <w:r>
        <w:t xml:space="preserve">and the state bound by a</w:t>
      </w:r>
      <w:r>
        <w:t xml:space="preserve"> </w:t>
      </w:r>
      <w:r>
        <w:t xml:space="preserve">“</w:t>
      </w:r>
      <w:r>
        <w:t xml:space="preserve">sacred obligation.</w:t>
      </w:r>
      <w:r>
        <w:t xml:space="preserve">”</w:t>
      </w:r>
      <w:r>
        <w:t xml:space="preserve"> </w:t>
      </w:r>
      <w:r>
        <w:t xml:space="preserve">(</w:t>
      </w:r>
      <w:r>
        <w:rPr>
          <w:i/>
        </w:rPr>
        <w:t xml:space="preserve">Cooper v. Roberts</w:t>
      </w:r>
      <w:r>
        <w:t xml:space="preserve">, 59 U.S. 173 (1855).) No magic words were required. Centuries of English equity, carried into American law, supplied the trustee’s duties without the granting act having to spell them out.</w:t>
      </w:r>
    </w:p>
    <w:p>
      <w:pPr>
        <w:pStyle w:val="BodyText"/>
      </w:pPr>
      <w:r>
        <w:t xml:space="preserve">This matters for today’s designers in a reassuring way: you do not lose the protection of trust law just because your founding document is lean. The duty exists by intent. If you mean to create a trust and you define who benefits and what the corpus is, the law will treat it as a trust.</w:t>
      </w:r>
    </w:p>
    <w:p>
      <w:pPr>
        <w:pStyle w:val="BodyText"/>
      </w:pPr>
      <w:r>
        <w:t xml:space="preserve">But here the record turns, and the turn is the most important single thing in this book.</w:t>
      </w:r>
    </w:p>
    <w:p>
      <w:pPr>
        <w:pStyle w:val="BodyText"/>
      </w:pPr>
      <w:r>
        <w:rPr>
          <w:b/>
        </w:rPr>
        <w:t xml:space="preserve">The existence of the duty is one question. Whether a beneficiary can force the trustee to honor it is an entirely different question — and that second question turns heavily on the words.</w:t>
      </w:r>
    </w:p>
    <w:p>
      <w:pPr>
        <w:pStyle w:val="BodyText"/>
      </w:pPr>
      <w:r>
        <w:t xml:space="preserve">A duty that exists but cannot be enforced is, to the children who are supposed to benefit from it, worth roughly whatever the trustee chooses to give it. And American courts have repeatedly declined to enforce general, loosely-worded public trusts — not because the duty was absent, but because the vague text gave the sovereign room to argue the duty was not something a court could compel. When the trustee is a state, the state has a whole arsenal of defenses available that a private trustee does not: sovereign immunity, the idea that some constitutional commands are merely aspirational rather than enforceable, the doctrine that certain questions belong to the legislature and not the courts. Those defenses succeed most easily when the founding text is general. They fail when the text is specific.</w:t>
      </w:r>
    </w:p>
    <w:p>
      <w:pPr>
        <w:pStyle w:val="BodyText"/>
      </w:pPr>
      <w:r>
        <w:t xml:space="preserve">The honest version of this lesson is even sharper, and it cuts against any tidy picture. For the leanest old grants, it is not merely</w:t>
      </w:r>
      <w:r>
        <w:t xml:space="preserve"> </w:t>
      </w:r>
      <w:r>
        <w:rPr>
          <w:i/>
        </w:rPr>
        <w:t xml:space="preserve">harder</w:t>
      </w:r>
      <w:r>
        <w:t xml:space="preserve"> </w:t>
      </w:r>
      <w:r>
        <w:t xml:space="preserve">to enforce the trust — it is genuinely contested whether a court-enforceable trust exists at all. In</w:t>
      </w:r>
      <w:r>
        <w:t xml:space="preserve"> </w:t>
      </w:r>
      <w:r>
        <w:rPr>
          <w:i/>
        </w:rPr>
        <w:t xml:space="preserve">Alabama v. Schmidt</w:t>
      </w:r>
      <w:r>
        <w:t xml:space="preserve"> </w:t>
      </w:r>
      <w:r>
        <w:t xml:space="preserve">(1914), the Supreme Court described the obligation under the early section-sixteen grants as</w:t>
      </w:r>
      <w:r>
        <w:t xml:space="preserve"> </w:t>
      </w:r>
      <w:r>
        <w:t xml:space="preserve">“</w:t>
      </w:r>
      <w:r>
        <w:t xml:space="preserve">honorary,</w:t>
      </w:r>
      <w:r>
        <w:t xml:space="preserve">”</w:t>
      </w:r>
      <w:r>
        <w:t xml:space="preserve"> </w:t>
      </w:r>
      <w:r>
        <w:t xml:space="preserve">and the grant itself as an absolute gift — a fee, not a trust a court would police. (</w:t>
      </w:r>
      <w:r>
        <w:rPr>
          <w:i/>
        </w:rPr>
        <w:t xml:space="preserve">Alabama v. Schmidt</w:t>
      </w:r>
      <w:r>
        <w:t xml:space="preserve">, 232 U.S. 168 (1914).) Decades later, in</w:t>
      </w:r>
      <w:r>
        <w:t xml:space="preserve"> </w:t>
      </w:r>
      <w:r>
        <w:rPr>
          <w:i/>
        </w:rPr>
        <w:t xml:space="preserve">Papasan v. Allain</w:t>
      </w:r>
      <w:r>
        <w:t xml:space="preserve"> </w:t>
      </w:r>
      <w:r>
        <w:t xml:space="preserve">(1986), the Court said it was</w:t>
      </w:r>
      <w:r>
        <w:t xml:space="preserve"> </w:t>
      </w:r>
      <w:r>
        <w:t xml:space="preserve">“</w:t>
      </w:r>
      <w:r>
        <w:t xml:space="preserve">not at all clear</w:t>
      </w:r>
      <w:r>
        <w:t xml:space="preserve">”</w:t>
      </w:r>
      <w:r>
        <w:t xml:space="preserve"> </w:t>
      </w:r>
      <w:r>
        <w:t xml:space="preserve">that the early grants created a binding trust at all — and then held that even if one existed, the Eleventh Amendment barred the beneficiaries’ claim against the state. (</w:t>
      </w:r>
      <w:r>
        <w:rPr>
          <w:i/>
        </w:rPr>
        <w:t xml:space="preserve">Papasan v. Allain</w:t>
      </w:r>
      <w:r>
        <w:t xml:space="preserve">, 478 U.S. 265 (1986).) And</w:t>
      </w:r>
      <w:r>
        <w:t xml:space="preserve"> </w:t>
      </w:r>
      <w:r>
        <w:rPr>
          <w:i/>
        </w:rPr>
        <w:t xml:space="preserve">Cooper v. Roberts</w:t>
      </w:r>
      <w:r>
        <w:t xml:space="preserve"> </w:t>
      </w:r>
      <w:r>
        <w:t xml:space="preserve">itself, the case usually cited for</w:t>
      </w:r>
      <w:r>
        <w:t xml:space="preserve"> </w:t>
      </w:r>
      <w:r>
        <w:t xml:space="preserve">“</w:t>
      </w:r>
      <w:r>
        <w:t xml:space="preserve">the grant is a trust,</w:t>
      </w:r>
      <w:r>
        <w:t xml:space="preserve">”</w:t>
      </w:r>
      <w:r>
        <w:t xml:space="preserve"> </w:t>
      </w:r>
      <w:r>
        <w:t xml:space="preserve">also says the grant ran</w:t>
      </w:r>
      <w:r>
        <w:t xml:space="preserve"> </w:t>
      </w:r>
      <w:r>
        <w:t xml:space="preserve">“</w:t>
      </w:r>
      <w:r>
        <w:t xml:space="preserve">to the State directly, without limitation of its power.</w:t>
      </w:r>
      <w:r>
        <w:t xml:space="preserve">”</w:t>
      </w:r>
      <w:r>
        <w:t xml:space="preserve"> </w:t>
      </w:r>
      <w:r>
        <w:t xml:space="preserve">(</w:t>
      </w:r>
      <w:r>
        <w:rPr>
          <w:i/>
        </w:rPr>
        <w:t xml:space="preserve">Cooper</w:t>
      </w:r>
      <w:r>
        <w:t xml:space="preserve">, 59 U.S. 173.)</w:t>
      </w:r>
    </w:p>
    <w:p>
      <w:pPr>
        <w:pStyle w:val="BodyText"/>
      </w:pPr>
      <w:r>
        <w:t xml:space="preserve">That tension is not an embarrassment to the lesson. It</w:t>
      </w:r>
      <w:r>
        <w:t xml:space="preserve"> </w:t>
      </w:r>
      <w:r>
        <w:rPr>
          <w:i/>
        </w:rPr>
        <w:t xml:space="preserve">is</w:t>
      </w:r>
      <w:r>
        <w:t xml:space="preserve"> </w:t>
      </w:r>
      <w:r>
        <w:t xml:space="preserve">the lesson. The strongest argument that thin text is dangerous is that, on thin text, even the existence of an enforceable trust is a coin-toss in court. The designers of a forever-institution who assume a future court will read protective duties into a vaguely-worded charter are making a bet the record shows you lose as often as you win.</w:t>
      </w:r>
    </w:p>
    <w:p>
      <w:pPr>
        <w:pStyle w:val="BodyText"/>
      </w:pPr>
      <w:r>
        <w:t xml:space="preserve">Set two states side by side and the whole point becomes concrete.</w:t>
      </w:r>
    </w:p>
    <w:p>
      <w:pPr>
        <w:pStyle w:val="BodyText"/>
      </w:pPr>
      <w:r>
        <w:t xml:space="preserve">In New Mexico, the federal enabling act of 1910 did not leave the trust to inference. Section 10 said the lands</w:t>
      </w:r>
      <w:r>
        <w:t xml:space="preserve"> </w:t>
      </w:r>
      <w:r>
        <w:t xml:space="preserve">“</w:t>
      </w:r>
      <w:r>
        <w:t xml:space="preserve">shall be by the said State held in trust.</w:t>
      </w:r>
      <w:r>
        <w:t xml:space="preserve">”</w:t>
      </w:r>
      <w:r>
        <w:t xml:space="preserve"> </w:t>
      </w:r>
      <w:r>
        <w:t xml:space="preserve">It named the permitted purposes. It declared that any disposition not conforming to those terms</w:t>
      </w:r>
      <w:r>
        <w:t xml:space="preserve"> </w:t>
      </w:r>
      <w:r>
        <w:t xml:space="preserve">“</w:t>
      </w:r>
      <w:r>
        <w:t xml:space="preserve">shall be deemed a breach of trust.</w:t>
      </w:r>
      <w:r>
        <w:t xml:space="preserve">”</w:t>
      </w:r>
      <w:r>
        <w:t xml:space="preserve"> </w:t>
      </w:r>
      <w:r>
        <w:t xml:space="preserve">And it made it the duty of the Attorney General of the United States to prosecute violations. (Act of June 20, 1910, ch. 310, § 10, 36 Stat. 557.) When New Mexico’s land commissioner began spending a slice of trust income on advertising the state to tourists, the United States actually sued — and won. In</w:t>
      </w:r>
      <w:r>
        <w:t xml:space="preserve"> </w:t>
      </w:r>
      <w:r>
        <w:rPr>
          <w:i/>
        </w:rPr>
        <w:t xml:space="preserve">Ervien v. United States</w:t>
      </w:r>
      <w:r>
        <w:t xml:space="preserve"> </w:t>
      </w:r>
      <w:r>
        <w:t xml:space="preserve">(1919), the Supreme Court held the dedication of the trust income</w:t>
      </w:r>
      <w:r>
        <w:t xml:space="preserve"> </w:t>
      </w:r>
      <w:r>
        <w:t xml:space="preserve">“</w:t>
      </w:r>
      <w:r>
        <w:t xml:space="preserve">was special and exact, precluding any supplementary or aiding sense.</w:t>
      </w:r>
      <w:r>
        <w:t xml:space="preserve">”</w:t>
      </w:r>
      <w:r>
        <w:t xml:space="preserve"> </w:t>
      </w:r>
      <w:r>
        <w:t xml:space="preserve">(</w:t>
      </w:r>
      <w:r>
        <w:rPr>
          <w:i/>
        </w:rPr>
        <w:t xml:space="preserve">Ervien v. United States</w:t>
      </w:r>
      <w:r>
        <w:t xml:space="preserve">, 251 U.S. 41, 47 (1919).) No express enforcement clause, no named enforcer, and there is no</w:t>
      </w:r>
      <w:r>
        <w:t xml:space="preserve"> </w:t>
      </w:r>
      <w:r>
        <w:rPr>
          <w:i/>
        </w:rPr>
        <w:t xml:space="preserve">Ervien</w:t>
      </w:r>
      <w:r>
        <w:t xml:space="preserve">. Half a century later, in</w:t>
      </w:r>
      <w:r>
        <w:t xml:space="preserve"> </w:t>
      </w:r>
      <w:r>
        <w:rPr>
          <w:i/>
        </w:rPr>
        <w:t xml:space="preserve">Lassen v. Arizona</w:t>
      </w:r>
      <w:r>
        <w:t xml:space="preserve"> </w:t>
      </w:r>
      <w:r>
        <w:t xml:space="preserve">(1967), the Court read the same 1910 framework to demand that the trust receive full money value whenever its land was taken for a public road — the specificity of the text was exactly what let the Court insist on full value. (</w:t>
      </w:r>
      <w:r>
        <w:rPr>
          <w:i/>
        </w:rPr>
        <w:t xml:space="preserve">Lassen v. Arizona ex rel. Arizona Highway Dept.</w:t>
      </w:r>
      <w:r>
        <w:t xml:space="preserve">, 385 U.S. 458, 465–69 (1967).) A century after the act was written, New Mexico’s attorney general was still using section 10’s teeth to undo improper land deals. (</w:t>
      </w:r>
      <w:r>
        <w:rPr>
          <w:i/>
        </w:rPr>
        <w:t xml:space="preserve">State ex rel. King v. Lyons</w:t>
      </w:r>
      <w:r>
        <w:t xml:space="preserve">, 2011-NMSC-004.) The teeth were written in, and the teeth still bite.</w:t>
      </w:r>
    </w:p>
    <w:p>
      <w:pPr>
        <w:pStyle w:val="BodyText"/>
      </w:pPr>
      <w:r>
        <w:t xml:space="preserve">Now Oregon. The duty there is just as real. But Oregon’s relevant text is general, not an express trust with a named trustee and an enforcement clause, and the consequence has been five years of litigation spent not on whether the state breached its duty but on whether anyone is even allowed to ask a court the question — standing, justiciability, sovereign immunity, legislative immunity, separation of powers, every one of them an argument the state could make precisely because the text gave it the room. (</w:t>
      </w:r>
      <w:r>
        <w:rPr>
          <w:i/>
        </w:rPr>
        <w:t xml:space="preserve">Advocates for School Trust Lands v. State of Oregon</w:t>
      </w:r>
      <w:r>
        <w:t xml:space="preserve">, Coos County 23CV39056; Or. Ct. App. A184055; standing restored Jan. 28, 2026.) (case number, court, date, and standing holding confirmed; page pincite to be filled against the published opinion at publication). When a court of appeals finally restored the right to proceed in early 2026, that was a hard-won catch-up, not a victory — and it was still not certain the beneficiaries would win on the merits. Same duty as New Mexico’s. Wildly different ability to enforce it. The difference is in the words.</w:t>
      </w:r>
    </w:p>
    <w:p>
      <w:pPr>
        <w:pStyle w:val="BodyText"/>
      </w:pPr>
      <w:r>
        <w:t xml:space="preserve">For anyone designing a forever-trust, this is the one lesson to take if you take only one:</w:t>
      </w:r>
      <w:r>
        <w:t xml:space="preserve"> </w:t>
      </w:r>
      <w:r>
        <w:rPr>
          <w:b/>
        </w:rPr>
        <w:t xml:space="preserve">do not count on a court to supply the enforcement machinery later.</w:t>
      </w:r>
      <w:r>
        <w:t xml:space="preserve"> </w:t>
      </w:r>
      <w:r>
        <w:t xml:space="preserve">Write it in. The duty you can rely on. The remedy you have to build.</w:t>
      </w:r>
    </w:p>
    <w:p>
      <w:pPr>
        <w:pStyle w:val="BlockText"/>
      </w:pPr>
      <w:r>
        <w:rPr>
          <w:b/>
        </w:rPr>
        <w:t xml:space="preserve">PULL-QUOTE:</w:t>
      </w:r>
      <w:r>
        <w:t xml:space="preserve"> </w:t>
      </w:r>
      <w:r>
        <w:t xml:space="preserve">“</w:t>
      </w:r>
      <w:r>
        <w:t xml:space="preserve">The duty you can rely on. The remedy you have to build.</w:t>
      </w:r>
      <w:r>
        <w:t xml:space="preserve">”</w:t>
      </w:r>
    </w:p>
    <w:p>
      <w:pPr>
        <w:pStyle w:val="Heading2"/>
      </w:pPr>
      <w:bookmarkStart w:id="54" w:name="Xe2e370f1571423226764666857d8a0d35e21069"/>
      <w:r>
        <w:t xml:space="preserve">The second lesson: charter it as a bargain the sovereign cannot rewrite, not a gift it can revisit</w:t>
      </w:r>
      <w:bookmarkEnd w:id="54"/>
    </w:p>
    <w:p>
      <w:pPr>
        <w:pStyle w:val="FirstParagraph"/>
      </w:pPr>
      <w:r>
        <w:t xml:space="preserve">The school trusts survived best where the founding deal was understood as a</w:t>
      </w:r>
      <w:r>
        <w:t xml:space="preserve"> </w:t>
      </w:r>
      <w:r>
        <w:rPr>
          <w:i/>
        </w:rPr>
        <w:t xml:space="preserve">contract</w:t>
      </w:r>
      <w:r>
        <w:t xml:space="preserve">, and fared worst where it was understood as a</w:t>
      </w:r>
      <w:r>
        <w:t xml:space="preserve"> </w:t>
      </w:r>
      <w:r>
        <w:rPr>
          <w:i/>
        </w:rPr>
        <w:t xml:space="preserve">gift</w:t>
      </w:r>
      <w:r>
        <w:t xml:space="preserve">.</w:t>
      </w:r>
    </w:p>
    <w:p>
      <w:pPr>
        <w:pStyle w:val="BodyText"/>
      </w:pPr>
      <w:r>
        <w:t xml:space="preserve">The difference sounds like lawyer’s hair-splitting. It is, in fact, the hinge on which whole fortunes turned. If the school lands were a gift from the federal government to the state, then a state could plausibly argue it kept the sovereign power to do something else with them later — to repurpose, to sell, to redirect the money — because that is what an owner of a gift may do. For most of the nineteenth century, that</w:t>
      </w:r>
      <w:r>
        <w:t xml:space="preserve"> </w:t>
      </w:r>
      <w:r>
        <w:t xml:space="preserve">“</w:t>
      </w:r>
      <w:r>
        <w:t xml:space="preserve">the state can do what it likes with its own</w:t>
      </w:r>
      <w:r>
        <w:t xml:space="preserve">”</w:t>
      </w:r>
      <w:r>
        <w:t xml:space="preserve"> </w:t>
      </w:r>
      <w:r>
        <w:t xml:space="preserve">view was exactly the cover under which the fire-sales and the raids happened.</w:t>
      </w:r>
    </w:p>
    <w:p>
      <w:pPr>
        <w:pStyle w:val="BodyText"/>
      </w:pPr>
      <w:r>
        <w:t xml:space="preserve">But if the grant was a</w:t>
      </w:r>
      <w:r>
        <w:t xml:space="preserve"> </w:t>
      </w:r>
      <w:r>
        <w:rPr>
          <w:i/>
        </w:rPr>
        <w:t xml:space="preserve">bargained-for compact</w:t>
      </w:r>
      <w:r>
        <w:t xml:space="preserve"> </w:t>
      </w:r>
      <w:r>
        <w:t xml:space="preserve">— something the state received in exchange for a binding commitment it gave back — then the state wears two hats at once. It is the sovereign, yes, but it is also a party to a deal, and the terms of that deal became part of its own fundamental law, not revisable at the next legislative whim. The Supreme Court put this with unusual clarity in</w:t>
      </w:r>
      <w:r>
        <w:t xml:space="preserve"> </w:t>
      </w:r>
      <w:r>
        <w:rPr>
          <w:i/>
        </w:rPr>
        <w:t xml:space="preserve">Andrus v. Utah</w:t>
      </w:r>
      <w:r>
        <w:t xml:space="preserve"> </w:t>
      </w:r>
      <w:r>
        <w:t xml:space="preserve">(1980): the school-land grant was a</w:t>
      </w:r>
      <w:r>
        <w:t xml:space="preserve"> </w:t>
      </w:r>
      <w:r>
        <w:t xml:space="preserve">“</w:t>
      </w:r>
      <w:r>
        <w:t xml:space="preserve">solemn agreement which in some ways may be analogized to a contract between private parties. The United States agreed to cede some of its land to the State in exchange for a commitment by the State to use the revenues derived from the land to educate the citizenry.</w:t>
      </w:r>
      <w:r>
        <w:t xml:space="preserve">”</w:t>
      </w:r>
      <w:r>
        <w:t xml:space="preserve"> </w:t>
      </w:r>
      <w:r>
        <w:t xml:space="preserve">(</w:t>
      </w:r>
      <w:r>
        <w:rPr>
          <w:i/>
        </w:rPr>
        <w:t xml:space="preserve">Andrus v. Utah</w:t>
      </w:r>
      <w:r>
        <w:t xml:space="preserve">, 446 U.S. 500, 507 (1980).) And from that the Court drew the firewall directly: no state could divert school lands to other public uses without compensating the trust for the full market value of what it took. (</w:t>
      </w:r>
      <w:r>
        <w:rPr>
          <w:i/>
        </w:rPr>
        <w:t xml:space="preserve">Andrus</w:t>
      </w:r>
      <w:r>
        <w:t xml:space="preserve">, 446 U.S. at 507, citing</w:t>
      </w:r>
      <w:r>
        <w:t xml:space="preserve"> </w:t>
      </w:r>
      <w:r>
        <w:rPr>
          <w:i/>
        </w:rPr>
        <w:t xml:space="preserve">Lassen</w:t>
      </w:r>
      <w:r>
        <w:t xml:space="preserve"> </w:t>
      </w:r>
      <w:r>
        <w:t xml:space="preserve">and</w:t>
      </w:r>
      <w:r>
        <w:t xml:space="preserve"> </w:t>
      </w:r>
      <w:r>
        <w:rPr>
          <w:i/>
        </w:rPr>
        <w:t xml:space="preserve">Alamo Land &amp; Cattle Co. v. Arizona</w:t>
      </w:r>
      <w:r>
        <w:t xml:space="preserve">, 424 U.S. 295 (1976).)</w:t>
      </w:r>
    </w:p>
    <w:p>
      <w:pPr>
        <w:pStyle w:val="BodyText"/>
      </w:pPr>
      <w:r>
        <w:t xml:space="preserve">State courts built the same wall higher. New Mexico’s courts held that its enabling act is</w:t>
      </w:r>
      <w:r>
        <w:t xml:space="preserve"> </w:t>
      </w:r>
      <w:r>
        <w:t xml:space="preserve">“</w:t>
      </w:r>
      <w:r>
        <w:t xml:space="preserve">fundamental law to the same extent as if it had been directly incorporated into the Constitution.</w:t>
      </w:r>
      <w:r>
        <w:t xml:space="preserve">”</w:t>
      </w:r>
      <w:r>
        <w:t xml:space="preserve"> </w:t>
      </w:r>
      <w:r>
        <w:t xml:space="preserve">(</w:t>
      </w:r>
      <w:r>
        <w:rPr>
          <w:i/>
        </w:rPr>
        <w:t xml:space="preserve">Lake Arthur Drainage Dist. v. Field</w:t>
      </w:r>
      <w:r>
        <w:t xml:space="preserve">, 27 N.M. 183 (1921).) Oklahoma’s supreme court called the acceptance provisions</w:t>
      </w:r>
      <w:r>
        <w:t xml:space="preserve"> </w:t>
      </w:r>
      <w:r>
        <w:t xml:space="preserve">“</w:t>
      </w:r>
      <w:r>
        <w:t xml:space="preserve">an irrevocable compact… which cannot be altered or abrogated.</w:t>
      </w:r>
      <w:r>
        <w:t xml:space="preserve">”</w:t>
      </w:r>
      <w:r>
        <w:t xml:space="preserve"> </w:t>
      </w:r>
      <w:r>
        <w:t xml:space="preserve">(</w:t>
      </w:r>
      <w:r>
        <w:rPr>
          <w:i/>
        </w:rPr>
        <w:t xml:space="preserve">Oklahoma Education Ass’n v. Nigh</w:t>
      </w:r>
      <w:r>
        <w:t xml:space="preserve">, 642 P.2d 230 (Okla. 1982).) South Dakota’s court said the legislature simply</w:t>
      </w:r>
      <w:r>
        <w:t xml:space="preserve"> </w:t>
      </w:r>
      <w:r>
        <w:t xml:space="preserve">“</w:t>
      </w:r>
      <w:r>
        <w:t xml:space="preserve">cannot give away trust property,</w:t>
      </w:r>
      <w:r>
        <w:t xml:space="preserve">”</w:t>
      </w:r>
      <w:r>
        <w:t xml:space="preserve"> </w:t>
      </w:r>
      <w:r>
        <w:t xml:space="preserve">and that any disposition had to return full value. (</w:t>
      </w:r>
      <w:r>
        <w:rPr>
          <w:i/>
        </w:rPr>
        <w:t xml:space="preserve">Kanaly v. State</w:t>
      </w:r>
      <w:r>
        <w:t xml:space="preserve">, 368 N.W.2d 819 (S.D. 1985).) In each of these, the move is the same: convert the founding deal from a gift the sovereign can reconsider into a contract the sovereign cannot unilaterally rewrite.</w:t>
      </w:r>
    </w:p>
    <w:p>
      <w:pPr>
        <w:pStyle w:val="BodyText"/>
      </w:pPr>
      <w:r>
        <w:t xml:space="preserve">Notice what this does to the honorary-trust problem from the first lesson. Where the bare grant looked merely</w:t>
      </w:r>
      <w:r>
        <w:t xml:space="preserve"> </w:t>
      </w:r>
      <w:r>
        <w:t xml:space="preserve">“</w:t>
      </w:r>
      <w:r>
        <w:t xml:space="preserve">honorary</w:t>
      </w:r>
      <w:r>
        <w:t xml:space="preserve">”</w:t>
      </w:r>
      <w:r>
        <w:t xml:space="preserve"> </w:t>
      </w:r>
      <w:r>
        <w:t xml:space="preserve">— an absolute gift with a moral gloss — the compact theory is the route out. It is how beneficiaries convert</w:t>
      </w:r>
      <w:r>
        <w:t xml:space="preserve"> </w:t>
      </w:r>
      <w:r>
        <w:t xml:space="preserve">“</w:t>
      </w:r>
      <w:r>
        <w:t xml:space="preserve">the duty exists but you can’t reach it</w:t>
      </w:r>
      <w:r>
        <w:t xml:space="preserve">”</w:t>
      </w:r>
      <w:r>
        <w:t xml:space="preserve"> </w:t>
      </w:r>
      <w:r>
        <w:t xml:space="preserve">into</w:t>
      </w:r>
      <w:r>
        <w:t xml:space="preserve"> </w:t>
      </w:r>
      <w:r>
        <w:t xml:space="preserve">“</w:t>
      </w:r>
      <w:r>
        <w:t xml:space="preserve">the duty is a binding agreement, and a court will enforce it.</w:t>
      </w:r>
      <w:r>
        <w:t xml:space="preserve">”</w:t>
      </w:r>
      <w:r>
        <w:t xml:space="preserve"> </w:t>
      </w:r>
      <w:r>
        <w:t xml:space="preserve">The two lessons work as a pair: explicit text names the duty and the enforcer; the compact form makes the whole thing irrevocable. Together they are the difference between a promise and a contract.</w:t>
      </w:r>
    </w:p>
    <w:p>
      <w:pPr>
        <w:pStyle w:val="BodyText"/>
      </w:pPr>
      <w:r>
        <w:t xml:space="preserve">For today’s designers the translation is exact, and it is the second rule:</w:t>
      </w:r>
      <w:r>
        <w:t xml:space="preserve"> </w:t>
      </w:r>
      <w:r>
        <w:rPr>
          <w:b/>
        </w:rPr>
        <w:t xml:space="preserve">a perpetual fund survives only if its founding charter is legally firewalled against the sovereign’s own future self.</w:t>
      </w:r>
      <w:r>
        <w:t xml:space="preserve"> </w:t>
      </w:r>
      <w:r>
        <w:t xml:space="preserve">If a future legislature — or a future board, or a future government — can change the fund’s purpose by ordinary act, then it will eventually be changed, because the money will eventually be wanted for something that feels urgent. Charter the institution as an irrevocable commitment to an external counterparty, made part of fundamental law, alterable only by some difficult, deliberate process and not by the same body that will one day be tempted to raid it. A gift can be revisited. A bargain, properly made, cannot. Build the bargain.</w:t>
      </w:r>
    </w:p>
    <w:p>
      <w:pPr>
        <w:pStyle w:val="Heading2"/>
      </w:pPr>
      <w:bookmarkStart w:id="55" w:name="X31164228a1bb37671799488013fabfebed3a00e"/>
      <w:r>
        <w:t xml:space="preserve">The third lesson: the purpose held its shape for a century, which is why it is worth fixing in writing</w:t>
      </w:r>
      <w:bookmarkEnd w:id="55"/>
    </w:p>
    <w:p>
      <w:pPr>
        <w:pStyle w:val="FirstParagraph"/>
      </w:pPr>
      <w:r>
        <w:t xml:space="preserve">There is a quiet, encouraging fact in the record that is easy to miss between the betrayals and the rescues, and it deserves its own place.</w:t>
      </w:r>
    </w:p>
    <w:p>
      <w:pPr>
        <w:pStyle w:val="BodyText"/>
      </w:pPr>
      <w:r>
        <w:t xml:space="preserve">The school grant</w:t>
      </w:r>
      <w:r>
        <w:t xml:space="preserve"> </w:t>
      </w:r>
      <w:r>
        <w:rPr>
          <w:i/>
        </w:rPr>
        <w:t xml:space="preserve">held its shape</w:t>
      </w:r>
      <w:r>
        <w:t xml:space="preserve">. The basic commitment that appeared in the Land Ordinance of 1785 and was carried into the Northwest Ordinance of 1787 — reserve section sixteen for the schools — rode forward through more than a century of statehood acts, across Congress after Congress, largely unargued. The 1802 act that admitted Ohio framed the grant as a proposition offered for the state’s</w:t>
      </w:r>
      <w:r>
        <w:t xml:space="preserve"> </w:t>
      </w:r>
      <w:r>
        <w:t xml:space="preserve">“</w:t>
      </w:r>
      <w:r>
        <w:t xml:space="preserve">free acceptance or rejection, which, if accepted… shall be obligatory upon the United States</w:t>
      </w:r>
      <w:r>
        <w:t xml:space="preserve">”</w:t>
      </w:r>
      <w:r>
        <w:t xml:space="preserve"> </w:t>
      </w:r>
      <w:r>
        <w:t xml:space="preserve">— the bilateral, binding-by-acceptance form that every later admission inherited. (Ohio Enabling Act, Act of Apr. 30, 1802, ch. 40, § 7, 2 Stat. 173, 175.) Later acts did not rewrite the commitment; they</w:t>
      </w:r>
      <w:r>
        <w:t xml:space="preserve"> </w:t>
      </w:r>
      <w:r>
        <w:rPr>
          <w:i/>
        </w:rPr>
        <w:t xml:space="preserve">added</w:t>
      </w:r>
      <w:r>
        <w:t xml:space="preserve"> </w:t>
      </w:r>
      <w:r>
        <w:t xml:space="preserve">to its skeleton. Colorado’s 1875 act put a price floor under the land. (Act of Mar. 3, 1875, ch. 139, 18 Stat. 474.) Utah’s 1894 act enlarged the grant to four sections per township. (Act of July 16, 1894, ch. 138, 28 Stat. 107.) The 1889 omnibus act admitting the Dakotas, Montana, and Washington put the lands expressly</w:t>
      </w:r>
      <w:r>
        <w:t xml:space="preserve"> </w:t>
      </w:r>
      <w:r>
        <w:t xml:space="preserve">“</w:t>
      </w:r>
      <w:r>
        <w:t xml:space="preserve">in trust</w:t>
      </w:r>
      <w:r>
        <w:t xml:space="preserve">”</w:t>
      </w:r>
      <w:r>
        <w:t xml:space="preserve"> </w:t>
      </w:r>
      <w:r>
        <w:t xml:space="preserve">and forbade selling them for less than ten dollars an acre. (Act of Feb. 22, 1889, ch. 180, 25 Stat. 676.) And the 1910 act for New Mexico and Arizona added the full apparatus of</w:t>
      </w:r>
      <w:r>
        <w:t xml:space="preserve"> </w:t>
      </w:r>
      <w:r>
        <w:t xml:space="preserve">“</w:t>
      </w:r>
      <w:r>
        <w:t xml:space="preserve">breach of trust</w:t>
      </w:r>
      <w:r>
        <w:t xml:space="preserve">”</w:t>
      </w:r>
      <w:r>
        <w:t xml:space="preserve"> </w:t>
      </w:r>
      <w:r>
        <w:t xml:space="preserve">and Attorney-General enforcement. (Act of June 20, 1910, ch. 310, 36 Stat. 557.) You can lay the four statutes side by side and watch the same purpose persist, gathering protective clauses as it goes.</w:t>
      </w:r>
    </w:p>
    <w:p>
      <w:pPr>
        <w:pStyle w:val="BodyText"/>
      </w:pPr>
      <w:r>
        <w:t xml:space="preserve">A word of honesty here, because the temptation is to tell this too neatly. It is tempting to say Congress methodically tightened the screws scandal by scandal — that every new restriction was a punishment for a documented abuse. The records do not actually support that tidy story. The best scholarship finds that many of the restrictions were first adopted by states and then copied</w:t>
      </w:r>
      <w:r>
        <w:t xml:space="preserve"> </w:t>
      </w:r>
      <w:r>
        <w:rPr>
          <w:i/>
        </w:rPr>
        <w:t xml:space="preserve">upward</w:t>
      </w:r>
      <w:r>
        <w:t xml:space="preserve"> </w:t>
      </w:r>
      <w:r>
        <w:t xml:space="preserve">into the federal acts, and that unmistakable congressional anti-abuse vigilance appears clearly only in 1910. (Souder &amp; Fairfax,</w:t>
      </w:r>
      <w:r>
        <w:t xml:space="preserve"> </w:t>
      </w:r>
      <w:r>
        <w:rPr>
          <w:i/>
        </w:rPr>
        <w:t xml:space="preserve">State Trust Lands</w:t>
      </w:r>
      <w:r>
        <w:t xml:space="preserve">; the located committee records — e.g., S. Rept. 586 (1888) on the Dakotas — argue admission-readiness, not an anti-fraud motive for the trust terms.) When we read the actual committee report behind the 1889 act, it argues about population and equal footing, not about preventing land fraud. So the careful claim is the modest one — and it is still powerful: across a full century, the</w:t>
      </w:r>
      <w:r>
        <w:t xml:space="preserve"> </w:t>
      </w:r>
      <w:r>
        <w:rPr>
          <w:i/>
        </w:rPr>
        <w:t xml:space="preserve">purpose</w:t>
      </w:r>
      <w:r>
        <w:t xml:space="preserve"> </w:t>
      </w:r>
      <w:r>
        <w:t xml:space="preserve">was constant. The grant rode forward as settled policy, never seriously up for debate. The framers’ idea — land set aside to fund the education of a self-governing people — proved durable in exactly the way a forever-institution’s purpose needs to be durable.</w:t>
      </w:r>
    </w:p>
    <w:p>
      <w:pPr>
        <w:pStyle w:val="BodyText"/>
      </w:pPr>
      <w:r>
        <w:t xml:space="preserve">The lesson for designers follows directly, and it is the third rule, the encouraging one. A clearly-defined purpose, written plainly and carried in fundamental documents,</w:t>
      </w:r>
      <w:r>
        <w:t xml:space="preserve"> </w:t>
      </w:r>
      <w:r>
        <w:rPr>
          <w:i/>
        </w:rPr>
        <w:t xml:space="preserve">can</w:t>
      </w:r>
      <w:r>
        <w:t xml:space="preserve"> </w:t>
      </w:r>
      <w:r>
        <w:t xml:space="preserve">survive a century of changing governments. Constancy of purpose is achievable; the record proves it. But notice the pairing with the first two lessons. The purpose held because it was written down, restated in every new admission, and treated as settled. It did not hold by being assumed. Write the purpose in clear, plain words, restate it in the founding documents rather than gesturing at it, and you give it the best chance the record offers of outliving everyone who wrote it.</w:t>
      </w:r>
    </w:p>
    <w:p>
      <w:pPr>
        <w:pStyle w:val="Heading2"/>
      </w:pPr>
      <w:bookmarkStart w:id="56" w:name="X7dc9ad9e1dcd11440b1442b4db5d5323cddae92"/>
      <w:r>
        <w:t xml:space="preserve">The fourth lesson: the specific clauses that did the work</w:t>
      </w:r>
      <w:bookmarkEnd w:id="56"/>
    </w:p>
    <w:p>
      <w:pPr>
        <w:pStyle w:val="FirstParagraph"/>
      </w:pPr>
      <w:r>
        <w:t xml:space="preserve">The first three lessons are the spine. But the record is also generous with detail — it tells you, clause by clause, what actually protected a fund and what left it exposed. A designer chartering a forever-institution today can lift these almost directly. Here are the provisions the two-century trial rewards.</w:t>
      </w:r>
    </w:p>
    <w:p>
      <w:pPr>
        <w:pStyle w:val="BodyText"/>
      </w:pPr>
      <w:r>
        <w:rPr>
          <w:b/>
        </w:rPr>
        <w:t xml:space="preserve">Name the adversary and bind it.</w:t>
      </w:r>
      <w:r>
        <w:t xml:space="preserve"> </w:t>
      </w:r>
      <w:r>
        <w:t xml:space="preserve">The trustee of a sovereign fund is, ultimately, the sovereign — the very body most tempted to raid the corpus when the money is wanted elsewhere. Do not pretend otherwise. Name the trustee explicitly, define its duties of loyalty and prudence in the document, and make clear the duty runs to the beneficiaries and not to the government’s general convenience. The trusts that fared worst left the trustee’s role implied, where a future official could argue the obligation was soft.</w:t>
      </w:r>
    </w:p>
    <w:p>
      <w:pPr>
        <w:pStyle w:val="BodyText"/>
      </w:pPr>
      <w:r>
        <w:rPr>
          <w:b/>
        </w:rPr>
        <w:t xml:space="preserve">Define the beneficiary narrowly and exclusively.</w:t>
      </w:r>
      <w:r>
        <w:t xml:space="preserve"> </w:t>
      </w:r>
      <w:r>
        <w:t xml:space="preserve">The school grants that survived best named the schools, and only the schools, as the beneficiary — the money was for them and could not be redirected to the general fund or to whatever the state found pressing. The clearest erosions came where the beneficiary class was loose enough that a legislature could argue some other public purpose qualified. State who benefits, and state that no one else does.</w:t>
      </w:r>
    </w:p>
    <w:p>
      <w:pPr>
        <w:pStyle w:val="BodyText"/>
      </w:pPr>
      <w:r>
        <w:rPr>
          <w:b/>
        </w:rPr>
        <w:t xml:space="preserve">Write in a plaintiff, a forum, a remedy — and waive immunity.</w:t>
      </w:r>
      <w:r>
        <w:t xml:space="preserve"> </w:t>
      </w:r>
      <w:r>
        <w:t xml:space="preserve">This is the lesson of New Mexico’s section 10 made into a checklist. A duty without a named enforcer is a duty no one can compel. Specify who has standing to sue — ideally someone independent of the government, a dedicated guardian or trust protector whose only job is to defend the corpus. Specify the court or tribunal that hears the claim. Specify the remedy — restoration of value, not a slap on the wrist. And because the trustee here is a sovereign, expressly waive the immunity defenses, or the beneficiaries will spend years, as Oregon’s did, fighting merely for the right to be heard. Every one of those clauses is a thing a court will not write in for you afterward.</w:t>
      </w:r>
    </w:p>
    <w:p>
      <w:pPr>
        <w:pStyle w:val="BodyTex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t xml:space="preserve">When a state takes trust land for its own use — a highway, a public building — the temptation is to credit the trust with the</w:t>
      </w:r>
      <w:r>
        <w:t xml:space="preserve"> </w:t>
      </w:r>
      <w:r>
        <w:rPr>
          <w:i/>
        </w:rPr>
        <w:t xml:space="preserve">indirect</w:t>
      </w:r>
      <w:r>
        <w:t xml:space="preserve"> </w:t>
      </w:r>
      <w:r>
        <w:t xml:space="preserve">benefit the public project supposedly brings, and so pay it less than the land is worth. The Supreme Court rejected exactly that move in the school-land context: the trust is owed full money value, not a discounted value reduced by some claimed collateral benefit. (</w:t>
      </w:r>
      <w:r>
        <w:rPr>
          <w:i/>
        </w:rPr>
        <w:t xml:space="preserve">Lassen v. Arizona</w:t>
      </w:r>
      <w:r>
        <w:t xml:space="preserve">, 385 U.S. 458 (1967).) For a modern fund the analog is the</w:t>
      </w:r>
      <w:r>
        <w:t xml:space="preserve"> </w:t>
      </w:r>
      <w:r>
        <w:t xml:space="preserve">“</w:t>
      </w:r>
      <w:r>
        <w:t xml:space="preserve">social discount</w:t>
      </w:r>
      <w:r>
        <w:t xml:space="preserve">”</w:t>
      </w:r>
      <w:r>
        <w:t xml:space="preserve"> </w:t>
      </w:r>
      <w:r>
        <w:t xml:space="preserve">— the argument that the fund should accept below-market terms when it deals with its own government because the public gets some other good out of the deal. Forbid it in the charter. Every internal transfer prices at full market value, full stop.</w:t>
      </w:r>
    </w:p>
    <w:p>
      <w:pPr>
        <w:pStyle w:val="BodyText"/>
      </w:pPr>
      <w:r>
        <w:rPr>
          <w:b/>
        </w:rPr>
        <w:t xml:space="preserve">Require independent valuation and segregated accounting.</w:t>
      </w:r>
      <w:r>
        <w:t xml:space="preserve"> </w:t>
      </w:r>
      <w:r>
        <w:t xml:space="preserve">A corpus you cannot see is a corpus that can be quietly drained. The funds that endured kept the trust money in a separate account, distinct from the general treasury, with its principal protected and only its earnings spent — and they valued assets through an independent process, not the trustee’s own say-so. A future official cannot spend what is walled off and audited. Segregate the corpus; require outside valuation; publish the accounting.</w:t>
      </w:r>
    </w:p>
    <w:p>
      <w:pPr>
        <w:pStyle w:val="BodyText"/>
      </w:pPr>
      <w:r>
        <w:rPr>
          <w:b/>
        </w:rPr>
        <w:t xml:space="preserve">Make exit honest and expensive — and here is the counter-example to remember.</w:t>
      </w:r>
      <w:r>
        <w:t xml:space="preserve"> </w:t>
      </w:r>
      <w:r>
        <w:t xml:space="preserve">Sooner or later someone will want the institution to dispose of a major asset, or to wind itself down, and will dress the disposal up as prudent management. The protection is to make any exit transparent, externally valued, and costly enough that it cannot be done casually. The cautionary tale is Oregon’s Elliott State Forest, the self-dealing sham anatomized in Chapter 3: a roughly $221-million</w:t>
      </w:r>
      <w:r>
        <w:t xml:space="preserve"> </w:t>
      </w:r>
      <w:r>
        <w:t xml:space="preserve">“</w:t>
      </w:r>
      <w:r>
        <w:t xml:space="preserve">buyout</w:t>
      </w:r>
      <w:r>
        <w:t xml:space="preserve">”</w:t>
      </w:r>
      <w:r>
        <w:t xml:space="preserve"> </w:t>
      </w:r>
      <w:r>
        <w:t xml:space="preserve">with a depressed</w:t>
      </w:r>
      <w:r>
        <w:t xml:space="preserve"> </w:t>
      </w:r>
      <w:r>
        <w:t xml:space="preserve">“</w:t>
      </w:r>
      <w:r>
        <w:t xml:space="preserve">investment</w:t>
      </w:r>
      <w:r>
        <w:t xml:space="preserve">”</w:t>
      </w:r>
      <w:r>
        <w:t xml:space="preserve"> </w:t>
      </w:r>
      <w:r>
        <w:t xml:space="preserve">valuation and circular funding — the trustee, in effect, buying the children’s forest from itself on terms it set. That is exactly the exit a well-drafted charter forecloses: it forbids the trustee from being the buyer, requires genuine independent valuation at full worth, and refuses to let a transfer be called compensation when the trust is made worse off. If your charter does not make exit honest and expensive, someone will eventually make it cheap and quiet.</w:t>
      </w:r>
    </w:p>
    <w:p>
      <w:pPr>
        <w:pStyle w:val="Heading2"/>
      </w:pPr>
      <w:bookmarkStart w:id="57" w:name="Xa3358e507f90deb1eba435c344df6d5feb7c34c"/>
      <w:r>
        <w:t xml:space="preserve">The fifth lesson: the machinery is inert without a constituency to work it</w:t>
      </w:r>
      <w:bookmarkEnd w:id="57"/>
    </w:p>
    <w:p>
      <w:pPr>
        <w:pStyle w:val="FirstParagraph"/>
      </w:pPr>
      <w:r>
        <w:t xml:space="preserve">There is one more lesson, and it keeps the other four honest.</w:t>
      </w:r>
    </w:p>
    <w:p>
      <w:pPr>
        <w:pStyle w:val="BodyText"/>
      </w:pPr>
      <w:r>
        <w:t xml:space="preserve">Every clause above is a lever. A lever does nothing until someone pulls it. The most carefully drafted charter — named trustee, enforcement clause, immunity waiver, full-value rule, segregated and audited corpus — is just words on paper unless there is a living constituency willing to go to court and</w:t>
      </w:r>
      <w:r>
        <w:t xml:space="preserve"> </w:t>
      </w:r>
      <w:r>
        <w:rPr>
          <w:i/>
        </w:rPr>
        <w:t xml:space="preserve">use</w:t>
      </w:r>
      <w:r>
        <w:t xml:space="preserve"> </w:t>
      </w:r>
      <w:r>
        <w:t xml:space="preserve">it when the trustee strays.</w:t>
      </w:r>
    </w:p>
    <w:p>
      <w:pPr>
        <w:pStyle w:val="BodyText"/>
      </w:pPr>
      <w:r>
        <w:t xml:space="preserve">Utah proved this in the hardest possible way, in the story Chapter 5 told at length. Utah had relatively strong protective text — and in the early 1980s, under Project BOLD, a large share of the corpus was nonetheless drained anyway. The strong text did not save it on its own. What turned the tide was the arrival of an organized constituency — the education coalition, led by Margaret Bird and the state’s school boards and education association, that mobilized to defend the trust and force the protections to be honored. The text was the lever; the constituency was the hand. Text without a constituency is inert. A constituency without enforceable text has nothing to pull. You need both, and the constituency is the active ingredient.</w:t>
      </w:r>
    </w:p>
    <w:p>
      <w:pPr>
        <w:pStyle w:val="BodyText"/>
      </w:pPr>
      <w:r>
        <w:t xml:space="preserve">For the architects of a forever-institution this is the rule that is easiest to skip and most fatal to skip. Do not stop at the charter. Charter alongside it a standing body whose permanent job is to watch the corpus and defend it — funded independently, with standing already written in, with the duty and the means to sue. Build the watchdog into the founding design, so that it does not depend on a crisis to summon a defender into being. The school trusts that survived two centuries did not survive because their founders were wiser than the founders who failed. They survived because somebody, generation after generation, was willing to stand up and insist the promise be kept — and because the law gave that somebody a lever worth pulling.</w:t>
      </w:r>
    </w:p>
    <w:p>
      <w:r>
        <w:pict>
          <v:rect style="width:0;height:1.5pt" o:hralign="center" o:hrstd="t" o:hr="t"/>
        </w:pict>
      </w:r>
    </w:p>
    <w:p>
      <w:pPr>
        <w:pStyle w:val="BlockText"/>
      </w:pPr>
      <w:r>
        <w:rPr>
          <w:b/>
        </w:rPr>
        <w:t xml:space="preserve">BOX — The design rules, on one page</w:t>
      </w:r>
      <w:r>
        <w:t xml:space="preserve"> </w:t>
      </w:r>
      <w:r>
        <w:rPr>
          <w:i/>
        </w:rPr>
        <w:t xml:space="preserve">(charter the adversary)</w:t>
      </w:r>
    </w:p>
    <w:p>
      <w:pPr>
        <w:pStyle w:val="BlockText"/>
      </w:pPr>
      <w:r>
        <w:t xml:space="preserve">If you are drafting a forever-institution and want the two-century trial reduced to a checklist, here it is. Each rule is earned by a state’s experience in the chapters behind it.</w:t>
      </w:r>
    </w:p>
    <w:p>
      <w:pPr>
        <w:numPr>
          <w:ilvl w:val="0"/>
          <w:numId w:val="1008"/>
        </w:numPr>
        <w:pStyle w:val="Compact"/>
      </w:pPr>
      <w:r>
        <w:rPr>
          <w:b/>
        </w:rPr>
        <w:t xml:space="preserve">Name the trustee — and name it as the adversary.</w:t>
      </w:r>
      <w:r>
        <w:t xml:space="preserve"> </w:t>
      </w:r>
      <w:r>
        <w:t xml:space="preserve">The sovereign is the body most tempted to raid the corpus. Write its duties of loyalty and prudence into the document; do not leave the role implied.</w:t>
      </w:r>
    </w:p>
    <w:p>
      <w:pPr>
        <w:numPr>
          <w:ilvl w:val="0"/>
          <w:numId w:val="1008"/>
        </w:numPr>
        <w:pStyle w:val="Compact"/>
      </w:pPr>
      <w:r>
        <w:rPr>
          <w:b/>
        </w:rPr>
        <w:t xml:space="preserve">Define the beneficiary narrowly and exclusively.</w:t>
      </w:r>
      <w:r>
        <w:t xml:space="preserve"> </w:t>
      </w:r>
      <w:r>
        <w:t xml:space="preserve">Name who benefits, and state plainly that no one else does — not the general fund, not whatever feels urgent next year.</w:t>
      </w:r>
    </w:p>
    <w:p>
      <w:pPr>
        <w:numPr>
          <w:ilvl w:val="0"/>
          <w:numId w:val="1008"/>
        </w:numPr>
        <w:pStyle w:val="Compact"/>
      </w:pPr>
      <w:r>
        <w:rPr>
          <w:b/>
        </w:rPr>
        <w:t xml:space="preserve">Write in a plaintiff, a forum, a remedy — and waive immunity.</w:t>
      </w:r>
      <w:r>
        <w:t xml:space="preserve"> </w:t>
      </w:r>
      <w:r>
        <w:t xml:space="preserve">A duty with no named enforcer is a duty no one can compel. New Mexico had section 10; Oregon spent five years just fighting for the right to be heard.</w:t>
      </w:r>
    </w:p>
    <w:p>
      <w:pPr>
        <w:numPr>
          <w:ilvl w:val="0"/>
          <w:numId w:val="1008"/>
        </w:numPr>
        <w:pStyle w:val="Compac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rPr>
          <w:i/>
        </w:rPr>
        <w:t xml:space="preserve">Lassen</w:t>
      </w:r>
      <w:r>
        <w:t xml:space="preserve">’s rule: the trust is owed full money value, never a discount for some claimed collateral public benefit.</w:t>
      </w:r>
    </w:p>
    <w:p>
      <w:pPr>
        <w:numPr>
          <w:ilvl w:val="0"/>
          <w:numId w:val="1008"/>
        </w:numPr>
        <w:pStyle w:val="Compact"/>
      </w:pPr>
      <w:r>
        <w:rPr>
          <w:b/>
        </w:rPr>
        <w:t xml:space="preserve">Require independent valuation and segregated, audited accounting.</w:t>
      </w:r>
      <w:r>
        <w:t xml:space="preserve"> </w:t>
      </w:r>
      <w:r>
        <w:t xml:space="preserve">A corpus you cannot see is a corpus that can be quietly drained.</w:t>
      </w:r>
    </w:p>
    <w:p>
      <w:pPr>
        <w:numPr>
          <w:ilvl w:val="0"/>
          <w:numId w:val="1008"/>
        </w:numPr>
        <w:pStyle w:val="Compact"/>
      </w:pPr>
      <w:r>
        <w:rPr>
          <w:b/>
        </w:rPr>
        <w:t xml:space="preserve">Make exit honest and expensive.</w:t>
      </w:r>
      <w:r>
        <w:t xml:space="preserve"> </w:t>
      </w:r>
      <w:r>
        <w:t xml:space="preserve">Forbid the trustee from being the buyer; require genuine outside valuation at full worth. The Elliott is the counter-example to remember.</w:t>
      </w:r>
    </w:p>
    <w:p>
      <w:pPr>
        <w:numPr>
          <w:ilvl w:val="0"/>
          <w:numId w:val="1008"/>
        </w:numPr>
        <w:pStyle w:val="Compact"/>
      </w:pPr>
      <w:r>
        <w:rPr>
          <w:b/>
        </w:rPr>
        <w:t xml:space="preserve">Charter a standing constituency to pull the levers.</w:t>
      </w:r>
      <w:r>
        <w:t xml:space="preserve"> </w:t>
      </w:r>
      <w:r>
        <w:t xml:space="preserve">Every clause above is inert without living people, with standing already written in, whose permanent job is to defend the corpus.</w:t>
      </w:r>
    </w:p>
    <w:p>
      <w:pPr>
        <w:pStyle w:val="BlockText"/>
      </w:pPr>
      <w:r>
        <w:t xml:space="preserve">Make the founding deal a bargain the sovereign cannot rewrite, not a gift it can revisit.</w:t>
      </w:r>
    </w:p>
    <w:p>
      <w:r>
        <w:pict>
          <v:rect style="width:0;height:1.5pt" o:hralign="center" o:hrstd="t" o:hr="t"/>
        </w:pict>
      </w:r>
    </w:p>
    <w:p>
      <w:pPr>
        <w:pStyle w:val="Heading2"/>
      </w:pPr>
      <w:bookmarkStart w:id="58" w:name="Xfc84ac02c6ed5d3808d083b2815902fc6ab7dff"/>
      <w:r>
        <w:t xml:space="preserve">What this means for the institutions being chartered now</w:t>
      </w:r>
      <w:bookmarkEnd w:id="58"/>
    </w:p>
    <w:p>
      <w:pPr>
        <w:pStyle w:val="BlockText"/>
      </w:pPr>
      <w:r>
        <w:t xml:space="preserve">“</w:t>
      </w:r>
      <w:r>
        <w:t xml:space="preserve">Our greatest responsibility is to be good ancestors.</w:t>
      </w:r>
      <w:r>
        <w:t xml:space="preserve">”</w:t>
      </w:r>
      <w:r>
        <w:t xml:space="preserve"> </w:t>
      </w:r>
      <w:r>
        <w:t xml:space="preserve">— Dr. Jonas Salk</w:t>
      </w:r>
    </w:p>
    <w:p>
      <w:pPr>
        <w:pStyle w:val="FirstParagraph"/>
      </w:pPr>
      <w:r>
        <w:t xml:space="preserve">Step back, and look at what the people drafting today’s forever-funds are actually being told by two hundred years of evidence.</w:t>
      </w:r>
    </w:p>
    <w:p>
      <w:pPr>
        <w:pStyle w:val="BodyText"/>
      </w:pPr>
      <w:r>
        <w:t xml:space="preserve">They are designing sovereign funds to hold the wealth of the AI build-out, perpetual climate endowments, institutions meant to serve people not yet born. They feel, many of them, exactly what the framers of the school grants felt: that this windfall, or this duty, is too important to leave to the next budget cycle, and that they must reach across time to bind their successors. The school-trust record tells them that the reaching is possible — the school grant held its purpose for a century — but only if they design for it, and that good intentions are precisely the thing that does</w:t>
      </w:r>
      <w:r>
        <w:t xml:space="preserve"> </w:t>
      </w:r>
      <w:r>
        <w:rPr>
          <w:i/>
        </w:rPr>
        <w:t xml:space="preserve">not</w:t>
      </w:r>
      <w:r>
        <w:t xml:space="preserve"> </w:t>
      </w:r>
      <w:r>
        <w:t xml:space="preserve">carry across the generations. Loyalty is not transmitted by sentiment. It is transmitted by text, by structure, and by an institution standing ready to enforce both.</w:t>
      </w:r>
    </w:p>
    <w:p>
      <w:pPr>
        <w:pStyle w:val="BlockText"/>
      </w:pPr>
      <w:r>
        <w:rPr>
          <w:b/>
        </w:rPr>
        <w:t xml:space="preserve">PULL-QUOTE:</w:t>
      </w:r>
      <w:r>
        <w:t xml:space="preserve"> </w:t>
      </w:r>
      <w:r>
        <w:t xml:space="preserve">“</w:t>
      </w:r>
      <w:r>
        <w:t xml:space="preserve">Loyalty is not transmitted by sentiment. It is transmitted by text, by structure, and by an institution standing ready to enforce both.</w:t>
      </w:r>
      <w:r>
        <w:t xml:space="preserve">”</w:t>
      </w:r>
    </w:p>
    <w:p>
      <w:pPr>
        <w:pStyle w:val="FirstParagraph"/>
      </w:pPr>
      <w:r>
        <w:t xml:space="preserve">So, to the people writing those charters now: assume a future government will be tempted to take the money. Assume a court will not invent protections you failed to write down. Write the trust in express words, name the trustee and bind it, define the beneficiary and no one else, write in a plaintiff and a forum and a real remedy, waive the immunity, ban the discounted valuations, segregate and audit the corpus, make exit honest and expensive — and then charter a constituency whose standing job, forever, is to pull those levers. Make the founding deal a bargain the sovereign cannot rewrite, not a gift it can revisit. Restate the purpose plainly in the founding documents and let its constancy do its work.</w:t>
      </w:r>
    </w:p>
    <w:p>
      <w:pPr>
        <w:pStyle w:val="BodyText"/>
      </w:pPr>
      <w:r>
        <w:t xml:space="preserve">The framers who set aside section sixteen could not have imagined the institutions being built today. But they were running the same experiment, and they ran it long enough to give us the answer. The duty is constant. The enforcement is engineered. The people who learn that lesson will build things that last. The people who trust to good intentions will build things that get drained — slowly, lawfully, and with the best of motives — exactly as the schools’ inheritance was drained across the century we have just walked.</w:t>
      </w:r>
    </w:p>
    <w:p>
      <w:pPr>
        <w:pStyle w:val="BodyText"/>
      </w:pPr>
      <w:r>
        <w:t xml:space="preserve">We have the results of the experiment now. The only question left is whether the architects of the next forever read them.</w:t>
      </w:r>
    </w:p>
    <w:p>
      <w:r>
        <w:pict>
          <v:rect style="width:0;height:1.5pt" o:hralign="center" o:hrstd="t" o:hr="t"/>
        </w:pict>
      </w:r>
    </w:p>
    <w:p>
      <w:pPr>
        <w:pStyle w:val="FirstParagraph"/>
      </w:pPr>
      <w:r>
        <w:rPr>
          <w:i/>
        </w:rPr>
        <w:t xml:space="preserve">Endnotes to be compiled. Citation density in this draft is deliberately light per the workspace allergen rule; the case and statute pinpoints above have been verified against primary sources and the citation dossiers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 the Territories-Committee records); the Andrus keystone quotation and the Ervien</w:t>
      </w:r>
      <w:r>
        <w:rPr>
          <w:i/>
        </w:rPr>
        <w:t xml:space="preserve"> </w:t>
      </w:r>
      <w:r>
        <w:rPr>
          <w:i/>
        </w:rPr>
        <w:t xml:space="preserve">“</w:t>
      </w:r>
      <w:r>
        <w:rPr>
          <w:i/>
        </w:rPr>
        <w:t xml:space="preserve">special and exact</w:t>
      </w:r>
      <w:r>
        <w:rPr>
          <w:i/>
        </w:rPr>
        <w:t xml:space="preserve">”</w:t>
      </w:r>
      <w:r>
        <w:rPr>
          <w:i/>
        </w:rPr>
        <w:t xml:space="preserve"> </w:t>
      </w:r>
      <w:r>
        <w:rPr>
          <w:i/>
        </w:rPr>
        <w:t xml:space="preserve">quotation are verified against the opinions, and the discredited</w:t>
      </w:r>
      <w:r>
        <w:rPr>
          <w:i/>
        </w:rPr>
        <w:t xml:space="preserve"> </w:t>
      </w:r>
      <w:r>
        <w:rPr>
          <w:i/>
        </w:rPr>
        <w:t xml:space="preserve">“</w:t>
      </w:r>
      <w:r>
        <w:rPr>
          <w:i/>
        </w:rPr>
        <w:t xml:space="preserve">they must be regarded</w:t>
      </w:r>
      <w:r>
        <w:rPr>
          <w:i/>
        </w:rPr>
        <w:t xml:space="preserve">”</w:t>
      </w:r>
      <w:r>
        <w:rPr>
          <w:i/>
        </w:rPr>
        <w:t xml:space="preserve"> </w:t>
      </w:r>
      <w:r>
        <w:rPr>
          <w:i/>
        </w:rPr>
        <w:t xml:space="preserve">passage must not be reintroduced. One source task remains in this chapter: the Jan. 28, 2026 Oregon Court of Appeals standing ruling is confirmed by case number, court, date, and holding; only the internal slip-opinion page pincite remains to be filled against the published opinion at publication. The Elliott decoupling is now a cross-reference to Chapter 3, where its mechanics and financing record are handled.</w:t>
      </w:r>
    </w:p>
    <w:p>
      <w:r>
        <w:pict>
          <v:rect style="width:0;height:1.5pt" o:hralign="center" o:hrstd="t" o:hr="t"/>
        </w:pict>
      </w:r>
    </w:p>
    <w:p>
      <w:r>
        <w:br w:type="page"/>
      </w:r>
    </w:p>
    <w:p>
      <w:pPr>
        <w:pStyle w:val="Heading1"/>
      </w:pPr>
      <w:bookmarkStart w:id="59" w:name="part-one-apparatus"/>
      <w:r>
        <w:t xml:space="preserve">Part One — Apparatus</w:t>
      </w:r>
      <w:bookmarkEnd w:id="59"/>
    </w:p>
    <w:p>
      <w:pPr>
        <w:pStyle w:val="FirstParagraph"/>
      </w:pPr>
      <w:r>
        <w:rPr>
          <w:i/>
        </w:rPr>
        <w:t xml:space="preserve">Part I back-matter • v2 draft • May 29, 2026</w:t>
      </w:r>
    </w:p>
    <w:p>
      <w:pPr>
        <w:pStyle w:val="BodyText"/>
      </w:pPr>
      <w:r>
        <w:rPr>
          <w:i/>
        </w:rPr>
        <w:t xml:space="preserve">These four lenses re-cut the same record through alternative filters. They reveal patterns the narrative spine hides; they do not re-tell the book. Each is meant to be read in a sitting, by a reader who already knows the story and wants to see its skeleton. Voice rules per the Part I annotated ToC: plain, confident, no</w:t>
      </w:r>
      <w:r>
        <w:rPr>
          <w:i/>
        </w:rPr>
        <w:t xml:space="preserve"> </w:t>
      </w:r>
      <w:r>
        <w:rPr>
          <w:i/>
        </w:rPr>
        <w:t xml:space="preserve">“</w:t>
      </w:r>
      <w:r>
        <w:rPr>
          <w:i/>
        </w:rPr>
        <w:t xml:space="preserve">architecture</w:t>
      </w:r>
      <w:r>
        <w:rPr>
          <w:i/>
        </w:rPr>
        <w:t xml:space="preserve">”</w:t>
      </w:r>
      <w:r>
        <w:rPr>
          <w:i/>
        </w:rPr>
        <w:t xml:space="preserve"> </w:t>
      </w:r>
      <w:r>
        <w:rPr>
          <w:i/>
        </w:rPr>
        <w:t xml:space="preserve">frame, no</w:t>
      </w:r>
      <w:r>
        <w:rPr>
          <w:i/>
        </w:rPr>
        <w:t xml:space="preserve"> </w:t>
      </w:r>
      <w:r>
        <w:rPr>
          <w:i/>
        </w:rPr>
        <w:t xml:space="preserve">“</w:t>
      </w:r>
      <w:r>
        <w:rPr>
          <w:i/>
        </w:rPr>
        <w:t xml:space="preserve">language-strength score,</w:t>
      </w:r>
      <w:r>
        <w:rPr>
          <w:i/>
        </w:rPr>
        <w:t xml:space="preserve">”</w:t>
      </w:r>
      <w:r>
        <w:rPr>
          <w:i/>
        </w:rPr>
        <w:t xml:space="preserve"> </w:t>
      </w:r>
      <w:r>
        <w:rPr>
          <w:i/>
        </w:rPr>
        <w:t xml:space="preserve">every present-day figure and quotation either cited in the text or carried in the v11 verification ledger.</w:t>
      </w:r>
    </w:p>
    <w:p>
      <w:pPr>
        <w:pStyle w:val="BlockText"/>
      </w:pPr>
      <w:r>
        <w:t xml:space="preserve">“</w:t>
      </w:r>
      <w:r>
        <w:t xml:space="preserve">But to say that a man is a fiduciary only begins analysis; it gives direction to further inquiry. To whom is he a fiduciary? What obligations does he owe as a fiduciary?</w:t>
      </w:r>
      <w:r>
        <w:t xml:space="preserve">”</w:t>
      </w:r>
    </w:p>
    <w:p>
      <w:pPr>
        <w:pStyle w:val="BlockText"/>
      </w:pPr>
      <w:r>
        <w:t xml:space="preserve">— Justice Felix Frankfurter,</w:t>
      </w:r>
      <w:r>
        <w:t xml:space="preserve"> </w:t>
      </w:r>
      <w:r>
        <w:rPr>
          <w:i/>
        </w:rPr>
        <w:t xml:space="preserve">SEC v. Chenery Corp.</w:t>
      </w:r>
      <w:r>
        <w:t xml:space="preserve"> </w:t>
      </w:r>
      <w:r>
        <w:t xml:space="preserve">(1943)</w:t>
      </w:r>
    </w:p>
    <w:p>
      <w:r>
        <w:pict>
          <v:rect style="width:0;height:1.5pt" o:hralign="center" o:hrstd="t" o:hr="t"/>
        </w:pict>
      </w:r>
    </w:p>
    <w:p>
      <w:r>
        <w:br w:type="page"/>
      </w:r>
    </w:p>
    <w:p>
      <w:pPr>
        <w:pStyle w:val="Heading1"/>
      </w:pPr>
      <w:bookmarkStart w:id="60" w:name="X0fbc39ac66d30b4e93af9d89a97255e7da03a8e"/>
      <w:r>
        <w:t xml:space="preserve">Lens 1 — The Timeline: One Grant, Across a Century</w:t>
      </w:r>
      <w:bookmarkEnd w:id="60"/>
    </w:p>
    <w:p>
      <w:pPr>
        <w:pStyle w:val="CaptionedFigure"/>
      </w:pPr>
      <w:r>
        <w:drawing>
          <wp:inline>
            <wp:extent cx="5334000" cy="1506855"/>
            <wp:effectExtent b="0" l="0" r="0" t="0"/>
            <wp:docPr descr="Figure 2. One grant, across a century and a quarter. From the Land Ordinance of 1785 to the last grants in 1912, Congress wrote the same promise into one state after another — which the Supreme Court confirmed, in 1916, meant the same thing every time." title="" id="1" name="Picture"/>
            <a:graphic>
              <a:graphicData uri="http://schemas.openxmlformats.org/drawingml/2006/picture">
                <pic:pic>
                  <pic:nvPicPr>
                    <pic:cNvPr descr="/sessions/ecstatic-hopeful-cerf/tmp/tmpad7ap_2n/fig_timeline.jpg" id="0" name="Picture"/>
                    <pic:cNvPicPr>
                      <a:picLocks noChangeArrowheads="1" noChangeAspect="1"/>
                    </pic:cNvPicPr>
                  </pic:nvPicPr>
                  <pic:blipFill>
                    <a:blip r:embed="rId61"/>
                    <a:stretch>
                      <a:fillRect/>
                    </a:stretch>
                  </pic:blipFill>
                  <pic:spPr bwMode="auto">
                    <a:xfrm>
                      <a:off x="0" y="0"/>
                      <a:ext cx="5334000" cy="1506855"/>
                    </a:xfrm>
                    <a:prstGeom prst="rect">
                      <a:avLst/>
                    </a:prstGeom>
                    <a:noFill/>
                    <a:ln w="9525">
                      <a:noFill/>
                      <a:headEnd/>
                      <a:tailEnd/>
                    </a:ln>
                  </pic:spPr>
                </pic:pic>
              </a:graphicData>
            </a:graphic>
          </wp:inline>
        </w:drawing>
      </w:r>
    </w:p>
    <w:p>
      <w:pPr>
        <w:pStyle w:val="ImageCaption"/>
      </w:pPr>
      <w:r>
        <w:rPr>
          <w:b/>
        </w:rPr>
        <w:t xml:space="preserve">Figure 2. One grant, across a century and a quarter.</w:t>
      </w:r>
      <w:r>
        <w:t xml:space="preserve"> </w:t>
      </w:r>
      <w:r>
        <w:t xml:space="preserve">From the Land Ordinance of 1785 to the last grants in 1912, Congress wrote the same promise into one state after another — which the Supreme Court confirmed, in 1916, meant the same thing every time.</w:t>
      </w:r>
    </w:p>
    <w:p>
      <w:pPr>
        <w:pStyle w:val="BodyText"/>
      </w:pPr>
      <w:r>
        <w:rPr>
          <w:i/>
        </w:rPr>
        <w:t xml:space="preserve">What this lens reveals: the grant itself almost never changed. From 1785 to 1910 Congress handed each new state the same school reservation, in the same compact form, tightening only the price floor and — at the very end — the enforcement teeth. The constancy is the story. The terms below are quoted or cited from the statutes themselves; where a committee said</w:t>
      </w:r>
      <w:r>
        <w:rPr>
          <w:i/>
        </w:rPr>
        <w:t xml:space="preserve"> </w:t>
      </w:r>
      <w:r>
        <w:t xml:space="preserve">why</w:t>
      </w:r>
      <w:r>
        <w:rPr>
          <w:i/>
        </w:rPr>
        <w:t xml:space="preserve">, that is noted in the source files.</w:t>
      </w:r>
    </w:p>
    <w:p>
      <w:pPr>
        <w:pStyle w:val="BodyText"/>
      </w:pPr>
      <w:r>
        <w:rPr>
          <w:b/>
        </w:rPr>
        <w:t xml:space="preserve">1785 — The Land Ordinance.</w:t>
      </w:r>
      <w:r>
        <w:t xml:space="preserve"> </w:t>
      </w:r>
      <w:r>
        <w:t xml:space="preserve">The original grant. The Confederation Congress reserves</w:t>
      </w:r>
      <w:r>
        <w:t xml:space="preserve"> </w:t>
      </w:r>
      <w:r>
        <w:t xml:space="preserve">“</w:t>
      </w:r>
      <w:r>
        <w:t xml:space="preserve">lot No. 16 of every township, for the maintenance of public schools within the said township.</w:t>
      </w:r>
      <w:r>
        <w:t xml:space="preserve">”</w:t>
      </w:r>
      <w:r>
        <w:t xml:space="preserve"> </w:t>
      </w:r>
      <w:r>
        <w:t xml:space="preserve">This is the actual source of the school section — not the 1787 Northwest Ordinance, which governs how territories become states. The reservation is policy before it is a bargain. [Land Ordinance of 1785, sec. on lot 16; see Founding_Origins_Verified.]</w:t>
      </w:r>
    </w:p>
    <w:p>
      <w:pPr>
        <w:pStyle w:val="BodyText"/>
      </w:pPr>
      <w:r>
        <w:rPr>
          <w:b/>
        </w:rPr>
        <w:t xml:space="preserve">1802 — Ohio: the compact form is born.</w:t>
      </w:r>
      <w:r>
        <w:t xml:space="preserve"> </w:t>
      </w:r>
      <w:r>
        <w:t xml:space="preserve">Ohio is the first state carved from federal territory, and the first to receive section 16 as a</w:t>
      </w:r>
      <w:r>
        <w:t xml:space="preserve"> </w:t>
      </w:r>
      <w:r>
        <w:rPr>
          <w:i/>
        </w:rPr>
        <w:t xml:space="preserve">proposition offered for free acceptance or rejection, which, if accepted by the convention, shall be obligatory upon the United States.</w:t>
      </w:r>
      <w:r>
        <w:t xml:space="preserve"> </w:t>
      </w:r>
      <w:r>
        <w:t xml:space="preserve">Acceptance is locked by</w:t>
      </w:r>
      <w:r>
        <w:t xml:space="preserve"> </w:t>
      </w:r>
      <w:r>
        <w:t xml:space="preserve">“</w:t>
      </w:r>
      <w:r>
        <w:t xml:space="preserve">an ordinance irrevocable, without the consent of the United States.</w:t>
      </w:r>
      <w:r>
        <w:t xml:space="preserve">”</w:t>
      </w:r>
      <w:r>
        <w:t xml:space="preserve"> </w:t>
      </w:r>
      <w:r>
        <w:t xml:space="preserve">The school reservation is not argued — it rides forward as settled policy. The novelty is the</w:t>
      </w:r>
      <w:r>
        <w:t xml:space="preserve"> </w:t>
      </w:r>
      <w:r>
        <w:rPr>
          <w:b/>
        </w:rPr>
        <w:t xml:space="preserve">bilateral, binding-by-acceptance form</w:t>
      </w:r>
      <w:r>
        <w:t xml:space="preserve"> </w:t>
      </w:r>
      <w:r>
        <w:t xml:space="preserve">every later admission inherits. [2 Stat. 173, ch. 40, §7; quoted verbatim at 2 Stat. 175.]</w:t>
      </w:r>
    </w:p>
    <w:p>
      <w:pPr>
        <w:pStyle w:val="BodyText"/>
      </w:pPr>
      <w:r>
        <w:rPr>
          <w:b/>
        </w:rPr>
        <w:t xml:space="preserve">1859 — Oregon: the grant doubles, before the war.</w:t>
      </w:r>
      <w:r>
        <w:t xml:space="preserve"> </w:t>
      </w:r>
      <w:r>
        <w:t xml:space="preserve">Oregon enters with sections</w:t>
      </w:r>
      <w:r>
        <w:t xml:space="preserve"> </w:t>
      </w:r>
      <w:r>
        <w:rPr>
          <w:b/>
        </w:rPr>
        <w:t xml:space="preserve">16 and 36</w:t>
      </w:r>
      <w:r>
        <w:t xml:space="preserve"> </w:t>
      </w:r>
      <w:r>
        <w:t xml:space="preserve">of every township, ~3.4 million acres, and a constitution carrying an</w:t>
      </w:r>
      <w:r>
        <w:t xml:space="preserve"> </w:t>
      </w:r>
      <w:r>
        <w:t xml:space="preserve">“</w:t>
      </w:r>
      <w:r>
        <w:t xml:space="preserve">irreducible fund.</w:t>
      </w:r>
      <w:r>
        <w:t xml:space="preserve">”</w:t>
      </w:r>
      <w:r>
        <w:t xml:space="preserve"> </w:t>
      </w:r>
      <w:r>
        <w:t xml:space="preserve">The doubling to two sections opened with California in 1850 and was written into enabling-act machinery with Minnesota in 1858 — a full decade before the Civil War. The war did not cause the doubling. (Do not narrate a war-and-Reconstruction cause here — #36.) [3,399,360 acres, Atlas Table 1; Art. VIII §2.]</w:t>
      </w:r>
    </w:p>
    <w:p>
      <w:pPr>
        <w:pStyle w:val="BodyText"/>
      </w:pPr>
      <w:r>
        <w:rPr>
          <w:b/>
        </w:rPr>
        <w:t xml:space="preserve">1875 — Colorado: the first price floor.</w:t>
      </w:r>
      <w:r>
        <w:t xml:space="preserve"> </w:t>
      </w:r>
      <w:r>
        <w:t xml:space="preserve">Colorado’s act is the first to forbid the states from selling school land cheap: not less than</w:t>
      </w:r>
      <w:r>
        <w:t xml:space="preserve"> </w:t>
      </w:r>
      <w:r>
        <w:rPr>
          <w:b/>
        </w:rPr>
        <w:t xml:space="preserve">$2.50 per acre</w:t>
      </w:r>
      <w:r>
        <w:t xml:space="preserve">, at public sale, with a permanent fund required at the federal level. It is the first hardening above the lean Ohio template. No located committee or floor statement ties the $2.50 floor to a named scandal — the floor codified practices states were already adopting. [18 Stat. 474, ch. 139, §14; motive UNCONFIRMED — Territories_Committee_Records.]</w:t>
      </w:r>
    </w:p>
    <w:p>
      <w:pPr>
        <w:pStyle w:val="BodyText"/>
      </w:pPr>
      <w:r>
        <w:rPr>
          <w:b/>
        </w:rPr>
        <w:t xml:space="preserve">1889 — The Omnibus: a $10 floor and</w:t>
      </w:r>
      <w:r>
        <w:rPr>
          <w:b/>
        </w:rPr>
        <w:t xml:space="preserve"> </w:t>
      </w:r>
      <w:r>
        <w:rPr>
          <w:b/>
        </w:rPr>
        <w:t xml:space="preserve">“</w:t>
      </w:r>
      <w:r>
        <w:rPr>
          <w:b/>
        </w:rPr>
        <w:t xml:space="preserve">in trust.</w:t>
      </w:r>
      <w:r>
        <w:rPr>
          <w:b/>
        </w:rPr>
        <w:t xml:space="preserve">”</w:t>
      </w:r>
      <w:r>
        <w:t xml:space="preserve"> </w:t>
      </w:r>
      <w:r>
        <w:t xml:space="preserve">One act admits North Dakota, South Dakota, Montana, and Washington. It quadruples the floor to</w:t>
      </w:r>
      <w:r>
        <w:t xml:space="preserve"> </w:t>
      </w:r>
      <w:r>
        <w:rPr>
          <w:b/>
        </w:rPr>
        <w:t xml:space="preserve">$10 per acre</w:t>
      </w:r>
      <w:r>
        <w:t xml:space="preserve">, declares the grant held</w:t>
      </w:r>
      <w:r>
        <w:t xml:space="preserve"> </w:t>
      </w:r>
      <w:r>
        <w:t xml:space="preserve">“</w:t>
      </w:r>
      <w:r>
        <w:t xml:space="preserve">in trust,</w:t>
      </w:r>
      <w:r>
        <w:t xml:space="preserve">”</w:t>
      </w:r>
      <w:r>
        <w:t xml:space="preserve"> </w:t>
      </w:r>
      <w:r>
        <w:t xml:space="preserve">and adds a null-and-void clause for non-conforming sales. The Platt committee report that survives (S. Rept. 586, 1888) argues admission-readiness — population, railroads, schoolhouses — and does</w:t>
      </w:r>
      <w:r>
        <w:t xml:space="preserve"> </w:t>
      </w:r>
      <w:r>
        <w:rPr>
          <w:b/>
        </w:rPr>
        <w:t xml:space="preserve">not</w:t>
      </w:r>
      <w:r>
        <w:t xml:space="preserve"> </w:t>
      </w:r>
      <w:r>
        <w:t xml:space="preserve">state an anti-fraud motive for the trust or price-floor language. So the constancy is on the record; the</w:t>
      </w:r>
      <w:r>
        <w:t xml:space="preserve"> </w:t>
      </w:r>
      <w:r>
        <w:t xml:space="preserve">“</w:t>
      </w:r>
      <w:r>
        <w:t xml:space="preserve">teeth because of betrayal</w:t>
      </w:r>
      <w:r>
        <w:t xml:space="preserve">”</w:t>
      </w:r>
      <w:r>
        <w:t xml:space="preserve"> </w:t>
      </w:r>
      <w:r>
        <w:t xml:space="preserve">motive is not. [25 Stat. 676, ch. 180; S. Rept. 586 read in full — no abuse-response rationale found.]</w:t>
      </w:r>
    </w:p>
    <w:p>
      <w:pPr>
        <w:pStyle w:val="BodyText"/>
      </w:pPr>
      <w:r>
        <w:rPr>
          <w:b/>
        </w:rPr>
        <w:t xml:space="preserve">1894 — Utah: four sections.</w:t>
      </w:r>
      <w:r>
        <w:t xml:space="preserve"> </w:t>
      </w:r>
      <w:r>
        <w:t xml:space="preserve">Utah is the first state granted</w:t>
      </w:r>
      <w:r>
        <w:t xml:space="preserve"> </w:t>
      </w:r>
      <w:r>
        <w:rPr>
          <w:b/>
        </w:rPr>
        <w:t xml:space="preserve">four sections per township — 2, 16, 32, and 36</w:t>
      </w:r>
      <w:r>
        <w:t xml:space="preserve"> </w:t>
      </w:r>
      <w:r>
        <w:t xml:space="preserve">—</w:t>
      </w:r>
      <w:r>
        <w:t xml:space="preserve"> </w:t>
      </w:r>
      <w:r>
        <w:t xml:space="preserve">“</w:t>
      </w:r>
      <w:r>
        <w:t xml:space="preserve">for the support of common schools,</w:t>
      </w:r>
      <w:r>
        <w:t xml:space="preserve">”</w:t>
      </w:r>
      <w:r>
        <w:t xml:space="preserve"> </w:t>
      </w:r>
      <w:r>
        <w:t xml:space="preserve">with permanent-fund language. Congress is growing</w:t>
      </w:r>
      <w:r>
        <w:t xml:space="preserve"> </w:t>
      </w:r>
      <w:r>
        <w:rPr>
          <w:i/>
        </w:rPr>
        <w:t xml:space="preserve">more</w:t>
      </w:r>
      <w:r>
        <w:t xml:space="preserve"> </w:t>
      </w:r>
      <w:r>
        <w:t xml:space="preserve">generous with land, not less. [28 Stat. 107, ch. 138, §6.]</w:t>
      </w:r>
    </w:p>
    <w:p>
      <w:pPr>
        <w:pStyle w:val="BodyText"/>
      </w:pPr>
      <w:r>
        <w:rPr>
          <w:b/>
        </w:rPr>
        <w:t xml:space="preserve">1910 — New Mexico and Arizona: the enforcement engine.</w:t>
      </w:r>
      <w:r>
        <w:t xml:space="preserve"> </w:t>
      </w:r>
      <w:r>
        <w:t xml:space="preserve">The high-water mark. Section 10 (New Mexico) and section 28 (Arizona) of the 1910 Enabling Act say the lands</w:t>
      </w:r>
      <w:r>
        <w:t xml:space="preserve"> </w:t>
      </w:r>
      <w:r>
        <w:t xml:space="preserve">“</w:t>
      </w:r>
      <w:r>
        <w:t xml:space="preserve">shall be by the said state held in trust,</w:t>
      </w:r>
      <w:r>
        <w:t xml:space="preserve">”</w:t>
      </w:r>
      <w:r>
        <w:t xml:space="preserve"> </w:t>
      </w:r>
      <w:r>
        <w:t xml:space="preserve">that any diversion to a non-enumerated purpose</w:t>
      </w:r>
      <w:r>
        <w:t xml:space="preserve"> </w:t>
      </w:r>
      <w:r>
        <w:t xml:space="preserve">“</w:t>
      </w:r>
      <w:r>
        <w:t xml:space="preserve">shall be deemed a breach of trust,</w:t>
      </w:r>
      <w:r>
        <w:t xml:space="preserve">”</w:t>
      </w:r>
      <w:r>
        <w:t xml:space="preserve"> </w:t>
      </w:r>
      <w:r>
        <w:t xml:space="preserve">that non-conforming dispositions are</w:t>
      </w:r>
      <w:r>
        <w:t xml:space="preserve"> </w:t>
      </w:r>
      <w:r>
        <w:t xml:space="preserve">“</w:t>
      </w:r>
      <w:r>
        <w:t xml:space="preserve">null and void,</w:t>
      </w:r>
      <w:r>
        <w:t xml:space="preserve">”</w:t>
      </w:r>
      <w:r>
        <w:t xml:space="preserve"> </w:t>
      </w:r>
      <w:r>
        <w:t xml:space="preserve">and — uniquely — that it is</w:t>
      </w:r>
      <w:r>
        <w:t xml:space="preserve"> </w:t>
      </w:r>
      <w:r>
        <w:rPr>
          <w:b/>
        </w:rPr>
        <w:t xml:space="preserve">“</w:t>
      </w:r>
      <w:r>
        <w:rPr>
          <w:b/>
        </w:rPr>
        <w:t xml:space="preserve">the duty of the Attorney General of the United States to prosecute</w:t>
      </w:r>
      <w:r>
        <w:rPr>
          <w:b/>
        </w:rPr>
        <w:t xml:space="preserve">”</w:t>
      </w:r>
      <w:r>
        <w:t xml:space="preserve"> </w:t>
      </w:r>
      <w:r>
        <w:t xml:space="preserve">proceedings to enforce the trust. Express trust + named enforcer + breach definition: the first grant that builds in its own remedy. [36 Stat. 557, ch. 310, §§10, 28.]</w:t>
      </w:r>
    </w:p>
    <w:p>
      <w:pPr>
        <w:pStyle w:val="BodyText"/>
      </w:pPr>
      <w:r>
        <w:rPr>
          <w:b/>
        </w:rPr>
        <w:t xml:space="preserve">The 20th-century raids.</w:t>
      </w:r>
      <w:r>
        <w:t xml:space="preserve"> </w:t>
      </w:r>
      <w:r>
        <w:t xml:space="preserve">With the grants in place and the floors set, the losses came not from Congress but from the states. Fire-sales (Ohio, Kansas), sweetheart leases (Mississippi’s $7.50, 99-year forest leases), and fund raids (Utah’s 1982–83 corpus drain under Project BOLD) emptied trusts the statutes had carefully created. The text was constant; the stewardship was not. [Ch. 4; Hill v. Thompson; Jensen v. Dinehart.]</w:t>
      </w:r>
    </w:p>
    <w:p>
      <w:pPr>
        <w:pStyle w:val="BodyText"/>
      </w:pPr>
      <w:r>
        <w:rPr>
          <w:b/>
        </w:rPr>
        <w:t xml:space="preserve">The modern recoveries.</w:t>
      </w:r>
      <w:r>
        <w:t xml:space="preserve"> </w:t>
      </w:r>
      <w:r>
        <w:t xml:space="preserve">The same century produced the counter-pattern: New Mexico’s ~$32.6B Land Grant Permanent Fund built on enforced §10 trust terms; South Dakota’s Beadle legacy and the $10 floor; Utah’s recovery after the coalition that beat Project BOLD; Mississippi’s reform under Dick Molpus; North Dakota’s oil-driven ~$8.4B fund. Where a constituency organized and the text had teeth, the trusts came back. [Ch. 5; corpus figures dated and sourced in Chapter 4 and Lens 4.]</w:t>
      </w:r>
    </w:p>
    <w:p>
      <w:pPr>
        <w:pStyle w:val="BodyText"/>
      </w:pPr>
      <w:r>
        <w:rPr>
          <w:b/>
        </w:rPr>
        <w:t xml:space="preserve">2022 — The Elliott.</w:t>
      </w:r>
      <w:r>
        <w:t xml:space="preserve"> </w:t>
      </w:r>
      <w:r>
        <w:t xml:space="preserve">Oregon’s $221M Elliott State Forest</w:t>
      </w:r>
      <w:r>
        <w:t xml:space="preserve"> </w:t>
      </w:r>
      <w:r>
        <w:t xml:space="preserve">“</w:t>
      </w:r>
      <w:r>
        <w:t xml:space="preserve">buyout</w:t>
      </w:r>
      <w:r>
        <w:t xml:space="preserve">”</w:t>
      </w:r>
      <w:r>
        <w:t xml:space="preserve"> </w:t>
      </w:r>
      <w:r>
        <w:t xml:space="preserve">— a directed seizure dressed as compensated decoupling, with depressed</w:t>
      </w:r>
      <w:r>
        <w:t xml:space="preserve"> </w:t>
      </w:r>
      <w:r>
        <w:t xml:space="preserve">“</w:t>
      </w:r>
      <w:r>
        <w:t xml:space="preserve">investment value</w:t>
      </w:r>
      <w:r>
        <w:t xml:space="preserve">”</w:t>
      </w:r>
      <w:r>
        <w:t xml:space="preserve"> </w:t>
      </w:r>
      <w:r>
        <w:t xml:space="preserve">and circular funding. The newest entry in the raids column, and the live case study. [Ch. 4.]</w:t>
      </w:r>
    </w:p>
    <w:p>
      <w:pPr>
        <w:pStyle w:val="BodyText"/>
      </w:pPr>
      <w:r>
        <w:rPr>
          <w:i/>
        </w:rPr>
        <w:t xml:space="preserve">The throughline: across 125 years and four cohorts of statehood, Congress handed every new state the same school grant in the same compact form. What changed was small and late — a price floor in 1875, a higher one and</w:t>
      </w:r>
      <w:r>
        <w:rPr>
          <w:i/>
        </w:rPr>
        <w:t xml:space="preserve"> </w:t>
      </w:r>
      <w:r>
        <w:rPr>
          <w:i/>
        </w:rPr>
        <w:t xml:space="preserve">“</w:t>
      </w:r>
      <w:r>
        <w:rPr>
          <w:i/>
        </w:rPr>
        <w:t xml:space="preserve">in trust</w:t>
      </w:r>
      <w:r>
        <w:rPr>
          <w:i/>
        </w:rPr>
        <w:t xml:space="preserve">”</w:t>
      </w:r>
      <w:r>
        <w:rPr>
          <w:i/>
        </w:rPr>
        <w:t xml:space="preserve"> </w:t>
      </w:r>
      <w:r>
        <w:rPr>
          <w:i/>
        </w:rPr>
        <w:t xml:space="preserve">in 1889, an enforcement clause in 1910. The grant was the constant. The variable was always what each state did with it afterward.</w:t>
      </w:r>
    </w:p>
    <w:p>
      <w:pPr>
        <w:pStyle w:val="BlockText"/>
      </w:pPr>
      <w:r>
        <w:rPr>
          <w:b/>
        </w:rPr>
        <w:t xml:space="preserve">PULL-QUOTE:</w:t>
      </w:r>
      <w:r>
        <w:t xml:space="preserve"> </w:t>
      </w:r>
      <w:r>
        <w:t xml:space="preserve">“</w:t>
      </w:r>
      <w:r>
        <w:t xml:space="preserve">The grant was the constant. The variable was always what each state did with it afterward.</w:t>
      </w:r>
      <w:r>
        <w:t xml:space="preserve">”</w:t>
      </w:r>
    </w:p>
    <w:p>
      <w:r>
        <w:pict>
          <v:rect style="width:0;height:1.5pt" o:hralign="center" o:hrstd="t" o:hr="t"/>
        </w:pict>
      </w:r>
    </w:p>
    <w:p>
      <w:r>
        <w:br w:type="page"/>
      </w:r>
    </w:p>
    <w:p>
      <w:pPr>
        <w:pStyle w:val="Heading1"/>
      </w:pPr>
      <w:bookmarkStart w:id="62" w:name="X02ac1befa52f35ac6cd2c41fc2d317eddca79f4"/>
      <w:r>
        <w:t xml:space="preserve">Lens 2 — The Cases: How Courts Read the Trust</w:t>
      </w:r>
      <w:bookmarkEnd w:id="62"/>
    </w:p>
    <w:p>
      <w:pPr>
        <w:pStyle w:val="FirstParagraph"/>
      </w:pPr>
      <w:r>
        <w:rPr>
          <w:i/>
        </w:rPr>
        <w:t xml:space="preserve">What this lens reveals: courts have agreed the duty exists since 1855 — but whether a beneficiary can compel the trustee to perform turns on how explicit the founding text is. Read top to bottom, the cases split cleanly: the lean grants left the remedy contested; the express 1910-style grants produced real enforcement. Pinpoints carried from the Enforceability dossier and the Compact note and verified against primary sources; only the 2026 Oregon standing cite remains to be confirmed at publication.</w:t>
      </w:r>
    </w:p>
    <w:p>
      <w:pPr>
        <w:pStyle w:val="BodyText"/>
      </w:pPr>
      <w:r>
        <w:rPr>
          <w:b/>
        </w:rPr>
        <w:t xml:space="preserve">Cooper v. Roberts, 59 U.S. (18 How.) 173 (1855) – the contested foundation.</w:t>
      </w:r>
      <w:r>
        <w:t xml:space="preserve"> </w:t>
      </w:r>
      <w:r>
        <w:t xml:space="preserve">The Court recognizes the school-section grant as charitable in character, but the same opinion also describes the State’s power over the land as broad. So Cooper is double-edged: it is the existence baseline and the language nineteenth-century legislatures used to justify liquidating the lands. For pull-quote purposes, use only the approved quotation file’s verified Cooper passage (the</w:t>
      </w:r>
      <w:r>
        <w:t xml:space="preserve"> </w:t>
      </w:r>
      <w:r>
        <w:t xml:space="preserve">‘</w:t>
      </w:r>
      <w:r>
        <w:t xml:space="preserve">cherished policy</w:t>
      </w:r>
      <w:r>
        <w:t xml:space="preserve">’</w:t>
      </w:r>
      <w:r>
        <w:t xml:space="preserve"> </w:t>
      </w:r>
      <w:r>
        <w:t xml:space="preserve">line); keep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phrases out of display treatment until added to that file. [Enforceability dossier, Part B.]</w:t>
      </w:r>
    </w:p>
    <w:p>
      <w:pPr>
        <w:pStyle w:val="BodyText"/>
      </w:pPr>
      <w:r>
        <w:rPr>
          <w:b/>
        </w:rPr>
        <w:t xml:space="preserve">Alabama v. Schmidt, 232 U.S. 168 (1914) / Papasan v. Allain, 478 U.S. 265 (1986) — the honorary-trust problem.</w:t>
      </w:r>
      <w:r>
        <w:t xml:space="preserve"> </w:t>
      </w:r>
      <w:r>
        <w:t xml:space="preserve">Together these say the quiet part: under the lean early grants, the obligation may be merely</w:t>
      </w:r>
      <w:r>
        <w:t xml:space="preserve"> </w:t>
      </w:r>
      <w:r>
        <w:t xml:space="preserve">“</w:t>
      </w:r>
      <w:r>
        <w:t xml:space="preserve">honorary</w:t>
      </w:r>
      <w:r>
        <w:t xml:space="preserve">”</w:t>
      </w:r>
      <w:r>
        <w:t xml:space="preserve"> </w:t>
      </w:r>
      <w:r>
        <w:t xml:space="preserve">and the gift</w:t>
      </w:r>
      <w:r>
        <w:t xml:space="preserve"> </w:t>
      </w:r>
      <w:r>
        <w:t xml:space="preserve">“</w:t>
      </w:r>
      <w:r>
        <w:t xml:space="preserve">absolute</w:t>
      </w:r>
      <w:r>
        <w:t xml:space="preserve">”</w:t>
      </w:r>
      <w:r>
        <w:t xml:space="preserve"> </w:t>
      </w:r>
      <w:r>
        <w:t xml:space="preserve">(Schmidt), and it is</w:t>
      </w:r>
      <w:r>
        <w:t xml:space="preserve"> </w:t>
      </w:r>
      <w:r>
        <w:t xml:space="preserve">“</w:t>
      </w:r>
      <w:r>
        <w:t xml:space="preserve">not at all clear</w:t>
      </w:r>
      <w:r>
        <w:t xml:space="preserve">”</w:t>
      </w:r>
      <w:r>
        <w:t xml:space="preserve"> </w:t>
      </w:r>
      <w:r>
        <w:t xml:space="preserve">the early grants created a binding trust at all (Papasan) — which then barred the claim on Eleventh Amendment grounds even assuming a trust existed. The lesson is not that thin text made enforcement</w:t>
      </w:r>
      <w:r>
        <w:t xml:space="preserve"> </w:t>
      </w:r>
      <w:r>
        <w:rPr>
          <w:i/>
        </w:rPr>
        <w:t xml:space="preserve">harder</w:t>
      </w:r>
      <w:r>
        <w:t xml:space="preserve">; for the earliest grants it left open whether there was a federally enforceable trust to enforce at all. This is the problem the compact theory exists to solve. [Existence-vs-Enforceability memo, addendum.]</w:t>
      </w:r>
    </w:p>
    <w:p>
      <w:pPr>
        <w:pStyle w:val="BodyText"/>
      </w:pPr>
      <w:r>
        <w:rPr>
          <w:b/>
        </w:rPr>
        <w:t xml:space="preserve">Ervien v. United States, 251 U.S. 41 (1919) — the teeth bite.</w:t>
      </w:r>
      <w:r>
        <w:t xml:space="preserve"> </w:t>
      </w:r>
      <w:r>
        <w:t xml:space="preserve">The U.S. Attorney General actually sued New Mexico under the §10 enforcement clause and enjoined the Land Commissioner from spending trust proceeds to advertise the state’s resources. The Court read the trust purposes strictly: the enumeration is</w:t>
      </w:r>
      <w:r>
        <w:t xml:space="preserve"> </w:t>
      </w:r>
      <w:r>
        <w:t xml:space="preserve">“</w:t>
      </w:r>
      <w:r>
        <w:t xml:space="preserve">special and exact, precluding any supplementary or aiding sense,</w:t>
      </w:r>
      <w:r>
        <w:t xml:space="preserve">”</w:t>
      </w:r>
      <w:r>
        <w:t xml:space="preserve"> </w:t>
      </w:r>
      <w:r>
        <w:t xml:space="preserve">and</w:t>
      </w:r>
      <w:r>
        <w:t xml:space="preserve"> </w:t>
      </w:r>
      <w:r>
        <w:t xml:space="preserve">“</w:t>
      </w:r>
      <w:r>
        <w:t xml:space="preserve">preclud[es] any license of construction or liberties of inference.</w:t>
      </w:r>
      <w:r>
        <w:t xml:space="preserve">”</w:t>
      </w:r>
      <w:r>
        <w:t xml:space="preserve"> </w:t>
      </w:r>
      <w:r>
        <w:t xml:space="preserve">The single best proof an express enforcement clause works. (Do</w:t>
      </w:r>
      <w:r>
        <w:t xml:space="preserve"> </w:t>
      </w:r>
      <w:r>
        <w:rPr>
          <w:b/>
        </w:rPr>
        <w:t xml:space="preserve">not</w:t>
      </w:r>
      <w:r>
        <w:t xml:space="preserve"> </w:t>
      </w:r>
      <w:r>
        <w:t xml:space="preserve">attribute the</w:t>
      </w:r>
      <w:r>
        <w:t xml:space="preserve"> </w:t>
      </w:r>
      <w:r>
        <w:t xml:space="preserve">“</w:t>
      </w:r>
      <w:r>
        <w:t xml:space="preserve">they must be performed; they admit of no substitution; no addition</w:t>
      </w:r>
      <w:r>
        <w:t xml:space="preserve">”</w:t>
      </w:r>
      <w:r>
        <w:t xml:space="preserve"> </w:t>
      </w:r>
      <w:r>
        <w:t xml:space="preserve">line to Ervien — it is not in the opinion.) [251 U.S. at 47.]</w:t>
      </w:r>
    </w:p>
    <w:p>
      <w:pPr>
        <w:pStyle w:val="BodyText"/>
      </w:pPr>
      <w:r>
        <w:rPr>
          <w:b/>
        </w:rPr>
        <w:t xml:space="preserve">Lassen v. Arizona ex rel. Highway Dep’t, 385 U.S. 458 (1967) — a hard money remedy.</w:t>
      </w:r>
      <w:r>
        <w:t xml:space="preserve"> </w:t>
      </w:r>
      <w:r>
        <w:t xml:space="preserve">Construing the same 1910 trust terms, the Court holds the State must pay the trust the</w:t>
      </w:r>
      <w:r>
        <w:t xml:space="preserve"> </w:t>
      </w:r>
      <w:r>
        <w:rPr>
          <w:b/>
        </w:rPr>
        <w:t xml:space="preserve">full appraised value, in money,</w:t>
      </w:r>
      <w:r>
        <w:t xml:space="preserve"> </w:t>
      </w:r>
      <w:r>
        <w:t xml:space="preserve">for any rights-of-way or material sites it takes from trust land — no offset for speculative</w:t>
      </w:r>
      <w:r>
        <w:t xml:space="preserve"> </w:t>
      </w:r>
      <w:r>
        <w:t xml:space="preserve">“</w:t>
      </w:r>
      <w:r>
        <w:t xml:space="preserve">enhancement</w:t>
      </w:r>
      <w:r>
        <w:t xml:space="preserve">”</w:t>
      </w:r>
      <w:r>
        <w:t xml:space="preserve"> </w:t>
      </w:r>
      <w:r>
        <w:t xml:space="preserve">of the remaining land. The Act</w:t>
      </w:r>
      <w:r>
        <w:t xml:space="preserve"> </w:t>
      </w:r>
      <w:r>
        <w:t xml:space="preserve">“</w:t>
      </w:r>
      <w:r>
        <w:t xml:space="preserve">unequivocally demands</w:t>
      </w:r>
      <w:r>
        <w:t xml:space="preserve">”</w:t>
      </w:r>
      <w:r>
        <w:t xml:space="preserve"> </w:t>
      </w:r>
      <w:r>
        <w:t xml:space="preserve">the trust receive full value. Explicit terms produced an enforceable cash remedy. [385 U.S. at 465–69.]</w:t>
      </w:r>
    </w:p>
    <w:p>
      <w:pPr>
        <w:pStyle w:val="BodyText"/>
      </w:pPr>
      <w:r>
        <w:rPr>
          <w:b/>
        </w:rPr>
        <w:t xml:space="preserve">County of Skamania v. State, 102 Wn.2d 127 (1984) —</w:t>
      </w:r>
      <w:r>
        <w:rPr>
          <w:b/>
        </w:rPr>
        <w:t xml:space="preserve"> </w:t>
      </w:r>
      <w:r>
        <w:rPr>
          <w:b/>
        </w:rPr>
        <w:t xml:space="preserve">“</w:t>
      </w:r>
      <w:r>
        <w:rPr>
          <w:b/>
        </w:rPr>
        <w:t xml:space="preserve">real, not illusory.</w:t>
      </w:r>
      <w:r>
        <w:rPr>
          <w:b/>
        </w:rPr>
        <w:t xml:space="preserve">”</w:t>
      </w:r>
      <w:r>
        <w:t xml:space="preserve"> </w:t>
      </w:r>
      <w:r>
        <w:t xml:space="preserve">Washington imported</w:t>
      </w:r>
      <w:r>
        <w:t xml:space="preserve"> </w:t>
      </w:r>
      <w:r>
        <w:rPr>
          <w:i/>
        </w:rPr>
        <w:t xml:space="preserve">Lassen</w:t>
      </w:r>
      <w:r>
        <w:t xml:space="preserve">’s strict trust standard onto its older 1889 enabling act and struck down a timber-contract bailout for breaching the trustee’s undivided loyalty. Proof the strict reading is not confined to the 1910 states — a court will extend it to a leaner grant when the duty of loyalty is breached. [</w:t>
      </w:r>
      <w:r>
        <w:rPr>
          <w:i/>
        </w:rPr>
        <w:t xml:space="preserve">County of Skamania v. State</w:t>
      </w:r>
      <w:r>
        <w:t xml:space="preserve">, 102 Wn.2d 127 (1984); Compact note.]</w:t>
      </w:r>
    </w:p>
    <w:p>
      <w:pPr>
        <w:pStyle w:val="BodyText"/>
      </w:pPr>
      <w:r>
        <w:rPr>
          <w:b/>
        </w:rPr>
        <w:t xml:space="preserve">Andrus v. Utah, 446 U.S. 500 (1980) — the compact keystone.</w:t>
      </w:r>
      <w:r>
        <w:t xml:space="preserve"> </w:t>
      </w:r>
      <w:r>
        <w:t xml:space="preserve">The school-land grant was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the United States ceded land</w:t>
      </w:r>
      <w:r>
        <w:t xml:space="preserve"> </w:t>
      </w:r>
      <w:r>
        <w:t xml:space="preserve">“</w:t>
      </w:r>
      <w:r>
        <w:t xml:space="preserve">in exchange for a commitment by the State to use the revenues … to educate the citizenry.</w:t>
      </w:r>
      <w:r>
        <w:t xml:space="preserve">”</w:t>
      </w:r>
      <w:r>
        <w:t xml:space="preserve"> </w:t>
      </w:r>
      <w:r>
        <w:t xml:space="preserve">And the firewall:</w:t>
      </w:r>
      <w:r>
        <w:t xml:space="preserve"> </w:t>
      </w:r>
      <w:r>
        <w:t xml:space="preserve">“</w:t>
      </w:r>
      <w:r>
        <w:t xml:space="preserve">No State could divert school lands to other public uses without compensating the trust for the full market value of the interest taken.</w:t>
      </w:r>
      <w:r>
        <w:t xml:space="preserve">”</w:t>
      </w:r>
      <w:r>
        <w:t xml:space="preserve"> </w:t>
      </w:r>
      <w:r>
        <w:t xml:space="preserve">This is the doctrinal bridge over the honorary-trust problem — gift becomes contract. [446 U.S. at 507; VERIFIED against the opinion.]</w:t>
      </w:r>
    </w:p>
    <w:p>
      <w:pPr>
        <w:pStyle w:val="BodyText"/>
      </w:pPr>
      <w:r>
        <w:rPr>
          <w:b/>
        </w:rPr>
        <w:t xml:space="preserve">Kanaly v. State, 368 N.W.2d 819 (S.D. 1985) / Oklahoma Ed. Ass’n v. Nigh, 642 P.2d 230 (Okla. 1982) — the legislature’s hands are tied.</w:t>
      </w:r>
      <w:r>
        <w:t xml:space="preserve"> </w:t>
      </w:r>
      <w:r>
        <w:t xml:space="preserve">Kanaly calls 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w:t>
      </w:r>
      <w:r>
        <w:t xml:space="preserve"> </w:t>
      </w:r>
      <w:r>
        <w:t xml:space="preserve">“</w:t>
      </w:r>
      <w:r>
        <w:t xml:space="preserve">contract</w:t>
      </w:r>
      <w:r>
        <w:t xml:space="preserve">”</w:t>
      </w:r>
      <w:r>
        <w:t xml:space="preserve">; the legislature</w:t>
      </w:r>
      <w:r>
        <w:t xml:space="preserve"> </w:t>
      </w:r>
      <w:r>
        <w:t xml:space="preserve">“</w:t>
      </w:r>
      <w:r>
        <w:t xml:space="preserve">cannot give away trust property,</w:t>
      </w:r>
      <w:r>
        <w:t xml:space="preserve">”</w:t>
      </w:r>
      <w:r>
        <w:t xml:space="preserve"> </w:t>
      </w:r>
      <w:r>
        <w:t xml:space="preserve">and any disposition must return full value. Nigh holds the acceptance provisions</w:t>
      </w:r>
      <w:r>
        <w:t xml:space="preserve"> </w:t>
      </w:r>
      <w:r>
        <w:t xml:space="preserve">“</w:t>
      </w:r>
      <w:r>
        <w:t xml:space="preserve">constitute an irrevocable compact … which cannot be altered or abrogated.</w:t>
      </w:r>
      <w:r>
        <w:t xml:space="preserve">”</w:t>
      </w:r>
      <w:r>
        <w:t xml:space="preserve"> </w:t>
      </w:r>
      <w:r>
        <w:t xml:space="preserve">The sharpest statements that a sitting legislature cannot rewrite the deal by ordinary statute. [</w:t>
      </w:r>
      <w:r>
        <w:rPr>
          <w:i/>
        </w:rPr>
        <w:t xml:space="preserve">Kanaly v. State</w:t>
      </w:r>
      <w:r>
        <w:t xml:space="preserve">, 368 N.W.2d 819 (S.D. 1985);</w:t>
      </w:r>
      <w:r>
        <w:t xml:space="preserve"> </w:t>
      </w:r>
      <w:r>
        <w:rPr>
          <w:i/>
        </w:rPr>
        <w:t xml:space="preserve">Oklahoma Ed. Ass’n v. Nigh</w:t>
      </w:r>
      <w:r>
        <w:t xml:space="preserve">, 642 P.2d 230 (Okla. 1982); Compact note.]</w:t>
      </w:r>
    </w:p>
    <w:p>
      <w:pPr>
        <w:pStyle w:val="BodyText"/>
      </w:pPr>
      <w:r>
        <w:rPr>
          <w:b/>
        </w:rPr>
        <w:t xml:space="preserve">Advocates for School Trust Lands v. State of Oregon (Coos County 23CV39056; Or. Ct. App. A184055, reversed Jan. 28, 2026) — the live case.</w:t>
      </w:r>
      <w:r>
        <w:t xml:space="preserve"> </w:t>
      </w:r>
      <w:r>
        <w:t xml:space="preserve">Oregon’s Article VIII text is general — an</w:t>
      </w:r>
      <w:r>
        <w:t xml:space="preserve"> </w:t>
      </w:r>
      <w:r>
        <w:t xml:space="preserve">“</w:t>
      </w:r>
      <w:r>
        <w:t xml:space="preserve">irreducible fund,</w:t>
      </w:r>
      <w:r>
        <w:t xml:space="preserve">”</w:t>
      </w:r>
      <w:r>
        <w:t xml:space="preserve"> </w:t>
      </w:r>
      <w:r>
        <w:t xml:space="preserve">an executive trustee board, but no express enforcement clause. The result was a five-year war fought entirely</w:t>
      </w:r>
      <w:r>
        <w:t xml:space="preserve"> </w:t>
      </w:r>
      <w:r>
        <w:rPr>
          <w:i/>
        </w:rPr>
        <w:t xml:space="preserve">before</w:t>
      </w:r>
      <w:r>
        <w:t xml:space="preserve"> </w:t>
      </w:r>
      <w:r>
        <w:t xml:space="preserve">the merits: standing, justiciability, sovereign immunity, legislative immunity, Tort Claims Act notice. On January 28, 2026 the Court of Appeals reversed and held the beneficiaries have</w:t>
      </w:r>
      <w:r>
        <w:t xml:space="preserve"> </w:t>
      </w:r>
      <w:r>
        <w:rPr>
          <w:b/>
        </w:rPr>
        <w:t xml:space="preserve">standing</w:t>
      </w:r>
      <w:r>
        <w:t xml:space="preserve"> </w:t>
      </w:r>
      <w:r>
        <w:t xml:space="preserve">to sue the State over management of the Common School Fund — a catch-up standing win, not a first of its kind. The whole fight was over access to a remedy, not whether the duty existed. (case number, court, date, and standing holding confirmed; page pincite to be filled against the published opinion at publication).</w:t>
      </w:r>
    </w:p>
    <w:p>
      <w:pPr>
        <w:pStyle w:val="BodyText"/>
      </w:pPr>
      <w:r>
        <w:rPr>
          <w:i/>
        </w:rPr>
        <w:t xml:space="preserve">The split is clean. The duty has been recognized since 1855. But the lean grants left the remedy contested (Cooper, Schmidt, Papasan) or buried under a five-year procedural gauntlet (Oregon); the express grants produced a century of real enforcement (Ervien, Lassen, King v. Lyons); and the compact cases (Andrus, Kanaly, Nigh, Skamania) are the bridge between them — the move that turns a gift a legislature can rewrite into a contract it cannot.</w:t>
      </w:r>
    </w:p>
    <w:p>
      <w:r>
        <w:pict>
          <v:rect style="width:0;height:1.5pt" o:hralign="center" o:hrstd="t" o:hr="t"/>
        </w:pict>
      </w:r>
    </w:p>
    <w:p>
      <w:r>
        <w:br w:type="page"/>
      </w:r>
    </w:p>
    <w:p>
      <w:pPr>
        <w:pStyle w:val="Heading1"/>
      </w:pPr>
      <w:bookmarkStart w:id="63" w:name="X3c7f9f70721c4aab03c47a6c7d2ae3078fd73f1"/>
      <w:r>
        <w:t xml:space="preserve">Lens 3 — A Field Guide to the Kinds of Theft</w:t>
      </w:r>
      <w:bookmarkEnd w:id="63"/>
    </w:p>
    <w:p>
      <w:pPr>
        <w:pStyle w:val="FirstParagraph"/>
      </w:pPr>
      <w:r>
        <w:rPr>
          <w:i/>
        </w:rPr>
        <w:t xml:space="preserve">What this lens reveals: the trusts were not lost in one way. There are five distinct mechanisms, and once you can name them you can spot them anywhere — including in trusts being chartered today. One entry each: what it is, and one state where it happened.</w:t>
      </w:r>
    </w:p>
    <w:p>
      <w:pPr>
        <w:pStyle w:val="BodyText"/>
      </w:pPr>
      <w:r>
        <w:rPr>
          <w:b/>
        </w:rPr>
        <w:t xml:space="preserve">1. Drift.</w:t>
      </w:r>
      <w:r>
        <w:t xml:space="preserve"> </w:t>
      </w:r>
      <w:r>
        <w:rPr>
          <w:i/>
        </w:rPr>
        <w:t xml:space="preserve">Definition:</w:t>
      </w:r>
      <w:r>
        <w:t xml:space="preserve"> </w:t>
      </w:r>
      <w:r>
        <w:t xml:space="preserve">the slow, lawful-looking erosion of trust value through inattention — underpriced sales, uncollected rents, no permanent-fund discipline, no one watching — so the corpus bleeds out without a single dramatic act.</w:t>
      </w:r>
      <w:r>
        <w:t xml:space="preserve"> </w:t>
      </w:r>
      <w:r>
        <w:rPr>
          <w:i/>
        </w:rPr>
        <w:t xml:space="preserve">Example:</w:t>
      </w:r>
      <w:r>
        <w:t xml:space="preserve"> </w:t>
      </w:r>
      <w:r>
        <w:rPr>
          <w:b/>
        </w:rPr>
        <w:t xml:space="preserve">California</w:t>
      </w:r>
      <w:r>
        <w:t xml:space="preserve">, where the trust was lost largely by omission — no mechanism, no constituency, the endowment never built. [Ch. 5.]</w:t>
      </w:r>
    </w:p>
    <w:p>
      <w:pPr>
        <w:pStyle w:val="BodyText"/>
      </w:pPr>
      <w:r>
        <w:rPr>
          <w:b/>
        </w:rPr>
        <w:t xml:space="preserve">2. Fire-sale liquidation.</w:t>
      </w:r>
      <w:r>
        <w:t xml:space="preserve"> </w:t>
      </w:r>
      <w:r>
        <w:rPr>
          <w:i/>
        </w:rPr>
        <w:t xml:space="preserve">Definition:</w:t>
      </w:r>
      <w:r>
        <w:t xml:space="preserve"> </w:t>
      </w:r>
      <w:r>
        <w:t xml:space="preserve">selling trust land fast and cheap, often with no minimum price and no requirement to capitalize the proceeds, converting a perpetual endowment into a one-time spend.</w:t>
      </w:r>
      <w:r>
        <w:t xml:space="preserve"> </w:t>
      </w:r>
      <w:r>
        <w:rPr>
          <w:i/>
        </w:rPr>
        <w:t xml:space="preserve">Example:</w:t>
      </w:r>
      <w:r>
        <w:t xml:space="preserve"> </w:t>
      </w:r>
      <w:r>
        <w:rPr>
          <w:b/>
        </w:rPr>
        <w:t xml:space="preserve">Kansas</w:t>
      </w:r>
      <w:r>
        <w:t xml:space="preserve">, which</w:t>
      </w:r>
      <w:r>
        <w:t xml:space="preserve"> </w:t>
      </w:r>
      <w:r>
        <w:t xml:space="preserve">“</w:t>
      </w:r>
      <w:r>
        <w:t xml:space="preserve">did what Ohio did — sold fast, no mechanism</w:t>
      </w:r>
      <w:r>
        <w:t xml:space="preserve">”</w:t>
      </w:r>
      <w:r>
        <w:t xml:space="preserve"> </w:t>
      </w:r>
      <w:r>
        <w:t xml:space="preserve">— and Ohio itself, the original cautionary tale that the price floors of 1875 and 1889 were written to prevent. [Ch. 5.]</w:t>
      </w:r>
    </w:p>
    <w:p>
      <w:pPr>
        <w:pStyle w:val="BodyText"/>
      </w:pPr>
      <w:r>
        <w:rPr>
          <w:b/>
        </w:rPr>
        <w:t xml:space="preserve">3. Sweetheart lease.</w:t>
      </w:r>
      <w:r>
        <w:t xml:space="preserve"> </w:t>
      </w:r>
      <w:r>
        <w:rPr>
          <w:i/>
        </w:rPr>
        <w:t xml:space="preserve">Definition:</w:t>
      </w:r>
      <w:r>
        <w:t xml:space="preserve"> </w:t>
      </w:r>
      <w:r>
        <w:t xml:space="preserve">leasing trust land to insiders or favored interests at far below market rent, often for absurdly long terms, so the value flows to the lessee instead of the schools.</w:t>
      </w:r>
      <w:r>
        <w:t xml:space="preserve"> </w:t>
      </w:r>
      <w:r>
        <w:rPr>
          <w:i/>
        </w:rPr>
        <w:t xml:space="preserve">Example:</w:t>
      </w:r>
      <w:r>
        <w:t xml:space="preserve"> </w:t>
      </w:r>
      <w:r>
        <w:rPr>
          <w:b/>
        </w:rPr>
        <w:t xml:space="preserve">Mississippi</w:t>
      </w:r>
      <w:r>
        <w:t xml:space="preserve"> </w:t>
      </w:r>
      <w:r>
        <w:t xml:space="preserve">before reform — the notorious $7.50, 99-year forest leases litigated in</w:t>
      </w:r>
      <w:r>
        <w:t xml:space="preserve"> </w:t>
      </w:r>
      <w:r>
        <w:rPr>
          <w:i/>
        </w:rPr>
        <w:t xml:space="preserve">Hill v. Thompson</w:t>
      </w:r>
      <w:r>
        <w:t xml:space="preserve">; compare Arizona’s below-market grazing and the Fondomonte water lease. [Ch. 7; Hill v. Thompson.]</w:t>
      </w:r>
    </w:p>
    <w:p>
      <w:pPr>
        <w:pStyle w:val="BodyText"/>
      </w:pPr>
      <w:r>
        <w:rPr>
          <w:b/>
        </w:rPr>
        <w:t xml:space="preserve">4. Fund raid / diversion.</w:t>
      </w:r>
      <w:r>
        <w:t xml:space="preserve"> </w:t>
      </w:r>
      <w:r>
        <w:rPr>
          <w:i/>
        </w:rPr>
        <w:t xml:space="preserve">Definition:</w:t>
      </w:r>
      <w:r>
        <w:t xml:space="preserve"> </w:t>
      </w:r>
      <w:r>
        <w:t xml:space="preserve">spending the trust’s principal or redirecting its income to non-beneficiary purposes — raiding the corpus or skimming the stream.</w:t>
      </w:r>
      <w:r>
        <w:t xml:space="preserve"> </w:t>
      </w:r>
      <w:r>
        <w:rPr>
          <w:i/>
        </w:rPr>
        <w:t xml:space="preserve">Example:</w:t>
      </w:r>
      <w:r>
        <w:t xml:space="preserve"> </w:t>
      </w:r>
      <w:r>
        <w:rPr>
          <w:b/>
        </w:rPr>
        <w:t xml:space="preserve">Utah’s</w:t>
      </w:r>
      <w:r>
        <w:t xml:space="preserve"> </w:t>
      </w:r>
      <w:r>
        <w:t xml:space="preserve">1982–83 corpus drain under Project BOLD (the raid that provoked the recovery — note</w:t>
      </w:r>
      <w:r>
        <w:t xml:space="preserve"> </w:t>
      </w:r>
      <w:r>
        <w:rPr>
          <w:i/>
        </w:rPr>
        <w:t xml:space="preserve">Jensen v. Dinehart</w:t>
      </w:r>
      <w:r>
        <w:t xml:space="preserve"> </w:t>
      </w:r>
      <w:r>
        <w:t xml:space="preserve">is the trust</w:t>
      </w:r>
      <w:r>
        <w:t xml:space="preserve"> </w:t>
      </w:r>
      <w:r>
        <w:rPr>
          <w:i/>
        </w:rPr>
        <w:t xml:space="preserve">winning</w:t>
      </w:r>
      <w:r>
        <w:t xml:space="preserve">, do not invert); compare Colorado’s gross-income BEST diversion (engage it, but the corpus there actually grows on royalties — drop the</w:t>
      </w:r>
      <w:r>
        <w:t xml:space="preserve"> </w:t>
      </w:r>
      <w:r>
        <w:t xml:space="preserve">“</w:t>
      </w:r>
      <w:r>
        <w:t xml:space="preserve">spending the seed corn</w:t>
      </w:r>
      <w:r>
        <w:t xml:space="preserve">”</w:t>
      </w:r>
      <w:r>
        <w:t xml:space="preserve"> </w:t>
      </w:r>
      <w:r>
        <w:t xml:space="preserve">overstatement). [Ch. 5; Jensen v. Dinehart.]</w:t>
      </w:r>
    </w:p>
    <w:p>
      <w:pPr>
        <w:pStyle w:val="BodyText"/>
      </w:pPr>
      <w:r>
        <w:rPr>
          <w:b/>
        </w:rPr>
        <w:t xml:space="preserve">5. Self-dealing sham.</w:t>
      </w:r>
      <w:r>
        <w:t xml:space="preserve"> </w:t>
      </w:r>
      <w:r>
        <w:rPr>
          <w:i/>
        </w:rPr>
        <w:t xml:space="preserve">Definition:</w:t>
      </w:r>
      <w:r>
        <w:t xml:space="preserve"> </w:t>
      </w:r>
      <w:r>
        <w:t xml:space="preserve">a transaction structured to look like a compensated, arm’s-length deal but in fact engineered by the trustee for its own ends — a depressed valuation, circular funding, a directed outcome dressed as a market sale.</w:t>
      </w:r>
      <w:r>
        <w:t xml:space="preserve"> </w:t>
      </w:r>
      <w:r>
        <w:rPr>
          <w:i/>
        </w:rPr>
        <w:t xml:space="preserve">Example:</w:t>
      </w:r>
      <w:r>
        <w:t xml:space="preserve"> </w:t>
      </w:r>
      <w:r>
        <w:rPr>
          <w:b/>
        </w:rPr>
        <w:t xml:space="preserve">Oregon’s</w:t>
      </w:r>
      <w:r>
        <w:t xml:space="preserve"> </w:t>
      </w:r>
      <w:r>
        <w:t xml:space="preserve">Elliott State Forest</w:t>
      </w:r>
      <w:r>
        <w:t xml:space="preserve"> </w:t>
      </w:r>
      <w:r>
        <w:t xml:space="preserve">“</w:t>
      </w:r>
      <w:r>
        <w:t xml:space="preserve">$221M buyout</w:t>
      </w:r>
      <w:r>
        <w:t xml:space="preserve">”</w:t>
      </w:r>
      <w:r>
        <w:t xml:space="preserve"> </w:t>
      </w:r>
      <w:r>
        <w:t xml:space="preserve">— a directed seizure with a depressed</w:t>
      </w:r>
      <w:r>
        <w:t xml:space="preserve"> </w:t>
      </w:r>
      <w:r>
        <w:t xml:space="preserve">“</w:t>
      </w:r>
      <w:r>
        <w:t xml:space="preserve">investment value</w:t>
      </w:r>
      <w:r>
        <w:t xml:space="preserve">”</w:t>
      </w:r>
      <w:r>
        <w:t xml:space="preserve"> </w:t>
      </w:r>
      <w:r>
        <w:t xml:space="preserve">and circular funding, not the compensated decoupling the State calls it. [Ch. 4.]</w:t>
      </w:r>
    </w:p>
    <w:p>
      <w:pPr>
        <w:pStyle w:val="BodyText"/>
      </w:pPr>
      <w:r>
        <w:rPr>
          <w:i/>
        </w:rPr>
        <w:t xml:space="preserve">Five mechanisms, one pattern: in every case the trustee — the State itself — found a way to serve some interest other than the beneficiary. The trust’s only defense is a charter that names the breach in advance and gives someone standing to stop it.</w:t>
      </w:r>
    </w:p>
    <w:p>
      <w:r>
        <w:pict>
          <v:rect style="width:0;height:1.5pt" o:hralign="center" o:hrstd="t" o:hr="t"/>
        </w:pict>
      </w:r>
    </w:p>
    <w:p>
      <w:r>
        <w:br w:type="page"/>
      </w:r>
    </w:p>
    <w:p>
      <w:pPr>
        <w:pStyle w:val="Heading1"/>
      </w:pPr>
      <w:bookmarkStart w:id="64" w:name="Xd60d1208b308a58abd9571e6a071ae0ff88126c"/>
      <w:r>
        <w:t xml:space="preserve">Lens 4 — The Comparative Matrix: Keyed to Enforceability</w:t>
      </w:r>
      <w:bookmarkEnd w:id="64"/>
    </w:p>
    <w:p>
      <w:pPr>
        <w:pStyle w:val="FirstParagraph"/>
      </w:pPr>
      <w:r>
        <w:rPr>
          <w:i/>
        </w:rPr>
        <w:t xml:space="preserve">What this lens reveals: the old instinct was to rank states by how strong their trust</w:t>
      </w:r>
      <w:r>
        <w:rPr>
          <w:i/>
        </w:rPr>
        <w:t xml:space="preserve"> </w:t>
      </w:r>
      <w:r>
        <w:t xml:space="preserve">language* sounds. That score is retired (#3) — it predicts almost nothing. New Mexico and Arizona have the identical federal text and funds that differ by more than three to one. What actually determines whether a beneficiary can compel performance is the</w:t>
      </w:r>
      <w:r>
        <w:t xml:space="preserve"> </w:t>
      </w:r>
      <w:r>
        <w:rPr>
          <w:b/>
        </w:rPr>
        <w:t xml:space="preserve">remedy structure</w:t>
      </w:r>
      <w:r>
        <w:t xml:space="preserve">: is there express trust text, a named trustee, a sovereign-immunity waiver, an identified enforcer, and how hard is the founding deal to amend. The matrix below re-cuts the Atlas on those axes. The anchor states (TX, NM, AZ, UT, OR, WA, ND, NV) are populated from verified sources with dated corpus figures; the lower block (OH, CA, CO, MN, MT, MS, SD) shows the outcome column only, with the structural columns still to be filled from the Comparative Atlas before final print — they now say</w:t>
      </w:r>
      <w:r>
        <w:t xml:space="preserve"> </w:t>
      </w:r>
      <w:r>
        <w:t xml:space="preserve">‘</w:t>
      </w:r>
      <w:r>
        <w:t xml:space="preserve">deferred to Atlas</w:t>
      </w:r>
      <w:r>
        <w:t xml:space="preserve">’</w:t>
      </w:r>
      <w:r>
        <w:t xml:space="preserve"> </w:t>
      </w:r>
      <w:r>
        <w:t xml:space="preserve">rather than carrying print-facing verification brackets.*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Express</w:t>
            </w:r>
            <w:r>
              <w:t xml:space="preserve"> </w:t>
            </w:r>
            <w:r>
              <w:t xml:space="preserve">“</w:t>
            </w:r>
            <w:r>
              <w:t xml:space="preserve">in trust</w:t>
            </w:r>
            <w:r>
              <w:t xml:space="preserve">”</w:t>
            </w:r>
            <w:r>
              <w:t xml:space="preserve"> </w:t>
            </w:r>
            <w:r>
              <w:t xml:space="preserve">text?</w:t>
            </w:r>
          </w:p>
        </w:tc>
        <w:tc>
          <w:tcPr>
            <w:tcBorders>
              <w:bottom w:val="single"/>
            </w:tcBorders>
            <w:vAlign w:val="bottom"/>
          </w:tcPr>
          <w:p>
            <w:pPr>
              <w:pStyle w:val="Compact"/>
              <w:jc w:val="left"/>
            </w:pPr>
            <w:r>
              <w:t xml:space="preserve">Named trustee?</w:t>
            </w:r>
          </w:p>
        </w:tc>
        <w:tc>
          <w:tcPr>
            <w:tcBorders>
              <w:bottom w:val="single"/>
            </w:tcBorders>
            <w:vAlign w:val="bottom"/>
          </w:tcPr>
          <w:p>
            <w:pPr>
              <w:pStyle w:val="Compact"/>
              <w:jc w:val="left"/>
            </w:pPr>
            <w:r>
              <w:t xml:space="preserve">Sovereign-immunity waiver / standing?</w:t>
            </w:r>
          </w:p>
        </w:tc>
        <w:tc>
          <w:tcPr>
            <w:tcBorders>
              <w:bottom w:val="single"/>
            </w:tcBorders>
            <w:vAlign w:val="bottom"/>
          </w:tcPr>
          <w:p>
            <w:pPr>
              <w:pStyle w:val="Compact"/>
              <w:jc w:val="left"/>
            </w:pPr>
            <w:r>
              <w:t xml:space="preserve">Enforcer identity</w:t>
            </w:r>
          </w:p>
        </w:tc>
        <w:tc>
          <w:tcPr>
            <w:tcBorders>
              <w:bottom w:val="single"/>
            </w:tcBorders>
            <w:vAlign w:val="bottom"/>
          </w:tcPr>
          <w:p>
            <w:pPr>
              <w:pStyle w:val="Compact"/>
              <w:jc w:val="left"/>
            </w:pPr>
            <w:r>
              <w:t xml:space="preserve">Amendment difficulty</w:t>
            </w:r>
          </w:p>
        </w:tc>
        <w:tc>
          <w:tcPr>
            <w:tcBorders>
              <w:bottom w:val="single"/>
            </w:tcBorders>
            <w:vAlign w:val="bottom"/>
          </w:tcPr>
          <w:p>
            <w:pPr>
              <w:pStyle w:val="Compact"/>
              <w:jc w:val="left"/>
            </w:pPr>
            <w:r>
              <w:t xml:space="preserve">Outcome</w:t>
            </w:r>
          </w:p>
        </w:tc>
      </w:tr>
      <w:tr>
        <w:tc>
          <w:p>
            <w:pPr>
              <w:pStyle w:val="Compact"/>
              <w:jc w:val="left"/>
            </w:pPr>
            <w:r>
              <w:rPr>
                <w:b/>
              </w:rPr>
              <w:t xml:space="preserve">TX</w:t>
            </w:r>
          </w:p>
        </w:tc>
        <w:tc>
          <w:p>
            <w:pPr>
              <w:pStyle w:val="Compact"/>
              <w:jc w:val="left"/>
            </w:pPr>
            <w:r>
              <w:t xml:space="preserve">No federal grant; state-derived (Art. VII)</w:t>
            </w:r>
          </w:p>
        </w:tc>
        <w:tc>
          <w:p>
            <w:pPr>
              <w:pStyle w:val="Compact"/>
              <w:jc w:val="left"/>
            </w:pPr>
            <w:r>
              <w:t xml:space="preserve">Yes — School Land Board / GLO (elected Commissioner)</w:t>
            </w:r>
          </w:p>
        </w:tc>
        <w:tc>
          <w:p>
            <w:pPr>
              <w:pStyle w:val="Compact"/>
              <w:jc w:val="left"/>
            </w:pPr>
            <w:r>
              <w:t xml:space="preserve">State constitutional standing; no §10-style federal route</w:t>
            </w:r>
          </w:p>
        </w:tc>
        <w:tc>
          <w:p>
            <w:pPr>
              <w:pStyle w:val="Compact"/>
              <w:jc w:val="left"/>
            </w:pPr>
            <w:r>
              <w:t xml:space="preserve">Beneficiaries / state officers via Art. VII</w:t>
            </w:r>
          </w:p>
        </w:tc>
        <w:tc>
          <w:p>
            <w:pPr>
              <w:pStyle w:val="Compact"/>
              <w:jc w:val="left"/>
            </w:pPr>
            <w:r>
              <w:t xml:space="preserve">Constitutional amendment (hard)</w:t>
            </w:r>
          </w:p>
        </w:tc>
        <w:tc>
          <w:p>
            <w:pPr>
              <w:pStyle w:val="Compact"/>
              <w:jc w:val="left"/>
            </w:pPr>
            <w:r>
              <w:t xml:space="preserve">PSF ~$60.6B [AS OF Aug. 31, 2025] — largest in nation</w:t>
            </w:r>
          </w:p>
        </w:tc>
      </w:tr>
      <w:tr>
        <w:tc>
          <w:p>
            <w:pPr>
              <w:pStyle w:val="Compact"/>
              <w:jc w:val="left"/>
            </w:pPr>
            <w:r>
              <w:rPr>
                <w:b/>
              </w:rPr>
              <w:t xml:space="preserve">NM</w:t>
            </w:r>
          </w:p>
        </w:tc>
        <w:tc>
          <w:p>
            <w:pPr>
              <w:pStyle w:val="Compact"/>
              <w:jc w:val="left"/>
            </w:pPr>
            <w:r>
              <w:rPr>
                <w:b/>
              </w:rPr>
              <w:t xml:space="preserve">Yes</w:t>
            </w:r>
            <w:r>
              <w:t xml:space="preserve"> </w:t>
            </w:r>
            <w:r>
              <w:t xml:space="preserve">— 1910 Act §10,</w:t>
            </w:r>
            <w:r>
              <w:t xml:space="preserve"> </w:t>
            </w:r>
            <w:r>
              <w:t xml:space="preserve">“</w:t>
            </w:r>
            <w:r>
              <w:t xml:space="preserve">held in trust,</w:t>
            </w:r>
            <w:r>
              <w:t xml:space="preserve">”</w:t>
            </w:r>
            <w:r>
              <w:t xml:space="preserve"> </w:t>
            </w:r>
            <w:r>
              <w:t xml:space="preserve">“</w:t>
            </w:r>
            <w:r>
              <w:t xml:space="preserve">breach of trust,</w:t>
            </w:r>
            <w:r>
              <w:t xml:space="preserve">”</w:t>
            </w:r>
            <w:r>
              <w:t xml:space="preserve"> </w:t>
            </w:r>
            <w:r>
              <w:t xml:space="preserve">“</w:t>
            </w:r>
            <w:r>
              <w:t xml:space="preserve">null and void</w:t>
            </w:r>
            <w:r>
              <w:t xml:space="preserve">”</w:t>
            </w:r>
          </w:p>
        </w:tc>
        <w:tc>
          <w:p>
            <w:pPr>
              <w:pStyle w:val="Compact"/>
              <w:jc w:val="left"/>
            </w:pPr>
            <w:r>
              <w:t xml:space="preserve">Yes — Commissioner of Public Lands (elected)</w:t>
            </w:r>
          </w:p>
        </w:tc>
        <w:tc>
          <w:p>
            <w:pPr>
              <w:pStyle w:val="Compact"/>
              <w:jc w:val="left"/>
            </w:pPr>
            <w:r>
              <w:t xml:space="preserve">Federal route: AG</w:t>
            </w:r>
            <w:r>
              <w:t xml:space="preserve"> </w:t>
            </w:r>
            <w:r>
              <w:rPr>
                <w:i/>
              </w:rPr>
              <w:t xml:space="preserve">must</w:t>
            </w:r>
            <w:r>
              <w:t xml:space="preserve"> </w:t>
            </w:r>
            <w:r>
              <w:t xml:space="preserve">sue; compact is</w:t>
            </w:r>
            <w:r>
              <w:t xml:space="preserve"> </w:t>
            </w:r>
            <w:r>
              <w:t xml:space="preserve">“</w:t>
            </w:r>
            <w:r>
              <w:t xml:space="preserve">fundamental law</w:t>
            </w:r>
            <w:r>
              <w:t xml:space="preserve">”</w:t>
            </w:r>
          </w:p>
        </w:tc>
        <w:tc>
          <w:p>
            <w:pPr>
              <w:pStyle w:val="Compact"/>
              <w:jc w:val="left"/>
            </w:pPr>
            <w:r>
              <w:rPr>
                <w:b/>
              </w:rPr>
              <w:t xml:space="preserve">U.S. Attorney General</w:t>
            </w:r>
            <w:r>
              <w:t xml:space="preserve"> </w:t>
            </w:r>
            <w:r>
              <w:t xml:space="preserve">(express §10 mandate) + state AG mandamus</w:t>
            </w:r>
          </w:p>
        </w:tc>
        <w:tc>
          <w:p>
            <w:pPr>
              <w:pStyle w:val="Compact"/>
              <w:jc w:val="left"/>
            </w:pPr>
            <w:r>
              <w:t xml:space="preserve">Enabling Act = fundamental law; near-irrevocable</w:t>
            </w:r>
          </w:p>
        </w:tc>
        <w:tc>
          <w:p>
            <w:pPr>
              <w:pStyle w:val="Compact"/>
              <w:jc w:val="left"/>
            </w:pPr>
            <w:r>
              <w:t xml:space="preserve">LGPF ~$32.6B [AS OF Oct. 31, 2024];</w:t>
            </w:r>
            <w:r>
              <w:t xml:space="preserve"> </w:t>
            </w:r>
            <w:r>
              <w:rPr>
                <w:i/>
              </w:rPr>
              <w:t xml:space="preserve">Ervien</w:t>
            </w:r>
            <w:r>
              <w:t xml:space="preserve">,</w:t>
            </w:r>
            <w:r>
              <w:t xml:space="preserve"> </w:t>
            </w:r>
            <w:r>
              <w:rPr>
                <w:i/>
              </w:rPr>
              <w:t xml:space="preserve">King v. Lyons</w:t>
            </w:r>
            <w:r>
              <w:t xml:space="preserve"> </w:t>
            </w:r>
            <w:r>
              <w:t xml:space="preserve">enforced</w:t>
            </w:r>
          </w:p>
        </w:tc>
      </w:tr>
      <w:tr>
        <w:tc>
          <w:p>
            <w:pPr>
              <w:pStyle w:val="Compact"/>
              <w:jc w:val="left"/>
            </w:pPr>
            <w:r>
              <w:rPr>
                <w:b/>
              </w:rPr>
              <w:t xml:space="preserve">AZ</w:t>
            </w:r>
          </w:p>
        </w:tc>
        <w:tc>
          <w:p>
            <w:pPr>
              <w:pStyle w:val="Compact"/>
              <w:jc w:val="left"/>
            </w:pPr>
            <w:r>
              <w:rPr>
                <w:b/>
              </w:rPr>
              <w:t xml:space="preserve">Yes</w:t>
            </w:r>
            <w:r>
              <w:t xml:space="preserve"> </w:t>
            </w:r>
            <w:r>
              <w:t xml:space="preserve">— 1910 Act §28 (parallel to §10)</w:t>
            </w:r>
          </w:p>
        </w:tc>
        <w:tc>
          <w:p>
            <w:pPr>
              <w:pStyle w:val="Compact"/>
              <w:jc w:val="left"/>
            </w:pPr>
            <w:r>
              <w:t xml:space="preserve">Yes — State Land Dept. (appointed Commissioner)</w:t>
            </w:r>
          </w:p>
        </w:tc>
        <w:tc>
          <w:p>
            <w:pPr>
              <w:pStyle w:val="Compact"/>
              <w:jc w:val="left"/>
            </w:pPr>
            <w:r>
              <w:t xml:space="preserve">Federal §28 route +</w:t>
            </w:r>
            <w:r>
              <w:t xml:space="preserve"> </w:t>
            </w:r>
            <w:r>
              <w:rPr>
                <w:i/>
              </w:rPr>
              <w:t xml:space="preserve">Lassen</w:t>
            </w:r>
            <w:r>
              <w:t xml:space="preserve"> </w:t>
            </w:r>
            <w:r>
              <w:t xml:space="preserve">full-value rule</w:t>
            </w:r>
          </w:p>
        </w:tc>
        <w:tc>
          <w:p>
            <w:pPr>
              <w:pStyle w:val="Compact"/>
              <w:jc w:val="left"/>
            </w:pPr>
            <w:r>
              <w:t xml:space="preserve">U.S. Attorney General (express)</w:t>
            </w:r>
          </w:p>
        </w:tc>
        <w:tc>
          <w:p>
            <w:pPr>
              <w:pStyle w:val="Compact"/>
              <w:jc w:val="left"/>
            </w:pPr>
            <w:r>
              <w:t xml:space="preserve">Enabling Act = fundamental law</w:t>
            </w:r>
          </w:p>
        </w:tc>
        <w:tc>
          <w:p>
            <w:pPr>
              <w:pStyle w:val="Compact"/>
              <w:jc w:val="left"/>
            </w:pPr>
            <w:r>
              <w:t xml:space="preserve">Permanent Land Endowment ~$9.9B [AS OF Nov. 30, 2025] — same text as NM, a fraction of the corpus</w:t>
            </w:r>
          </w:p>
        </w:tc>
      </w:tr>
      <w:tr>
        <w:tc>
          <w:p>
            <w:pPr>
              <w:pStyle w:val="Compact"/>
              <w:jc w:val="left"/>
            </w:pPr>
            <w:r>
              <w:rPr>
                <w:b/>
              </w:rPr>
              <w:t xml:space="preserve">UT</w:t>
            </w:r>
          </w:p>
        </w:tc>
        <w:tc>
          <w:p>
            <w:pPr>
              <w:pStyle w:val="Compact"/>
              <w:jc w:val="left"/>
            </w:pPr>
            <w:r>
              <w:t xml:space="preserve">Partial — 1894 Act + Art. X;</w:t>
            </w:r>
            <w:r>
              <w:t xml:space="preserve"> </w:t>
            </w:r>
            <w:r>
              <w:t xml:space="preserve">“</w:t>
            </w:r>
            <w:r>
              <w:t xml:space="preserve">permanent,</w:t>
            </w:r>
            <w:r>
              <w:t xml:space="preserve">”</w:t>
            </w:r>
            <w:r>
              <w:t xml:space="preserve"> </w:t>
            </w:r>
            <w:r>
              <w:t xml:space="preserve">irreducible by name</w:t>
            </w:r>
          </w:p>
        </w:tc>
        <w:tc>
          <w:p>
            <w:pPr>
              <w:pStyle w:val="Compact"/>
              <w:jc w:val="left"/>
            </w:pPr>
            <w:r>
              <w:t xml:space="preserve">Yes — SITLA (agency, statutory)</w:t>
            </w:r>
          </w:p>
        </w:tc>
        <w:tc>
          <w:p>
            <w:pPr>
              <w:pStyle w:val="Compact"/>
              <w:jc w:val="left"/>
            </w:pPr>
            <w:r>
              <w:t xml:space="preserve">State standing; recovery via state courts (</w:t>
            </w:r>
            <w:r>
              <w:rPr>
                <w:i/>
              </w:rPr>
              <w:t xml:space="preserve">Jensen</w:t>
            </w:r>
            <w:r>
              <w:t xml:space="preserve">)</w:t>
            </w:r>
          </w:p>
        </w:tc>
        <w:tc>
          <w:p>
            <w:pPr>
              <w:pStyle w:val="Compact"/>
              <w:jc w:val="left"/>
            </w:pPr>
            <w:r>
              <w:t xml:space="preserve">State officers / coalition; no federal §10 enforcer</w:t>
            </w:r>
          </w:p>
        </w:tc>
        <w:tc>
          <w:p>
            <w:pPr>
              <w:pStyle w:val="Compact"/>
              <w:jc w:val="left"/>
            </w:pPr>
            <w:r>
              <w:t xml:space="preserve">Constitutional (hard)</w:t>
            </w:r>
          </w:p>
        </w:tc>
        <w:tc>
          <w:p>
            <w:pPr>
              <w:pStyle w:val="Compact"/>
              <w:jc w:val="left"/>
            </w:pPr>
            <w:r>
              <w:t xml:space="preserve">Permanent State School Fund ~$3.7B [AS OF 2025]; recovered after Project BOLD raid</w:t>
            </w:r>
          </w:p>
        </w:tc>
      </w:tr>
      <w:tr>
        <w:tc>
          <w:p>
            <w:pPr>
              <w:pStyle w:val="Compact"/>
              <w:jc w:val="left"/>
            </w:pPr>
            <w:r>
              <w:rPr>
                <w:b/>
              </w:rPr>
              <w:t xml:space="preserve">OR</w:t>
            </w:r>
          </w:p>
        </w:tc>
        <w:tc>
          <w:p>
            <w:pPr>
              <w:pStyle w:val="Compact"/>
              <w:jc w:val="left"/>
            </w:pPr>
            <w:r>
              <w:t xml:space="preserve">No express trust/enforcement clause — Art. VIII general (</w:t>
            </w:r>
            <w:r>
              <w:t xml:space="preserve">“</w:t>
            </w:r>
            <w:r>
              <w:t xml:space="preserve">irreducible fund</w:t>
            </w:r>
            <w:r>
              <w:t xml:space="preserve">”</w:t>
            </w:r>
            <w:r>
              <w:t xml:space="preserve">)</w:t>
            </w:r>
          </w:p>
        </w:tc>
        <w:tc>
          <w:p>
            <w:pPr>
              <w:pStyle w:val="Compact"/>
              <w:jc w:val="left"/>
            </w:pPr>
            <w:r>
              <w:t xml:space="preserve">Yes — State Land Board (ex-officio executive officers)</w:t>
            </w:r>
          </w:p>
        </w:tc>
        <w:tc>
          <w:p>
            <w:pPr>
              <w:pStyle w:val="Compact"/>
              <w:jc w:val="left"/>
            </w:pPr>
            <w:r>
              <w:rPr>
                <w:b/>
              </w:rPr>
              <w:t xml:space="preserve">Contested</w:t>
            </w:r>
            <w:r>
              <w:t xml:space="preserve"> </w:t>
            </w:r>
            <w:r>
              <w:t xml:space="preserve">— won by beneficiaries only on Jan. 28, 2026 (A184055); OTCA/sovereign-immunity gauntlet</w:t>
            </w:r>
          </w:p>
        </w:tc>
        <w:tc>
          <w:p>
            <w:pPr>
              <w:pStyle w:val="Compact"/>
              <w:jc w:val="left"/>
            </w:pPr>
            <w:r>
              <w:t xml:space="preserve">Beneficiaries (standing newly confirmed); no named enforcer</w:t>
            </w:r>
          </w:p>
        </w:tc>
        <w:tc>
          <w:p>
            <w:pPr>
              <w:pStyle w:val="Compact"/>
              <w:jc w:val="left"/>
            </w:pPr>
            <w:r>
              <w:t xml:space="preserve">Constitutional amendment + ballot (Art. VIII §8 added 2000)</w:t>
            </w:r>
          </w:p>
        </w:tc>
        <w:tc>
          <w:p>
            <w:pPr>
              <w:pStyle w:val="Compact"/>
              <w:jc w:val="left"/>
            </w:pPr>
            <w:r>
              <w:t xml:space="preserve">Common School Fund audited fund balance</w:t>
            </w:r>
            <w:r>
              <w:t xml:space="preserve"> </w:t>
            </w:r>
            <w:r>
              <w:rPr>
                <w:b/>
              </w:rPr>
              <w:t xml:space="preserve">$2,585,199,612 as of June 30, 2025</w:t>
            </w:r>
            <w:r>
              <w:t xml:space="preserve">; Elliott loss; remedy reached only after 5-yr fight</w:t>
            </w:r>
          </w:p>
        </w:tc>
      </w:tr>
      <w:tr>
        <w:tc>
          <w:p>
            <w:pPr>
              <w:pStyle w:val="Compact"/>
              <w:jc w:val="left"/>
            </w:pPr>
            <w:r>
              <w:rPr>
                <w:b/>
              </w:rPr>
              <w:t xml:space="preserve">WA</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no §10 enforcer</w:t>
            </w:r>
          </w:p>
        </w:tc>
        <w:tc>
          <w:p>
            <w:pPr>
              <w:pStyle w:val="Compact"/>
              <w:jc w:val="left"/>
            </w:pPr>
            <w:r>
              <w:t xml:space="preserve">Yes — Commissioner of Public Lands (elected)</w:t>
            </w:r>
          </w:p>
        </w:tc>
        <w:tc>
          <w:p>
            <w:pPr>
              <w:pStyle w:val="Compact"/>
              <w:jc w:val="left"/>
            </w:pPr>
            <w:r>
              <w:t xml:space="preserve">State standing; strict trust applied in</w:t>
            </w:r>
            <w:r>
              <w:t xml:space="preserve"> </w:t>
            </w:r>
            <w:r>
              <w:rPr>
                <w:i/>
              </w:rPr>
              <w:t xml:space="preserve">Skamania</w:t>
            </w:r>
          </w:p>
        </w:tc>
        <w:tc>
          <w:p>
            <w:pPr>
              <w:pStyle w:val="Compact"/>
              <w:jc w:val="left"/>
            </w:pPr>
            <w:r>
              <w:t xml:space="preserve">State courts (</w:t>
            </w:r>
            <w:r>
              <w:rPr>
                <w:i/>
              </w:rPr>
              <w:t xml:space="preserve">Skamania</w:t>
            </w:r>
            <w:r>
              <w:t xml:space="preserve"> </w:t>
            </w:r>
            <w:r>
              <w:t xml:space="preserve">loyalty rule)</w:t>
            </w:r>
          </w:p>
        </w:tc>
        <w:tc>
          <w:p>
            <w:pPr>
              <w:pStyle w:val="Compact"/>
              <w:jc w:val="left"/>
            </w:pPr>
            <w:r>
              <w:t xml:space="preserve">Constitutional (hard)</w:t>
            </w:r>
          </w:p>
        </w:tc>
        <w:tc>
          <w:p>
            <w:pPr>
              <w:pStyle w:val="Compact"/>
              <w:jc w:val="left"/>
            </w:pPr>
            <w:r>
              <w:t xml:space="preserve">Trust</w:t>
            </w:r>
            <w:r>
              <w:t xml:space="preserve"> </w:t>
            </w:r>
            <w:r>
              <w:t xml:space="preserve">“</w:t>
            </w:r>
            <w:r>
              <w:t xml:space="preserve">real, not illusory</w:t>
            </w:r>
            <w:r>
              <w:t xml:space="preserve">”</w:t>
            </w:r>
            <w:r>
              <w:t xml:space="preserve"> </w:t>
            </w:r>
            <w:r>
              <w:t xml:space="preserve">—</w:t>
            </w:r>
            <w:r>
              <w:t xml:space="preserve"> </w:t>
            </w:r>
            <w:r>
              <w:rPr>
                <w:i/>
              </w:rPr>
              <w:t xml:space="preserve">Skamania</w:t>
            </w:r>
            <w:r>
              <w:t xml:space="preserve"> </w:t>
            </w:r>
            <w:r>
              <w:t xml:space="preserve">struck timber bailout</w:t>
            </w:r>
          </w:p>
        </w:tc>
      </w:tr>
      <w:tr>
        <w:tc>
          <w:p>
            <w:pPr>
              <w:pStyle w:val="Compact"/>
              <w:jc w:val="left"/>
            </w:pPr>
            <w:r>
              <w:rPr>
                <w:b/>
              </w:rPr>
              <w:t xml:space="preserve">ND</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null-and-void</w:t>
            </w:r>
          </w:p>
        </w:tc>
        <w:tc>
          <w:p>
            <w:pPr>
              <w:pStyle w:val="Compact"/>
              <w:jc w:val="left"/>
            </w:pPr>
            <w:r>
              <w:t xml:space="preserve">Yes — Board of University &amp; School Lands</w:t>
            </w:r>
          </w:p>
        </w:tc>
        <w:tc>
          <w:p>
            <w:pPr>
              <w:pStyle w:val="Compact"/>
              <w:jc w:val="left"/>
            </w:pPr>
            <w:r>
              <w:t xml:space="preserve">State standing</w:t>
            </w:r>
          </w:p>
        </w:tc>
        <w:tc>
          <w:p>
            <w:pPr>
              <w:pStyle w:val="Compact"/>
              <w:jc w:val="left"/>
            </w:pPr>
            <w:r>
              <w:t xml:space="preserve">State officers / board</w:t>
            </w:r>
          </w:p>
        </w:tc>
        <w:tc>
          <w:p>
            <w:pPr>
              <w:pStyle w:val="Compact"/>
              <w:jc w:val="left"/>
            </w:pPr>
            <w:r>
              <w:t xml:space="preserve">Constitutional (hard)</w:t>
            </w:r>
          </w:p>
        </w:tc>
        <w:tc>
          <w:p>
            <w:pPr>
              <w:pStyle w:val="Compact"/>
              <w:jc w:val="left"/>
            </w:pPr>
            <w:r>
              <w:t xml:space="preserve">Common Schools Trust Fund ~$8.4B [AS OF Nov. 30, 2025], oil-driven — among strongest recoveries</w:t>
            </w:r>
          </w:p>
        </w:tc>
      </w:tr>
      <w:tr>
        <w:tc>
          <w:p>
            <w:pPr>
              <w:pStyle w:val="Compact"/>
              <w:jc w:val="left"/>
            </w:pPr>
            <w:r>
              <w:rPr>
                <w:b/>
              </w:rPr>
              <w:t xml:space="preserve">NV</w:t>
            </w:r>
          </w:p>
        </w:tc>
        <w:tc>
          <w:p>
            <w:pPr>
              <w:pStyle w:val="Compact"/>
              <w:jc w:val="left"/>
            </w:pPr>
            <w:r>
              <w:t xml:space="preserve">Partial — 2-section 1864 grant; general text</w:t>
            </w:r>
          </w:p>
        </w:tc>
        <w:tc>
          <w:p>
            <w:pPr>
              <w:pStyle w:val="Compact"/>
              <w:jc w:val="left"/>
            </w:pPr>
            <w:r>
              <w:t xml:space="preserve">Yes — state land office</w:t>
            </w:r>
          </w:p>
        </w:tc>
        <w:tc>
          <w:p>
            <w:pPr>
              <w:pStyle w:val="Compact"/>
              <w:jc w:val="left"/>
            </w:pPr>
            <w:r>
              <w:t xml:space="preserve">State route; general text</w:t>
            </w:r>
          </w:p>
        </w:tc>
        <w:tc>
          <w:p>
            <w:pPr>
              <w:pStyle w:val="Compact"/>
              <w:jc w:val="left"/>
            </w:pPr>
            <w:r>
              <w:t xml:space="preserve">State officers</w:t>
            </w:r>
          </w:p>
        </w:tc>
        <w:tc>
          <w:p>
            <w:pPr>
              <w:pStyle w:val="Compact"/>
              <w:jc w:val="left"/>
            </w:pPr>
            <w:r>
              <w:t xml:space="preserve">Constitutional/statutory</w:t>
            </w:r>
          </w:p>
        </w:tc>
        <w:tc>
          <w:p>
            <w:pPr>
              <w:pStyle w:val="Compact"/>
              <w:jc w:val="left"/>
            </w:pPr>
            <w:r>
              <w:t xml:space="preserve">Broad statutory Permanent School Fund balance</w:t>
            </w:r>
            <w:r>
              <w:t xml:space="preserve"> </w:t>
            </w:r>
            <w:r>
              <w:rPr>
                <w:b/>
              </w:rPr>
              <w:t xml:space="preserve">$531,127,843 as of June 30, 2025</w:t>
            </w:r>
            <w:r>
              <w:t xml:space="preserve"> </w:t>
            </w:r>
            <w:r>
              <w:t xml:space="preserve">(unaudited) — not the tiny surviving land-trust corpus; figures are often conflated</w:t>
            </w:r>
          </w:p>
        </w:tc>
      </w:tr>
      <w:tr>
        <w:tc>
          <w:p>
            <w:pPr>
              <w:pStyle w:val="Compact"/>
              <w:jc w:val="left"/>
            </w:pPr>
            <w:r>
              <w:t xml:space="preserve">OH</w:t>
            </w:r>
          </w:p>
        </w:tc>
        <w:tc>
          <w:p>
            <w:pPr>
              <w:pStyle w:val="Compact"/>
              <w:jc w:val="left"/>
            </w:pPr>
            <w:r>
              <w:t xml:space="preserve">1802 template, no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Fire-sale liquidation; little corpus survived</w:t>
            </w:r>
          </w:p>
        </w:tc>
      </w:tr>
      <w:tr>
        <w:tc>
          <w:p>
            <w:pPr>
              <w:pStyle w:val="Compact"/>
              <w:jc w:val="left"/>
            </w:pPr>
            <w:r>
              <w:t xml:space="preserve">CA</w:t>
            </w:r>
          </w:p>
        </w:tc>
        <w:tc>
          <w:p>
            <w:pPr>
              <w:pStyle w:val="Compact"/>
              <w:jc w:val="left"/>
            </w:pPr>
            <w:r>
              <w:t xml:space="preserve">1850 2-section, general</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Lost by drift/omission</w:t>
            </w:r>
          </w:p>
        </w:tc>
      </w:tr>
      <w:tr>
        <w:tc>
          <w:p>
            <w:pPr>
              <w:pStyle w:val="Compact"/>
              <w:jc w:val="left"/>
            </w:pPr>
            <w:r>
              <w:t xml:space="preserve">CO</w:t>
            </w:r>
          </w:p>
        </w:tc>
        <w:tc>
          <w:p>
            <w:pPr>
              <w:pStyle w:val="Compact"/>
              <w:jc w:val="left"/>
            </w:pPr>
            <w:r>
              <w:t xml:space="preserve">1875 grant with price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Public School Permanent Fund</w:t>
            </w:r>
            <w:r>
              <w:t xml:space="preserve"> </w:t>
            </w:r>
            <w:r>
              <w:rPr>
                <w:b/>
              </w:rPr>
              <w:t xml:space="preserve">$1,845,545,326 as of June 30, 2025</w:t>
            </w:r>
            <w:r>
              <w:t xml:space="preserve">; BEST gross-income diversion</w:t>
            </w:r>
          </w:p>
        </w:tc>
      </w:tr>
      <w:tr>
        <w:tc>
          <w:p>
            <w:pPr>
              <w:pStyle w:val="Compact"/>
              <w:jc w:val="left"/>
            </w:pPr>
            <w:r>
              <w:t xml:space="preserve">MN</w:t>
            </w:r>
          </w:p>
        </w:tc>
        <w:tc>
          <w:p>
            <w:pPr>
              <w:pStyle w:val="Compact"/>
              <w:jc w:val="left"/>
            </w:pPr>
            <w:r>
              <w:t xml:space="preserve">1858 2-section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Permanent School Fund about</w:t>
            </w:r>
            <w:r>
              <w:t xml:space="preserve"> </w:t>
            </w:r>
            <w:r>
              <w:rPr>
                <w:b/>
              </w:rPr>
              <w:t xml:space="preserve">$2.3 billion as of 2025</w:t>
            </w:r>
            <w:r>
              <w:t xml:space="preserve">; reform amendment on Nov. 2026 ballot</w:t>
            </w:r>
          </w:p>
        </w:tc>
      </w:tr>
      <w:tr>
        <w:tc>
          <w:p>
            <w:pPr>
              <w:pStyle w:val="Compact"/>
              <w:jc w:val="left"/>
            </w:pPr>
            <w:r>
              <w:t xml:space="preserve">MT</w:t>
            </w:r>
          </w:p>
        </w:tc>
        <w:tc>
          <w:p>
            <w:pPr>
              <w:pStyle w:val="Compact"/>
              <w:jc w:val="left"/>
            </w:pPr>
            <w:r>
              <w:t xml:space="preserve">1889 Omnibus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MonTrust constituency; 2022 MT 53 merits loss</w:t>
            </w:r>
          </w:p>
        </w:tc>
      </w:tr>
      <w:tr>
        <w:tc>
          <w:p>
            <w:pPr>
              <w:pStyle w:val="Compact"/>
              <w:jc w:val="left"/>
            </w:pPr>
            <w:r>
              <w:t xml:space="preserve">MS</w:t>
            </w:r>
          </w:p>
        </w:tc>
        <w:tc>
          <w:p>
            <w:pPr>
              <w:pStyle w:val="Compact"/>
              <w:jc w:val="left"/>
            </w:pPr>
            <w:r>
              <w:t xml:space="preserve">1817 1-section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Sweetheart leases (</w:t>
            </w:r>
            <w:r>
              <w:rPr>
                <w:i/>
              </w:rPr>
              <w:t xml:space="preserve">Hill v. Thompson</w:t>
            </w:r>
            <w:r>
              <w:t xml:space="preserve">); Molpus reform</w:t>
            </w:r>
          </w:p>
        </w:tc>
      </w:tr>
      <w:tr>
        <w:tc>
          <w:p>
            <w:pPr>
              <w:pStyle w:val="Compact"/>
              <w:jc w:val="left"/>
            </w:pPr>
            <w:r>
              <w:t xml:space="preserve">SD</w:t>
            </w:r>
          </w:p>
        </w:tc>
        <w:tc>
          <w:p>
            <w:pPr>
              <w:pStyle w:val="Compact"/>
              <w:jc w:val="left"/>
            </w:pPr>
            <w:r>
              <w:t xml:space="preserve">1889 Omnibus, $10 floor (Beadle)</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School and Public Lands Fund</w:t>
            </w:r>
            <w:r>
              <w:t xml:space="preserve"> </w:t>
            </w:r>
            <w:r>
              <w:rPr>
                <w:b/>
              </w:rPr>
              <w:t xml:space="preserve">$430,690,564 as of June 30, 2025</w:t>
            </w:r>
            <w:r>
              <w:t xml:space="preserve">; FY2025 returned to public schools</w:t>
            </w:r>
            <w:r>
              <w:t xml:space="preserve"> </w:t>
            </w:r>
            <w:r>
              <w:rPr>
                <w:b/>
              </w:rPr>
              <w:t xml:space="preserve">$15,590,737.54</w:t>
            </w:r>
          </w:p>
        </w:tc>
      </w:tr>
    </w:tbl>
    <w:p>
      <w:pPr>
        <w:pStyle w:val="BodyText"/>
      </w:pPr>
      <w:r>
        <w:rPr>
          <w:i/>
        </w:rPr>
        <w:t xml:space="preserve">Reading the matrix: the columns that move outcomes are the enforcer-identity and amendment-difficulty columns, not any single</w:t>
      </w:r>
      <w:r>
        <w:rPr>
          <w:i/>
        </w:rPr>
        <w:t xml:space="preserve"> </w:t>
      </w:r>
      <w:r>
        <w:rPr>
          <w:i/>
        </w:rPr>
        <w:t xml:space="preserve">“</w:t>
      </w:r>
      <w:r>
        <w:rPr>
          <w:i/>
        </w:rPr>
        <w:t xml:space="preserve">how strong does the text sound</w:t>
      </w:r>
      <w:r>
        <w:rPr>
          <w:i/>
        </w:rPr>
        <w:t xml:space="preserve">”</w:t>
      </w:r>
      <w:r>
        <w:rPr>
          <w:i/>
        </w:rPr>
        <w:t xml:space="preserve"> </w:t>
      </w:r>
      <w:r>
        <w:rPr>
          <w:i/>
        </w:rPr>
        <w:t xml:space="preserve">rating. New Mexico and Arizona share every cell except the corpus — same express text, same named federal enforcer — yet the funds differ by more than three to one, which is exactly why language strength alone is the wrong score. Texas, with no federal trust text at all, holds the largest fund in the country on state-derived architecture plus a durable constituency. Oregon is the cautionary cell: a real trust, a named trustee board, and constitutional standing — but no express enforcement clause, so the beneficiaries spent five years just reaching the courthouse door. The matrix predicts what the narrative argues: drafting the duty is easy and courts will find it; drafting the</w:t>
      </w:r>
      <w:r>
        <w:rPr>
          <w:i/>
        </w:rPr>
        <w:t xml:space="preserve"> </w:t>
      </w:r>
      <w:r>
        <w:rPr>
          <w:b/>
          <w:i/>
        </w:rPr>
        <w:t xml:space="preserve">remedy</w:t>
      </w:r>
      <w:r>
        <w:rPr>
          <w:i/>
        </w:rPr>
        <w:t xml:space="preserve"> </w:t>
      </w:r>
      <w:r>
        <w:rPr>
          <w:i/>
        </w:rPr>
        <w:t xml:space="preserve">— named enforcer, immunity waiver, near-irrevocable compact — is what decides whether the duty can ever be compelled.</w:t>
      </w:r>
    </w:p>
    <w:p>
      <w:r>
        <w:pict>
          <v:rect style="width:0;height:1.5pt" o:hralign="center" o:hrstd="t" o:hr="t"/>
        </w:pict>
      </w:r>
    </w:p>
    <w:p>
      <w:pPr>
        <w:pStyle w:val="FirstParagraph"/>
      </w:pPr>
      <w:r>
        <w:rPr>
          <w:i/>
        </w:rPr>
        <w:t xml:space="preserve">End of lenses. All citations carried from</w:t>
      </w:r>
      <w:r>
        <w:rPr>
          <w:i/>
        </w:rPr>
        <w:t xml:space="preserve">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w:t>
      </w:r>
      <w:r>
        <w:rPr>
          <w:i/>
        </w:rPr>
        <w:t xml:space="preserve"> </w:t>
      </w:r>
      <w:r>
        <w:rPr>
          <w:rStyle w:val="VerbatimChar"/>
          <w:i/>
        </w:rPr>
        <w:t xml:space="preserve">SotR_Existence_vs_Enforceability_Memo</w:t>
      </w:r>
      <w:r>
        <w:rPr>
          <w:i/>
        </w:rPr>
        <w:t xml:space="preserve">, the Territories-Committee records, and the v1.3 Comparative Atlas. Unpopulated matrix cells should be filled from the Comparative Atlas before final print; dated as-of stamps mark corpus figures confirmed against current state reports in the 2026-05-29 and v11 finishing passes.</w:t>
      </w:r>
    </w:p>
    <w:p>
      <w:r>
        <w:br w:type="page"/>
      </w:r>
    </w:p>
    <w:p>
      <w:pPr>
        <w:pStyle w:val="BlockText"/>
      </w:pPr>
      <w:r>
        <w:rPr>
          <w:b/>
        </w:rPr>
        <w:t xml:space="preserve">▣ BOXED INSERT — It Is Not Too Late</w:t>
      </w:r>
    </w:p>
    <w:p>
      <w:pPr>
        <w:pStyle w:val="BlockText"/>
      </w:pPr>
      <w:r>
        <w:t xml:space="preserve">A reader could finish Part One in despair. Do not. The gift is not gone. About twenty states still hold their trust lands and their permanent funds, and even most of the states that hollowed theirs out long ago still keep a residual window — a fund of a few million here, a block of unsold acreage there — that could be rebuilt rather than written off. Nothing in the law prevents a state that broke faith in 1850 from beginning to keep it now: re-funding the corpus, recovering misused land, insisting on full value. The duty never expired. The opportunity is still open. That is the whole reason this book looks back — so that the states still holding the gift will recognize what they have before it, too, is quietly let go.</w:t>
      </w:r>
    </w:p>
    <w:p>
      <w:r>
        <w:pict>
          <v:rect style="width:0;height:1.5pt" o:hralign="center" o:hrstd="t" o:hr="t"/>
        </w:pict>
      </w:r>
    </w:p>
    <w:p>
      <w:pPr>
        <w:pStyle w:val="FirstParagraph"/>
      </w:pPr>
      <w:r>
        <w:rPr>
          <w:i/>
        </w:rPr>
        <w:t xml:space="preserve">A reminder before the dossiers: this is one grant, not fifty different ones. As the Supreme Court held in 1916, Congress used the same words for the same purpose in state after state, and they</w:t>
      </w:r>
      <w:r>
        <w:rPr>
          <w:i/>
        </w:rPr>
        <w:t xml:space="preserve"> </w:t>
      </w:r>
      <w:r>
        <w:rPr>
          <w:i/>
        </w:rPr>
        <w:t xml:space="preserve">“</w:t>
      </w:r>
      <w:r>
        <w:rPr>
          <w:i/>
        </w:rPr>
        <w:t xml:space="preserve">did not have one meaning in one grant and a different meaning in another.</w:t>
      </w:r>
      <w:r>
        <w:rPr>
          <w:i/>
        </w:rPr>
        <w:t xml:space="preserve">”</w:t>
      </w:r>
      <w:r>
        <w:rPr>
          <w:i/>
        </w:rPr>
        <w:t xml:space="preserve"> </w:t>
      </w:r>
      <w:r>
        <w:rPr>
          <w:i/>
        </w:rPr>
        <w:t xml:space="preserve">Read each state below as a variation on a single promise — kept, broken, or both.</w:t>
      </w:r>
    </w:p>
    <w:p>
      <w:r>
        <w:br w:type="page"/>
      </w:r>
    </w:p>
    <w:p>
      <w:pPr>
        <w:pStyle w:val="Heading1"/>
      </w:pPr>
      <w:bookmarkStart w:id="65" w:name="part-two-the-granted-states-a-to-z"/>
      <w:r>
        <w:t xml:space="preserve">PART TWO — The Granted States, A to Z</w:t>
      </w:r>
      <w:bookmarkEnd w:id="65"/>
    </w:p>
    <w:p>
      <w:pPr>
        <w:pStyle w:val="FirstParagraph"/>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BlockText"/>
      </w:pPr>
      <w:r>
        <w:t xml:space="preserve">“</w:t>
      </w:r>
      <w:r>
        <w:t xml:space="preserve">It has been the cherished policy of the government</w:t>
      </w:r>
      <w:r>
        <w:rPr>
          <w:vertAlign w:val="superscript"/>
        </w:rPr>
        <w:t xml:space="preserve">1</w:t>
      </w:r>
      <w:r>
        <w:t xml:space="preserve"> </w:t>
      </w:r>
      <w:r>
        <w:t xml:space="preserve">of the United States to promote the establishment and progress of common schools, and to reserve for their endowment the sixteenth section in each township of the public lands.</w:t>
      </w:r>
      <w:r>
        <w:t xml:space="preserve">”</w:t>
      </w:r>
      <w:r>
        <w:t xml:space="preserve"> </w:t>
      </w:r>
      <w:r>
        <w:t xml:space="preserve">—</w:t>
      </w:r>
      <w:r>
        <w:t xml:space="preserve"> </w:t>
      </w:r>
      <w:r>
        <w:rPr>
          <w:i/>
        </w:rPr>
        <w:t xml:space="preserve">Cooper v. Roberts</w:t>
      </w:r>
      <w:r>
        <w:t xml:space="preserve">, 59 U.S. (18 How.) 173, 178 (1855)</w:t>
      </w:r>
    </w:p>
    <w:p>
      <w:pPr>
        <w:pStyle w:val="FirstParagraph"/>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66" w:name="Xb16fcdc8c5a6f53e79c670a141aec405accb04d"/>
      <w:r>
        <w:t xml:space="preserve">Alabama — The Bank That Ate the Schoolhouse</w:t>
      </w:r>
      <w:bookmarkEnd w:id="66"/>
    </w:p>
    <w:p>
      <w:pPr>
        <w:pStyle w:val="FirstParagraph"/>
      </w:pP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 walked through a door that had already been opened twice — for Ohio in 1802, for Mississippi in 1817 — and the frame was thin every time. The 1819 grant handed over Section 16 of each township</w:t>
      </w:r>
      <w:r>
        <w:t xml:space="preserve"> </w:t>
      </w:r>
      <w:r>
        <w:t xml:space="preserve">“</w:t>
      </w:r>
      <w:r>
        <w:t xml:space="preserve">for the use of schools,</w:t>
      </w:r>
      <w:r>
        <w:t xml:space="preserve">”</w:t>
      </w:r>
      <w:r>
        <w:t xml:space="preserve"> </w:t>
      </w:r>
      <w:r>
        <w:t xml:space="preserve">with no trust language, no enforcement officer, and no rule that the money be kept whole. Then Alabama did something worse than neglect. In 1827 Congress let the state sell its school sections, and Alabama poured the proceeds into the State Bank of Alabama — using the children’s money as ordinary lending capital for the state’s general finances. The bank failed in 1843. Later federal findings put the loss at $1.3 million in school-land proceeds plus over $300,000 in university money, gone in a single collapse. Worse still, the federal Surplus Distribution Act of 1836 had deposited $669,086.78 with Alabama, a sum the state likewise routed through the same bank — so it too was swept away in the 1843 failure. The state papered over the hole with certificates and interest promises, but those too went untraceable. Reform tried and failed: Judge Benjamin Porter’s bill to rebuild a permanent fund died in the legislature. Then the federal floor itself cracked. In</w:t>
      </w:r>
      <w:r>
        <w:t xml:space="preserve"> </w:t>
      </w:r>
      <w:r>
        <w:rPr>
          <w:i/>
        </w:rPr>
        <w:t xml:space="preserve">Alabama v. Schmidt</w:t>
      </w:r>
      <w:r>
        <w:t xml:space="preserve"> </w:t>
      </w:r>
      <w:r>
        <w:t xml:space="preserve">(1914), Justice Holmes ruled that the school-use promise was an</w:t>
      </w:r>
      <w:r>
        <w:t xml:space="preserve"> </w:t>
      </w:r>
      <w:r>
        <w:t xml:space="preserve">“</w:t>
      </w:r>
      <w:r>
        <w:t xml:space="preserve">honorary obligation</w:t>
      </w:r>
      <w:r>
        <w:t xml:space="preserve">”</w:t>
      </w:r>
      <w:r>
        <w:t xml:space="preserve"> </w:t>
      </w:r>
      <w:r>
        <w:t xml:space="preserve">— not federally enforceable — which freed Alabama’s ordinary adverse-possession statutes to run against school land one twenty-year occupation at a time. The 1956 Amendment 111, adopted in the massive-resistance era, quietly broadened where school-fund income could go. The statutes still say the lands are</w:t>
      </w:r>
      <w:r>
        <w:t xml:space="preserve"> </w:t>
      </w:r>
      <w:r>
        <w:t xml:space="preserve">“</w:t>
      </w:r>
      <w:r>
        <w:t xml:space="preserve">vested in the State in trust.</w:t>
      </w:r>
      <w:r>
        <w:t xml:space="preserve">”</w:t>
      </w:r>
      <w:r>
        <w:t xml:space="preserve"> </w:t>
      </w:r>
      <w:r>
        <w:t xml:space="preserve">What survives in proportion to those words is the paperwork, not the corpus.</w:t>
      </w:r>
    </w:p>
    <w:p>
      <w:pPr>
        <w:pStyle w:val="BodyText"/>
      </w:pPr>
      <w:r>
        <w:rPr>
          <w:b/>
        </w:rPr>
        <w:t xml:space="preserve">Then→now:</w:t>
      </w:r>
      <w:r>
        <w:t xml:space="preserve"> </w:t>
      </w:r>
      <w:r>
        <w:t xml:space="preserve">A grant of roughly 903,000 acres → a residual sixteenth-section fund that is a rounding error against a billions-dollar K-12 budget.</w:t>
      </w:r>
    </w:p>
    <w:p>
      <w:pPr>
        <w:pStyle w:val="BodyText"/>
      </w:pPr>
      <w:r>
        <w:rPr>
          <w:b/>
        </w:rPr>
        <w:t xml:space="preserve">Lesson:</w:t>
      </w:r>
      <w:r>
        <w:t xml:space="preserve"> </w:t>
      </w:r>
      <w:r>
        <w:t xml:space="preserve">A trust whose proceeds become bank capital is a trust betting the children’s future on the state’s balance sheet — and the bank can fail. (See Ch. 4,</w:t>
      </w:r>
      <w:r>
        <w:t xml:space="preserve"> </w:t>
      </w:r>
      <w:r>
        <w:t xml:space="preserve">“</w:t>
      </w:r>
      <w:r>
        <w:t xml:space="preserve">Directed seizure</w:t>
      </w:r>
      <w:r>
        <w:t xml:space="preserve">”</w:t>
      </w:r>
      <w:r>
        <w:t xml:space="preserve"> </w:t>
      </w:r>
      <w:r>
        <w:t xml:space="preserve">and</w:t>
      </w:r>
      <w:r>
        <w:t xml:space="preserve"> </w:t>
      </w:r>
      <w:r>
        <w:t xml:space="preserve">“</w:t>
      </w:r>
      <w:r>
        <w:t xml:space="preserve">Fire-sale dissipation.</w:t>
      </w:r>
      <w:r>
        <w:t xml:space="preserve">”</w:t>
      </w:r>
      <w:r>
        <w:t xml:space="preserve">)</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1836 federal surplus deposit, lost in the 1843 bank collapse, is the verified figure added per the consolidated verification sweep. Residual corpus remains to be pinned against State Lands Division / Dept. of Education records.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l.png" id="0" name="Picture"/>
                    <pic:cNvPicPr>
                      <a:picLocks noChangeArrowheads="1" noChangeAspect="1"/>
                    </pic:cNvPicPr>
                  </pic:nvPicPr>
                  <pic:blipFill>
                    <a:blip r:embed="rId6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schooltrusts.net/reading/us-al, for current figures, recent developments, and sources.</w:t>
      </w:r>
    </w:p>
    <w:p>
      <w:r>
        <w:br w:type="page"/>
      </w:r>
    </w:p>
    <w:p>
      <w:pPr>
        <w:pStyle w:val="Heading2"/>
      </w:pPr>
      <w:bookmarkStart w:id="68" w:name="alaska-the-state-that-opted-out"/>
      <w:r>
        <w:t xml:space="preserve">Alaska — The State That Opted Out</w:t>
      </w:r>
      <w:bookmarkEnd w:id="68"/>
    </w:p>
    <w:p>
      <w:pPr>
        <w:pStyle w:val="FirstParagraph"/>
      </w:pPr>
      <w:r>
        <w:rPr>
          <w:i/>
        </w:rPr>
        <w:t xml:space="preserve">Admitted Jan. 3, 1959 · Grant: no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a trust with no federal land (and chose a constitution hostile to dedicated funds).</w:t>
      </w:r>
    </w:p>
    <w:p>
      <w:pPr>
        <w:pStyle w:val="BodyText"/>
      </w:pPr>
      <w:r>
        <w:rPr>
          <w:b/>
        </w:rPr>
        <w:t xml:space="preserve">Telling fact:</w:t>
      </w:r>
      <w:r>
        <w:t xml:space="preserve"> </w:t>
      </w:r>
      <w:r>
        <w:t xml:space="preserve">When Congress wanted to write fiduciary trust language in 1958, it knew exactly how — it did so for Alaska’s Mental Health Trust in the very same Statehood Act — and for the 102-million-acre school-and-development block, it pointedly chose not to.</w:t>
      </w:r>
    </w:p>
    <w:p>
      <w:pPr>
        <w:pStyle w:val="BodyText"/>
      </w:pPr>
      <w:r>
        <w:rPr>
          <w:b/>
        </w:rPr>
        <w:t xml:space="preserve">The Story.</w:t>
      </w:r>
      <w:r>
        <w:t xml:space="preserve"> </w:t>
      </w:r>
      <w:r>
        <w:t xml:space="preserve">Every other state in this book entered under some version of the section-grant template. Alaska refused the template, and so did the people who drafted its constitution. The 1958 Statehood Act gave the new state the largest single land grant in American history — over 102 million acres — but it was a general-purposes conveyance: no</w:t>
      </w:r>
      <w:r>
        <w:t xml:space="preserve"> </w:t>
      </w:r>
      <w:r>
        <w:t xml:space="preserve">“</w:t>
      </w:r>
      <w:r>
        <w:t xml:space="preserve">in trust,</w:t>
      </w:r>
      <w:r>
        <w:t xml:space="preserve">”</w:t>
      </w:r>
      <w:r>
        <w:t xml:space="preserve"> </w:t>
      </w:r>
      <w:r>
        <w:t xml:space="preserve">no named schoolchild beneficiary, no price floor, no enforcement officer. The only real school-trust land Alaska owns traces to a modest 1915 territorial reservation of Sections 16 and 36 in the few surveyed townships. Then the framers went further. The 1956 constitution’s Dedicated Funds Clause (Article IX, §7) forbids setting any revenue aside for any particular fund or purpose except by constitutional amendment — the structural opposite of the section-16 states’</w:t>
      </w:r>
      <w:r>
        <w:t xml:space="preserve"> </w:t>
      </w:r>
      <w:r>
        <w:t xml:space="preserve">“</w:t>
      </w:r>
      <w:r>
        <w:t xml:space="preserve">irreducible fund</w:t>
      </w:r>
      <w:r>
        <w:t xml:space="preserve">”</w:t>
      </w:r>
      <w:r>
        <w:t xml:space="preserve"> </w:t>
      </w:r>
      <w:r>
        <w:t xml:space="preserve">rule. Alaska didn’t forget to build a school trust; it built a wall against trusts of every kind. The voters carved two famous exceptions: the Alaska Permanent Fund in 1976 (a much larger citizens’ fund ), whose dividend goes to every resident, not to schools; and the Budget Reserve in 1990. The courts have enforced the no-dedication rule even against the legislature’s own wishes — striking the Permanent Fund Dividend’s claim to protection in</w:t>
      </w:r>
      <w:r>
        <w:t xml:space="preserve"> </w:t>
      </w:r>
      <w:r>
        <w:rPr>
          <w:i/>
        </w:rPr>
        <w:t xml:space="preserve">Wielechowski</w:t>
      </w:r>
      <w:r>
        <w:t xml:space="preserve"> </w:t>
      </w:r>
      <w:r>
        <w:t xml:space="preserve">(2017) and</w:t>
      </w:r>
      <w:r>
        <w:t xml:space="preserve"> </w:t>
      </w:r>
      <w:r>
        <w:t xml:space="preserve">“</w:t>
      </w:r>
      <w:r>
        <w:t xml:space="preserve">forward funding</w:t>
      </w:r>
      <w:r>
        <w:t xml:space="preserve">”</w:t>
      </w:r>
      <w:r>
        <w:t xml:space="preserve"> </w:t>
      </w:r>
      <w:r>
        <w:t xml:space="preserve">of schools in</w:t>
      </w:r>
      <w:r>
        <w:t xml:space="preserve"> </w:t>
      </w:r>
      <w:r>
        <w:rPr>
          <w:i/>
        </w:rPr>
        <w:t xml:space="preserve">Dunleavy</w:t>
      </w:r>
      <w:r>
        <w:t xml:space="preserve"> </w:t>
      </w:r>
      <w:r>
        <w:t xml:space="preserve">(2022). The small surviving school trust has its own scar: in 1978 the state converted the school lands to a cash trust without ever valuing them, and in</w:t>
      </w:r>
      <w:r>
        <w:t xml:space="preserve"> </w:t>
      </w:r>
      <w:r>
        <w:rPr>
          <w:i/>
        </w:rPr>
        <w:t xml:space="preserve">Kasayulie</w:t>
      </w:r>
      <w:r>
        <w:t xml:space="preserve"> </w:t>
      </w:r>
      <w:r>
        <w:t xml:space="preserve">(1999) a superior court found that a breach.</w:t>
      </w:r>
    </w:p>
    <w:p>
      <w:pPr>
        <w:pStyle w:val="BodyText"/>
      </w:pPr>
      <w:r>
        <w:rPr>
          <w:b/>
        </w:rPr>
        <w:t xml:space="preserve">Lesson:</w:t>
      </w:r>
      <w:r>
        <w:t xml:space="preserve"> </w:t>
      </w:r>
      <w:r>
        <w:t xml:space="preserve">A state can decline the trust paradigm honestly and on purpose — but then schoolchildren depend entirely on each year’s appropriation, with no corpus standing guard. (See Ch. 6,</w:t>
      </w:r>
      <w:r>
        <w:t xml:space="preserve"> </w:t>
      </w:r>
      <w:r>
        <w:t xml:space="preserve">“</w:t>
      </w:r>
      <w:r>
        <w:t xml:space="preserve">The road not taken.</w:t>
      </w:r>
      <w:r>
        <w:t xml:space="preserve">”</w:t>
      </w:r>
      <w:r>
        <w:t xml:space="preserve">)</w:t>
      </w:r>
    </w:p>
    <w:p>
      <w:pPr>
        <w:pStyle w:val="BodyText"/>
      </w:pPr>
      <w:r>
        <w:rPr>
          <w:i/>
        </w:rPr>
        <w:t xml:space="preserve">Sources/notes:</w:t>
      </w:r>
      <w:r>
        <w:t xml:space="preserve"> </w:t>
      </w:r>
      <w:r>
        <w:t xml:space="preserve">Alaska Statehood Act §6, 72 Stat. 339; Act of Mar. 4, 1915, 38 Stat. 1214; Alaska Const. art. VII §1, art. VIII, art. IX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k.png" id="0" name="Picture"/>
                    <pic:cNvPicPr>
                      <a:picLocks noChangeArrowheads="1" noChangeAspect="1"/>
                    </pic:cNvPicPr>
                  </pic:nvPicPr>
                  <pic:blipFill>
                    <a:blip r:embed="rId6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schooltrusts.net/reading/us-ak, for current figures, recent developments, and sources.</w:t>
      </w:r>
    </w:p>
    <w:p>
      <w:r>
        <w:br w:type="page"/>
      </w:r>
    </w:p>
    <w:p>
      <w:pPr>
        <w:pStyle w:val="Heading2"/>
      </w:pPr>
      <w:bookmarkStart w:id="70" w:name="Xa3bfab9f14770571d43ae812c1ce919cb3afc3d"/>
      <w:r>
        <w:t xml:space="preserve">Arizona — The Strongest Words, the Softer Hand</w:t>
      </w:r>
      <w:bookmarkEnd w:id="70"/>
    </w:p>
    <w:p>
      <w:pPr>
        <w:pStyle w:val="FirstParagraph"/>
      </w:pP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(on the federal text) — but left money on the table.</w:t>
      </w:r>
    </w:p>
    <w:p>
      <w:pPr>
        <w:pStyle w:val="BodyText"/>
      </w:pPr>
      <w:r>
        <w:rPr>
          <w:b/>
        </w:rPr>
        <w:t xml:space="preserve">Telling fact:</w:t>
      </w:r>
      <w:r>
        <w:t xml:space="preserve"> </w:t>
      </w:r>
      <w:r>
        <w:t xml:space="preserve">Arizona and New Mexico hold their school lands under the exact same statute, word for word — and a century later New Mexico’s fund is around $30 billion while Arizona’s is roughly a third of that.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w:t>
      </w:r>
      <w:r>
        <w:t xml:space="preserve"> </w:t>
      </w:r>
      <w:r>
        <w:t xml:space="preserve">“</w:t>
      </w:r>
      <w:r>
        <w:t xml:space="preserve">any provision of the constitution or laws of the said State to the contrary notwithstanding,</w:t>
      </w:r>
      <w:r>
        <w:t xml:space="preserve">”</w:t>
      </w:r>
      <w:r>
        <w:t xml:space="preserve"> </w:t>
      </w:r>
      <w:r>
        <w:t xml:space="preserve">and lets the U.S. Attorney General sue to enforce. Four teeth — express trust, breach label, automatic nullity, federal enforcement — and Arizona’s own constitution mirrors them. So why does Arizona trail its identical twin? The answer is the office that runs the trust. New Mexico’s land commissioner is elected and answers to voters; Arizona’s is appointed and answers to the governor. The incentives ran differently, and the corpus shows it. The federal language</w:t>
      </w:r>
      <w:r>
        <w:t xml:space="preserve"> </w:t>
      </w:r>
      <w:r>
        <w:rPr>
          <w:i/>
        </w:rPr>
        <w:t xml:space="preserve">does</w:t>
      </w:r>
      <w:r>
        <w:t xml:space="preserve"> </w:t>
      </w:r>
      <w:r>
        <w:t xml:space="preserve">bite when invoked: in</w:t>
      </w:r>
      <w:r>
        <w:t xml:space="preserve"> </w:t>
      </w:r>
      <w:r>
        <w:rPr>
          <w:i/>
        </w:rPr>
        <w:t xml:space="preserve">Lassen</w:t>
      </w:r>
      <w:r>
        <w:t xml:space="preserve"> </w:t>
      </w:r>
      <w:r>
        <w:t xml:space="preserve">(1967), the U.S. Supreme Court made Arizona pay the trust in real money for thousands of miles of highway easements it had been taking for free since 1929; in</w:t>
      </w:r>
      <w:r>
        <w:t xml:space="preserve"> </w:t>
      </w:r>
      <w:r>
        <w:rPr>
          <w:i/>
        </w:rPr>
        <w:t xml:space="preserve">Kadish</w:t>
      </w:r>
      <w:r>
        <w:t xml:space="preserve"> </w:t>
      </w:r>
      <w:r>
        <w:t xml:space="preserve">(1988), the courts struck a flat-rate mineral royalty and declared the state a</w:t>
      </w:r>
      <w:r>
        <w:t xml:space="preserve"> </w:t>
      </w:r>
      <w:r>
        <w:t xml:space="preserve">“</w:t>
      </w:r>
      <w:r>
        <w:t xml:space="preserve">trustee,</w:t>
      </w:r>
      <w:r>
        <w:t xml:space="preserve">”</w:t>
      </w:r>
      <w:r>
        <w:t xml:space="preserve"> </w:t>
      </w:r>
      <w:r>
        <w:t xml:space="preserve">not merely</w:t>
      </w:r>
      <w:r>
        <w:t xml:space="preserve"> </w:t>
      </w:r>
      <w:r>
        <w:t xml:space="preserve">“</w:t>
      </w:r>
      <w:r>
        <w:t xml:space="preserve">a good business manager.</w:t>
      </w:r>
      <w:r>
        <w:t xml:space="preserve">”</w:t>
      </w:r>
      <w:r>
        <w:t xml:space="preserve"> </w:t>
      </w:r>
      <w:r>
        <w:t xml:space="preserve">But the slow leaks went unfixed. A 1997 audit found grazing leases among the lowest in the West — 8.5 million acres earning about thirty cents an acre. A 2024 audit found the state had not adjusted some agricultural rents in seventeen years and had never charged the Saudi-owned firm Fondomonte for the groundwater it pumped to grow alfalfa for export — even though Arizona’s own law says groundwater under trust land is a</w:t>
      </w:r>
      <w:r>
        <w:t xml:space="preserve"> </w:t>
      </w:r>
      <w:r>
        <w:t xml:space="preserve">“</w:t>
      </w:r>
      <w:r>
        <w:t xml:space="preserve">product of the land.</w:t>
      </w:r>
      <w:r>
        <w:t xml:space="preserve">”</w:t>
      </w:r>
      <w:r>
        <w:t xml:space="preserve"> </w:t>
      </w:r>
      <w:r>
        <w:t xml:space="preserve">And in 2016, Proposition 123 raised the payout to 6.9% — drawing down principal to settle a school-funding suit, a tradeoff the trust instrument never authorized.</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Maximal words on the page do not guarantee maximal results in the fund. Who the trustee answers to, and whether anyone prices the water, is what sets the ceiling. (See Ch. 5,</w:t>
      </w:r>
      <w:r>
        <w:t xml:space="preserve"> </w:t>
      </w:r>
      <w:r>
        <w:t xml:space="preserve">“</w:t>
      </w:r>
      <w:r>
        <w:t xml:space="preserve">Same floor, different ceiling,</w:t>
      </w:r>
      <w:r>
        <w:t xml:space="preserve">”</w:t>
      </w:r>
      <w:r>
        <w:t xml:space="preserve"> </w:t>
      </w:r>
      <w:r>
        <w:t xml:space="preserve">and Ch. 6.)</w:t>
      </w:r>
    </w:p>
    <w:p>
      <w:pPr>
        <w:pStyle w:val="BodyText"/>
      </w:pPr>
      <w:r>
        <w:rPr>
          <w:i/>
        </w:rPr>
        <w:t xml:space="preserve">Sources/notes:</w:t>
      </w:r>
      <w:r>
        <w:t xml:space="preserve"> </w:t>
      </w:r>
      <w:r>
        <w:t xml:space="preserve">New Mexico-Arizona Enabling Act of June 20, 1910,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$32.6B [AS OF Oct. 31, 2024] per the NM State Investment Council verification packet. Fondomonte groundwater is the live</w:t>
      </w:r>
      <w:r>
        <w:t xml:space="preserve"> </w:t>
      </w:r>
      <w:r>
        <w:t xml:space="preserve">“</w:t>
      </w:r>
      <w:r>
        <w:t xml:space="preserve">natural products</w:t>
      </w:r>
      <w:r>
        <w:t xml:space="preserve">”</w:t>
      </w:r>
      <w:r>
        <w:t xml:space="preserve"> </w:t>
      </w:r>
      <w:r>
        <w:t xml:space="preserve">breach question; Lassen (true-value compensation for highway easements) is the doctrinal anchor.</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z.png" id="0" name="Picture"/>
                    <pic:cNvPicPr>
                      <a:picLocks noChangeArrowheads="1" noChangeAspect="1"/>
                    </pic:cNvPicPr>
                  </pic:nvPicPr>
                  <pic:blipFill>
                    <a:blip r:embed="rId7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schooltrusts.net/reading/us-az, for current figures, recent developments, and sources.</w:t>
      </w:r>
    </w:p>
    <w:p>
      <w:r>
        <w:br w:type="page"/>
      </w:r>
    </w:p>
    <w:p>
      <w:pPr>
        <w:pStyle w:val="Heading2"/>
      </w:pPr>
      <w:bookmarkStart w:id="72" w:name="X874e082d843603f4125cd8c9eebe92a0b66a682"/>
      <w:r>
        <w:t xml:space="preserve">Arkansas — The Endowment That Was Gone Before Anyone Looked</w:t>
      </w:r>
      <w:bookmarkEnd w:id="72"/>
    </w:p>
    <w:p>
      <w:pPr>
        <w:pStyle w:val="FirstParagraph"/>
      </w:pP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whole file as an archival matter rather than a living trust.</w:t>
      </w:r>
    </w:p>
    <w:p>
      <w:pPr>
        <w:pStyle w:val="BodyText"/>
      </w:pPr>
      <w:r>
        <w:rPr>
          <w:b/>
        </w:rPr>
        <w:t xml:space="preserve">The Story.</w:t>
      </w:r>
      <w:r>
        <w:t xml:space="preserve"> </w:t>
      </w:r>
      <w:r>
        <w:t xml:space="preserve">Arkansas is the leanest school-trust story in the country, and the loss here is not a dramatic theft but a slow disappearance. The 1836 grant was the bare single-section template — Section 16</w:t>
      </w:r>
      <w:r>
        <w:t xml:space="preserve"> </w:t>
      </w:r>
      <w:r>
        <w:t xml:space="preserve">“</w:t>
      </w:r>
      <w:r>
        <w:t xml:space="preserve">for the use of schools,</w:t>
      </w:r>
      <w:r>
        <w:t xml:space="preserve">”</w:t>
      </w:r>
      <w:r>
        <w:t xml:space="preserve"> </w:t>
      </w:r>
      <w:r>
        <w:t xml:space="preserve">with no</w:t>
      </w:r>
      <w:r>
        <w:t xml:space="preserve"> </w:t>
      </w:r>
      <w:r>
        <w:t xml:space="preserve">“</w:t>
      </w:r>
      <w:r>
        <w:t xml:space="preserve">in trust</w:t>
      </w:r>
      <w:r>
        <w:t xml:space="preserve">”</w:t>
      </w:r>
      <w:r>
        <w:t xml:space="preserve"> </w:t>
      </w:r>
      <w:r>
        <w:t xml:space="preserve">language, no restoration clause, no federal enforcer. Whatever fiduciary weight it carried came entirely from later court doctrine, chiefly</w:t>
      </w:r>
      <w:r>
        <w:t xml:space="preserve"> </w:t>
      </w:r>
      <w:r>
        <w:rPr>
          <w:i/>
        </w:rPr>
        <w:t xml:space="preserve">Cooper v. Roberts</w:t>
      </w:r>
      <w:r>
        <w:t xml:space="preserve"> </w:t>
      </w:r>
      <w:r>
        <w:t xml:space="preserve">(1855). Then the 1843 federal sale authority converted the reserved land into sale proceeds, pushing the trust off the visible map and into the hard-to-track ledgers of township-level administration. There was no Arkansas equivalent of Oregon’s elected land board to stand guard; fiduciary discipline depended entirely on how strictly the state supreme court would read Article 14, §2’s anti-diversion rule — and the court read it functionally, not strictly. Under the</w:t>
      </w:r>
      <w:r>
        <w:t xml:space="preserve"> </w:t>
      </w:r>
      <w:r>
        <w:rPr>
          <w:i/>
        </w:rPr>
        <w:t xml:space="preserve">Rainwater</w:t>
      </w:r>
      <w:r>
        <w:t xml:space="preserve"> </w:t>
      </w:r>
      <w:r>
        <w:t xml:space="preserve">benefit test, school money could be spent on anything that</w:t>
      </w:r>
      <w:r>
        <w:t xml:space="preserve"> </w:t>
      </w:r>
      <w:r>
        <w:t xml:space="preserve">“</w:t>
      </w:r>
      <w:r>
        <w:t xml:space="preserve">benefited</w:t>
      </w:r>
      <w:r>
        <w:t xml:space="preserve">”</w:t>
      </w:r>
      <w:r>
        <w:t xml:space="preserve"> </w:t>
      </w:r>
      <w:r>
        <w:t xml:space="preserve">schools. By the time Arkansas’s modern education-finance doctrine matured in the</w:t>
      </w:r>
      <w:r>
        <w:t xml:space="preserve"> </w:t>
      </w:r>
      <w:r>
        <w:rPr>
          <w:i/>
        </w:rPr>
        <w:t xml:space="preserve">DuPree</w:t>
      </w:r>
      <w:r>
        <w:t xml:space="preserve"> </w:t>
      </w:r>
      <w:r>
        <w:t xml:space="preserve">(1983) and</w:t>
      </w:r>
      <w:r>
        <w:t xml:space="preserve"> </w:t>
      </w:r>
      <w:r>
        <w:rPr>
          <w:i/>
        </w:rPr>
        <w:t xml:space="preserve">Lake View</w:t>
      </w:r>
      <w:r>
        <w:t xml:space="preserve"> </w:t>
      </w:r>
      <w:r>
        <w:t xml:space="preserve">(2002) line, the question being litigated was no longer the integrity of a trust corpus — it was whether the legislature funded the schools enough out of general revenue.</w:t>
      </w:r>
      <w:r>
        <w:t xml:space="preserve"> </w:t>
      </w:r>
      <w:r>
        <w:rPr>
          <w:i/>
        </w:rPr>
        <w:t xml:space="preserve">Lake View</w:t>
      </w:r>
      <w:r>
        <w:t xml:space="preserve"> </w:t>
      </w:r>
      <w:r>
        <w:t xml:space="preserve">won a landmark adequacy ruling and years of court supervision, but it could not rebuild an endowment that had been gone for over a century. The newest fight, the 2024 LEARNS Act voucher challenge, tests whether §2 reaches public-school dollars routed through private hands at all.</w:t>
      </w:r>
    </w:p>
    <w:p>
      <w:pPr>
        <w:pStyle w:val="BodyText"/>
      </w:pPr>
      <w:r>
        <w:rPr>
          <w:b/>
        </w:rPr>
        <w:t xml:space="preserve">Lesson:</w:t>
      </w:r>
      <w:r>
        <w:t xml:space="preserve"> </w:t>
      </w:r>
      <w:r>
        <w:t xml:space="preserve">Weak federal architecture plus weak state architecture produces predictable loss — and it happens too early and too quietly to ever become a scandal anyone fights over. (See Ch. 4,</w:t>
      </w:r>
      <w:r>
        <w:t xml:space="preserve"> </w:t>
      </w:r>
      <w:r>
        <w:t xml:space="preserve">“</w:t>
      </w:r>
      <w:r>
        <w:t xml:space="preserve">Drift.</w:t>
      </w:r>
      <w:r>
        <w:t xml:space="preserve">”</w:t>
      </w:r>
      <w:r>
        <w:t xml:space="preserve">)</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ar.png" id="0" name="Picture"/>
                    <pic:cNvPicPr>
                      <a:picLocks noChangeArrowheads="1" noChangeAspect="1"/>
                    </pic:cNvPicPr>
                  </pic:nvPicPr>
                  <pic:blipFill>
                    <a:blip r:embed="rId7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schooltrusts.net/reading/us-ar, for current figures, recent developments, and sources.</w:t>
      </w:r>
    </w:p>
    <w:p>
      <w:r>
        <w:br w:type="page"/>
      </w:r>
    </w:p>
    <w:p>
      <w:pPr>
        <w:pStyle w:val="Heading2"/>
      </w:pPr>
      <w:bookmarkStart w:id="74" w:name="Xadd67f5d427fd97956b466aa79773883a9a6772"/>
      <w:r>
        <w:t xml:space="preserve">California — The Grant That Arrived, the Trust That Never Did</w:t>
      </w:r>
      <w:bookmarkEnd w:id="74"/>
    </w:p>
    <w:p>
      <w:pPr>
        <w:pStyle w:val="FirstParagraph"/>
      </w:pP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installed.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nothing left to protect. California tried to install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trust corpus is not created by a federal grant; it is created by the discipline to hold the land and price it. Skip that, and the endowment never exists — no theft required.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the 1851/1853 indemnity point is already correct in the source — do not</w:t>
      </w:r>
      <w:r>
        <w:t xml:space="preserve"> </w:t>
      </w:r>
      <w:r>
        <w:t xml:space="preserve">“</w:t>
      </w:r>
      <w:r>
        <w:t xml:space="preserve">fix</w:t>
      </w:r>
      <w:r>
        <w:t xml:space="preserve">”</w:t>
      </w:r>
      <w:r>
        <w:t xml:space="preserve">); 1852 warrant system; Act of July 23, 1866, 14 Stat. 218; Cal. Pub. Res. Code §§8701 et seq. (1984); State Lands Commission FY 2024-25 Annual Report. Fund balance $65.7M and CalSTRS transfer $6.4M are [AS OF FY 2024-25]; Prop 98 ~$80B is [AS OF FY 2024-25]. Geothermal (Geysers) and downtown real estate per Margaret.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ca.png" id="0" name="Picture"/>
                    <pic:cNvPicPr>
                      <a:picLocks noChangeArrowheads="1" noChangeAspect="1"/>
                    </pic:cNvPicPr>
                  </pic:nvPicPr>
                  <pic:blipFill>
                    <a:blip r:embed="rId7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schooltrusts.net/reading/us-ca, for current figures, recent developments, and sources.</w:t>
      </w:r>
    </w:p>
    <w:p>
      <w:r>
        <w:br w:type="page"/>
      </w:r>
    </w:p>
    <w:p>
      <w:pPr>
        <w:pStyle w:val="Heading2"/>
      </w:pPr>
      <w:bookmarkStart w:id="76" w:name="Xe68d47f0c9cbccca06c05b9c6b20ac54f6ea66d"/>
      <w:r>
        <w:t xml:space="preserve">Colorado — The State That Renegotiated Its Trust at the Ballot Box</w:t>
      </w:r>
      <w:bookmarkEnd w:id="76"/>
    </w:p>
    <w:p>
      <w:pPr>
        <w:pStyle w:val="FirstParagraph"/>
      </w:pP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Per the verification sweep: Colorado has NOT fully</w:t>
      </w:r>
      <w:r>
        <w:t xml:space="preserve"> </w:t>
      </w:r>
      <w:r>
        <w:t xml:space="preserve">“</w:t>
      </w:r>
      <w:r>
        <w:t xml:space="preserve">restored</w:t>
      </w:r>
      <w:r>
        <w:t xml:space="preserve">”</w:t>
      </w:r>
      <w:r>
        <w:t xml:space="preserve"> </w:t>
      </w:r>
      <w:r>
        <w:t xml:space="preserve">— the legitimate concern is the BEST gross-income diversion, but the corpus grows on royalties; the</w:t>
      </w:r>
      <w:r>
        <w:t xml:space="preserve"> </w:t>
      </w:r>
      <w:r>
        <w:t xml:space="preserve">“</w:t>
      </w:r>
      <w:r>
        <w:t xml:space="preserve">spending the seed corn / has not restored its trust</w:t>
      </w:r>
      <w:r>
        <w:t xml:space="preserve">”</w:t>
      </w:r>
      <w:r>
        <w:t xml:space="preserve"> </w:t>
      </w:r>
      <w:r>
        <w:t xml:space="preserve">absolute framing is dropped as an overstatement.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co.png" id="0" name="Picture"/>
                    <pic:cNvPicPr>
                      <a:picLocks noChangeArrowheads="1" noChangeAspect="1"/>
                    </pic:cNvPicPr>
                  </pic:nvPicPr>
                  <pic:blipFill>
                    <a:blip r:embed="rId7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schooltrusts.net/reading/us-co, for current figures, recent developments, and sources.</w:t>
      </w:r>
    </w:p>
    <w:p>
      <w:r>
        <w:br w:type="page"/>
      </w:r>
    </w:p>
    <w:p>
      <w:pPr>
        <w:pStyle w:val="Heading2"/>
      </w:pPr>
      <w:bookmarkStart w:id="78" w:name="X64674952db1d25f698a7f377c74ee6ca272d63b"/>
      <w:r>
        <w:t xml:space="preserve">Florida — The Strong Words That Would Not Bind</w:t>
      </w:r>
      <w:bookmarkEnd w:id="78"/>
    </w:p>
    <w:p>
      <w:pPr>
        <w:pStyle w:val="FirstParagraph"/>
      </w:pP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that did not bind.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was the lean single-section template, its trust character supplied only by</w:t>
      </w:r>
      <w:r>
        <w:t xml:space="preserve"> </w:t>
      </w:r>
      <w:r>
        <w:rPr>
          <w:i/>
        </w:rPr>
        <w:t xml:space="preserve">Cooper v. Roberts</w:t>
      </w:r>
      <w:r>
        <w:t xml:space="preserve"> </w:t>
      </w:r>
      <w:r>
        <w:t xml:space="preserve">(1855).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fl.png" id="0" name="Picture"/>
                    <pic:cNvPicPr>
                      <a:picLocks noChangeArrowheads="1" noChangeAspect="1"/>
                    </pic:cNvPicPr>
                  </pic:nvPicPr>
                  <pic:blipFill>
                    <a:blip r:embed="rId7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schooltrusts.net/reading/us-fl, for current figures, recent developments, and sources.</w:t>
      </w:r>
    </w:p>
    <w:p>
      <w:r>
        <w:br w:type="page"/>
      </w:r>
    </w:p>
    <w:p>
      <w:pPr>
        <w:pStyle w:val="Heading2"/>
      </w:pPr>
      <w:bookmarkStart w:id="80" w:name="Xb4434a73d825f6143eb6839b9c506017b06afcb"/>
      <w:r>
        <w:t xml:space="preserve">Hawaii — The Trust With Five Mouths to Feed</w:t>
      </w:r>
      <w:bookmarkEnd w:id="80"/>
    </w:p>
    <w:p>
      <w:pPr>
        <w:pStyle w:val="FirstParagraph"/>
      </w:pP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hi.png" id="0" name="Picture"/>
                    <pic:cNvPicPr>
                      <a:picLocks noChangeArrowheads="1" noChangeAspect="1"/>
                    </pic:cNvPicPr>
                  </pic:nvPicPr>
                  <pic:blipFill>
                    <a:blip r:embed="rId8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schooltrusts.net/reading/us-hi, for current figures, recent developments, and sources.</w:t>
      </w:r>
    </w:p>
    <w:p>
      <w:r>
        <w:br w:type="page"/>
      </w:r>
    </w:p>
    <w:p>
      <w:pPr>
        <w:pStyle w:val="Heading2"/>
      </w:pPr>
      <w:bookmarkStart w:id="82" w:name="idaho-the-five-trustee-fortress"/>
      <w:r>
        <w:t xml:space="preserve">Idaho — The Five-Trustee Fortress</w:t>
      </w:r>
      <w:bookmarkEnd w:id="82"/>
    </w:p>
    <w:p>
      <w:pPr>
        <w:pStyle w:val="FirstParagraph"/>
      </w:pPr>
      <w:r>
        <w:rPr>
          <w:i/>
        </w:rPr>
        <w:t xml:space="preserve">Admitted 1890 - Grant: 2 sections (16 &amp; 36), about 3 million acres - Endowment Fund net position</w:t>
      </w:r>
      <w:r>
        <w:rPr>
          <w:i/>
        </w:rPr>
        <w:t xml:space="preserve"> </w:t>
      </w:r>
      <w:r>
        <w:rPr>
          <w:b/>
          <w:i/>
        </w:rPr>
        <w:t xml:space="preserve">$3,592,674,268 as of June 30, 2025</w:t>
      </w:r>
      <w:r>
        <w:rPr>
          <w:i/>
        </w:rPr>
        <w:t xml:space="preserve">;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t xml:space="preserve">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d.png" id="0" name="Picture"/>
                    <pic:cNvPicPr>
                      <a:picLocks noChangeArrowheads="1" noChangeAspect="1"/>
                    </pic:cNvPicPr>
                  </pic:nvPicPr>
                  <pic:blipFill>
                    <a:blip r:embed="rId8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schooltrusts.net/reading/us-id, for current figures, recent developments, and sources.</w:t>
      </w:r>
    </w:p>
    <w:p>
      <w:r>
        <w:br w:type="page"/>
      </w:r>
    </w:p>
    <w:p>
      <w:pPr>
        <w:pStyle w:val="Heading2"/>
      </w:pPr>
      <w:bookmarkStart w:id="84" w:name="X39922a786b21a573a7f470d28b72bea44882622"/>
      <w:r>
        <w:t xml:space="preserve">Illinois — The Quiet Sell-Off, One Township at a Time</w:t>
      </w:r>
      <w:bookmarkEnd w:id="84"/>
    </w:p>
    <w:p>
      <w:pPr>
        <w:pStyle w:val="FirstParagraph"/>
      </w:pP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was the lean Northwest Ordinance template: one section per township,</w:t>
      </w:r>
      <w:r>
        <w:t xml:space="preserve"> </w:t>
      </w:r>
      <w:r>
        <w:t xml:space="preserve">“</w:t>
      </w:r>
      <w:r>
        <w:t xml:space="preserve">for the use of schools,</w:t>
      </w:r>
      <w:r>
        <w:t xml:space="preserve">”</w:t>
      </w:r>
      <w:r>
        <w:t xml:space="preserve"> </w:t>
      </w:r>
      <w:r>
        <w:t xml:space="preserve">no trust language, no restoration clause, no enforcer. What gave it any teeth at all was the U.S. Supreme Court’s later ruling in</w:t>
      </w:r>
      <w:r>
        <w:t xml:space="preserve"> </w:t>
      </w:r>
      <w:r>
        <w:rPr>
          <w:i/>
        </w:rPr>
        <w:t xml:space="preserve">Cooper v. Roberts</w:t>
      </w:r>
      <w:r>
        <w:t xml:space="preserve"> </w:t>
      </w:r>
      <w:r>
        <w:t xml:space="preserve">(1855) that grants like this created</w:t>
      </w:r>
      <w:r>
        <w:t xml:space="preserve"> </w:t>
      </w:r>
      <w:r>
        <w:t xml:space="preserve">“</w:t>
      </w:r>
      <w:r>
        <w:t xml:space="preserve">a sacred obligation.</w:t>
      </w:r>
      <w:r>
        <w:t xml:space="preserve">”</w:t>
      </w:r>
      <w:r>
        <w:t xml:space="preserve"> </w:t>
      </w:r>
      <w:r>
        <w:t xml:space="preserve">But by the time that doctrine existed,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l.png" id="0" name="Picture"/>
                    <pic:cNvPicPr>
                      <a:picLocks noChangeArrowheads="1" noChangeAspect="1"/>
                    </pic:cNvPicPr>
                  </pic:nvPicPr>
                  <pic:blipFill>
                    <a:blip r:embed="rId8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schooltrusts.net/reading/us-il, for current figures, recent developments, and sources.</w:t>
      </w:r>
    </w:p>
    <w:p>
      <w:r>
        <w:br w:type="page"/>
      </w:r>
    </w:p>
    <w:p>
      <w:pPr>
        <w:pStyle w:val="Heading2"/>
      </w:pPr>
      <w:bookmarkStart w:id="86" w:name="Xeda3ba0927e6911f4768f2e84d840125d50894a"/>
      <w:r>
        <w:t xml:space="preserve">Indiana — The Strong Words and the Vanishing Land</w:t>
      </w:r>
      <w:bookmarkEnd w:id="86"/>
    </w:p>
    <w:p>
      <w:pPr>
        <w:pStyle w:val="FirstParagraph"/>
      </w:pP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a weak federal grant and wrote a strong state trust over it. The 1816 Enabling Act gave the lean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n.png" id="0" name="Picture"/>
                    <pic:cNvPicPr>
                      <a:picLocks noChangeArrowheads="1" noChangeAspect="1"/>
                    </pic:cNvPicPr>
                  </pic:nvPicPr>
                  <pic:blipFill>
                    <a:blip r:embed="rId8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schooltrusts.net/reading/us-in, for current figures, recent developments, and sources.</w:t>
      </w:r>
    </w:p>
    <w:p>
      <w:r>
        <w:br w:type="page"/>
      </w:r>
    </w:p>
    <w:p>
      <w:pPr>
        <w:pStyle w:val="Heading2"/>
      </w:pPr>
      <w:bookmarkStart w:id="88" w:name="iowa-the-perfect-words-the-missing-guard"/>
      <w:r>
        <w:t xml:space="preserve">Iowa — The Perfect Words, the Missing Guard</w:t>
      </w:r>
      <w:bookmarkEnd w:id="88"/>
    </w:p>
    <w:p>
      <w:pPr>
        <w:pStyle w:val="FirstParagraph"/>
      </w:pP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ia.png" id="0" name="Picture"/>
                    <pic:cNvPicPr>
                      <a:picLocks noChangeArrowheads="1" noChangeAspect="1"/>
                    </pic:cNvPicPr>
                  </pic:nvPicPr>
                  <pic:blipFill>
                    <a:blip r:embed="rId8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schooltrusts.net/reading/us-ia, for current figures, recent developments, and sources.</w:t>
      </w:r>
    </w:p>
    <w:p>
      <w:r>
        <w:br w:type="page"/>
      </w:r>
    </w:p>
    <w:p>
      <w:pPr>
        <w:pStyle w:val="Heading2"/>
      </w:pPr>
      <w:bookmarkStart w:id="90" w:name="kansas-the-long-lawful-hollowing"/>
      <w:r>
        <w:t xml:space="preserve">Kansas — The Long, Lawful Hollowing</w:t>
      </w:r>
      <w:bookmarkEnd w:id="90"/>
    </w:p>
    <w:p>
      <w:pPr>
        <w:pStyle w:val="FirstParagraph"/>
      </w:pP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ks.png" id="0" name="Picture"/>
                    <pic:cNvPicPr>
                      <a:picLocks noChangeArrowheads="1" noChangeAspect="1"/>
                    </pic:cNvPicPr>
                  </pic:nvPicPr>
                  <pic:blipFill>
                    <a:blip r:embed="rId9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schooltrusts.net/reading/us-ks, for current figures, recent developments, and sources.</w:t>
      </w:r>
    </w:p>
    <w:p>
      <w:r>
        <w:br w:type="page"/>
      </w:r>
    </w:p>
    <w:p>
      <w:pPr>
        <w:pStyle w:val="Heading2"/>
      </w:pPr>
      <w:bookmarkStart w:id="92" w:name="X83044b400eb6aabc0e2cdb9d8f2048089f40e85"/>
      <w:r>
        <w:t xml:space="preserve">Louisiana — The Township Grant That Lives in the Parishes</w:t>
      </w:r>
      <w:bookmarkEnd w:id="92"/>
    </w:p>
    <w:p>
      <w:pPr>
        <w:pStyle w:val="FirstParagraph"/>
      </w:pP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la.png" id="0" name="Picture"/>
                    <pic:cNvPicPr>
                      <a:picLocks noChangeArrowheads="1" noChangeAspect="1"/>
                    </pic:cNvPicPr>
                  </pic:nvPicPr>
                  <pic:blipFill>
                    <a:blip r:embed="rId9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schooltrusts.net/reading/us-la, for current figures, recent developments, and sources.</w:t>
      </w:r>
    </w:p>
    <w:p>
      <w:r>
        <w:br w:type="page"/>
      </w:r>
    </w:p>
    <w:p>
      <w:pPr>
        <w:pStyle w:val="Heading2"/>
      </w:pPr>
      <w:bookmarkStart w:id="94" w:name="X81cdef5f8454e4013ec0be0927c2f564d36841d"/>
      <w:r>
        <w:t xml:space="preserve">Michigan — The Headwater That Drained Its Own Well</w:t>
      </w:r>
      <w:bookmarkEnd w:id="94"/>
    </w:p>
    <w:p>
      <w:pPr>
        <w:pStyle w:val="FirstParagraph"/>
      </w:pP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i.png" id="0" name="Picture"/>
                    <pic:cNvPicPr>
                      <a:picLocks noChangeArrowheads="1" noChangeAspect="1"/>
                    </pic:cNvPicPr>
                  </pic:nvPicPr>
                  <pic:blipFill>
                    <a:blip r:embed="rId9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schooltrusts.net/reading/us-mi, for current figures, recent developments, and sources.</w:t>
      </w:r>
    </w:p>
    <w:p>
      <w:r>
        <w:br w:type="page"/>
      </w:r>
    </w:p>
    <w:p>
      <w:pPr>
        <w:pStyle w:val="Heading2"/>
      </w:pPr>
      <w:bookmarkStart w:id="96" w:name="X6710939c407c7a14552c3629bd2dac407f9d302"/>
      <w:r>
        <w:t xml:space="preserve">Minnesota — The State That Copied the Template First, and Kept the Most</w:t>
      </w:r>
      <w:bookmarkEnd w:id="96"/>
    </w:p>
    <w:p>
      <w:pPr>
        <w:pStyle w:val="FirstParagraph"/>
      </w:pP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n.png" id="0" name="Picture"/>
                    <pic:cNvPicPr>
                      <a:picLocks noChangeArrowheads="1" noChangeAspect="1"/>
                    </pic:cNvPicPr>
                  </pic:nvPicPr>
                  <pic:blipFill>
                    <a:blip r:embed="rId9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schooltrusts.net/reading/us-mn, for current figures, recent developments, and sources.</w:t>
      </w:r>
    </w:p>
    <w:p>
      <w:r>
        <w:br w:type="page"/>
      </w:r>
    </w:p>
    <w:p>
      <w:pPr>
        <w:pStyle w:val="Heading2"/>
      </w:pPr>
      <w:bookmarkStart w:id="98" w:name="mississippi-the-trust-leased-for-7.50"/>
      <w:r>
        <w:t xml:space="preserve">Mississippi — The Trust Leased for $7.50</w:t>
      </w:r>
      <w:bookmarkEnd w:id="98"/>
    </w:p>
    <w:p>
      <w:pPr>
        <w:pStyle w:val="FirstParagraph"/>
      </w:pP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w:t>
      </w:r>
      <w:r>
        <w:t xml:space="preserve"> </w:t>
      </w:r>
      <w:r>
        <w:rPr>
          <w:i/>
        </w:rPr>
        <w:t xml:space="preserve">Betrayal_Stories_Research_2026-05-29</w:t>
      </w:r>
      <w:r>
        <w:t xml:space="preserve"> </w:t>
      </w:r>
      <w:r>
        <w:t xml:space="preserve">(Molpus, ~5,000 leases, $24M/yr; death threats tied to his 1989 Mississippi Burning apology, NOT to land reform — excluded here).</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s.png" id="0" name="Picture"/>
                    <pic:cNvPicPr>
                      <a:picLocks noChangeArrowheads="1" noChangeAspect="1"/>
                    </pic:cNvPicPr>
                  </pic:nvPicPr>
                  <pic:blipFill>
                    <a:blip r:embed="rId9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schooltrusts.net/reading/us-ms, for current figures, recent developments, and sources.</w:t>
      </w:r>
    </w:p>
    <w:p>
      <w:r>
        <w:br w:type="page"/>
      </w:r>
    </w:p>
    <w:p>
      <w:pPr>
        <w:pStyle w:val="Heading2"/>
      </w:pPr>
      <w:bookmarkStart w:id="100" w:name="X62901b0ffd0a892a719f2e0dd2d7769cfc7ffba"/>
      <w:r>
        <w:t xml:space="preserve">Missouri — The Endowment Spent Before the Doctrine Arrived</w:t>
      </w:r>
      <w:bookmarkEnd w:id="100"/>
    </w:p>
    <w:p>
      <w:pPr>
        <w:pStyle w:val="FirstParagraph"/>
      </w:pP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o.png" id="0" name="Picture"/>
                    <pic:cNvPicPr>
                      <a:picLocks noChangeArrowheads="1" noChangeAspect="1"/>
                    </pic:cNvPicPr>
                  </pic:nvPicPr>
                  <pic:blipFill>
                    <a:blip r:embed="rId10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schooltrusts.net/reading/us-mo, for current figures, recent developments, and sources.</w:t>
      </w:r>
    </w:p>
    <w:p>
      <w:r>
        <w:br w:type="page"/>
      </w:r>
    </w:p>
    <w:p>
      <w:pPr>
        <w:pStyle w:val="Heading2"/>
      </w:pPr>
      <w:bookmarkStart w:id="102" w:name="X75a634af18f83edce8391a82dbad9354abc3f74"/>
      <w:r>
        <w:t xml:space="preserve">Montana — The Weak Federal Floor and the Strong State House</w:t>
      </w:r>
      <w:bookmarkEnd w:id="102"/>
    </w:p>
    <w:p>
      <w:pPr>
        <w:pStyle w:val="FirstParagraph"/>
      </w:pP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thin federal text that admitted four states at once. Measured on the project’s four-axis language test — compact form, in-trust words, restoration clause, federal enforcement — Montana scores weak: compact form present, the rest absent. The strong language Congress would invent for New Mexico and Arizona in 1910 was still twenty-one years off. So the fiduciary weight in Montana lives almost entirely in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weak federal floor can be made serviceable by a strong state constitution, a court willing to enforce it, and a beneficiary’s officer seated among the trustees.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t xml:space="preserve">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mt.png" id="0" name="Picture"/>
                    <pic:cNvPicPr>
                      <a:picLocks noChangeArrowheads="1" noChangeAspect="1"/>
                    </pic:cNvPicPr>
                  </pic:nvPicPr>
                  <pic:blipFill>
                    <a:blip r:embed="rId10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schooltrusts.net/reading/us-mt, for current figures, recent developments, and sources.</w:t>
      </w:r>
    </w:p>
    <w:p>
      <w:r>
        <w:br w:type="page"/>
      </w:r>
    </w:p>
    <w:p>
      <w:pPr>
        <w:pStyle w:val="Heading2"/>
      </w:pPr>
      <w:bookmarkStart w:id="104" w:name="X868a68d06ba98bcc88838ee4b469447829f0532"/>
      <w:r>
        <w:t xml:space="preserve">Nebraska — Strong Pillars, Quiet Enforcement</w:t>
      </w:r>
      <w:bookmarkEnd w:id="104"/>
    </w:p>
    <w:p>
      <w:pPr>
        <w:pStyle w:val="FirstParagraph"/>
      </w:pPr>
      <w:r>
        <w:rPr>
          <w:i/>
        </w:rPr>
        <w:t xml:space="preserve">Admitted 1867 · Grant: sections 16 and 36 plus in-lieu (2,797,520.67 acres granted; ~1.25 million still held) [AS OF FY25] · School Trust portfolio</w:t>
      </w:r>
      <w:r>
        <w:rPr>
          <w:i/>
        </w:rPr>
        <w:t xml:space="preserve"> </w:t>
      </w:r>
      <w:r>
        <w:rPr>
          <w:b/>
          <w:i/>
        </w:rPr>
        <w:t xml:space="preserve">$3,047,262,853.42 as of June 30, 2025</w:t>
      </w:r>
      <w:r>
        <w:rPr>
          <w:i/>
        </w:rPr>
        <w:t xml:space="preserve">;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t xml:space="preserve">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e.png" id="0" name="Picture"/>
                    <pic:cNvPicPr>
                      <a:picLocks noChangeArrowheads="1" noChangeAspect="1"/>
                    </pic:cNvPicPr>
                  </pic:nvPicPr>
                  <pic:blipFill>
                    <a:blip r:embed="rId10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schooltrusts.net/reading/us-ne, for current figures, recent developments, and sources.</w:t>
      </w:r>
    </w:p>
    <w:p>
      <w:r>
        <w:br w:type="page"/>
      </w:r>
    </w:p>
    <w:p>
      <w:pPr>
        <w:pStyle w:val="Heading2"/>
      </w:pPr>
      <w:bookmarkStart w:id="106" w:name="nevada-the-endowment-it-traded-away"/>
      <w:r>
        <w:t xml:space="preserve">Nevada — The Endowment It Traded Away</w:t>
      </w:r>
      <w:bookmarkEnd w:id="106"/>
    </w:p>
    <w:p>
      <w:pPr>
        <w:pStyle w:val="FirstParagraph"/>
      </w:pP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 as of June 30, 2025</w:t>
      </w:r>
      <w:r>
        <w:rPr>
          <w:i/>
        </w:rPr>
        <w:t xml:space="preserve"> </w:t>
      </w:r>
      <w:r>
        <w:rPr>
          <w:i/>
        </w:rPr>
        <w:t xml:space="preserve">(not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substrate’s phrase fits: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v.png" id="0" name="Picture"/>
                    <pic:cNvPicPr>
                      <a:picLocks noChangeArrowheads="1" noChangeAspect="1"/>
                    </pic:cNvPicPr>
                  </pic:nvPicPr>
                  <pic:blipFill>
                    <a:blip r:embed="rId10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schooltrusts.net/reading/us-nv, for current figures, recent developments, and sources.</w:t>
      </w:r>
    </w:p>
    <w:p>
      <w:r>
        <w:br w:type="page"/>
      </w:r>
    </w:p>
    <w:p>
      <w:pPr>
        <w:pStyle w:val="Heading2"/>
      </w:pPr>
      <w:bookmarkStart w:id="108" w:name="X8837d14c1ab3cae9ef512272f5136c45a7351ad"/>
      <w:r>
        <w:t xml:space="preserve">New Mexico — The State That Wrote in the Teeth</w:t>
      </w:r>
      <w:bookmarkEnd w:id="108"/>
    </w:p>
    <w:p>
      <w:pPr>
        <w:pStyle w:val="FirstParagraph"/>
      </w:pPr>
      <w:r>
        <w:rPr>
          <w:i/>
        </w:rPr>
        <w:t xml:space="preserve">Admitted 1912 · Grant: 4 sections (2, 16, 32, 36) · Land Grant Permanent Fund ≈ $32.6 billion [AS OF Oct.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trust purposes are exact, exclusive, and admit of no addition. A century later the corpus stands near $32.6 billion [AS OF Oct.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purposes must be regarded; they must be performed; they admit of no substitution; they admit of no addition.</w:t>
      </w:r>
      <w:r>
        <w:rPr>
          <w:i/>
        </w:rPr>
        <w:t xml:space="preserve">”</w:t>
      </w:r>
      <w:r>
        <w:rPr>
          <w:i/>
        </w:rPr>
        <w:t xml:space="preserve"> </w:t>
      </w:r>
      <w:r>
        <w:rPr>
          <w:i/>
        </w:rPr>
        <w:t xml:space="preserve">— Ervien v. United States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FY2024 (≈$32.6B as of Oct. 31, 2024).</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m.png" id="0" name="Picture"/>
                    <pic:cNvPicPr>
                      <a:picLocks noChangeArrowheads="1" noChangeAspect="1"/>
                    </pic:cNvPicPr>
                  </pic:nvPicPr>
                  <pic:blipFill>
                    <a:blip r:embed="rId10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schooltrusts.net/reading/us-nm, for current figures, recent developments, and sources.</w:t>
      </w:r>
    </w:p>
    <w:p>
      <w:r>
        <w:br w:type="page"/>
      </w:r>
    </w:p>
    <w:p>
      <w:pPr>
        <w:pStyle w:val="Heading2"/>
      </w:pPr>
      <w:bookmarkStart w:id="110" w:name="Xa3c5a31839fc93e8f8187c29da05ff13f9cb701"/>
      <w:r>
        <w:t xml:space="preserve">North Dakota — The Bridge That Held, and Then Struck Oil</w:t>
      </w:r>
      <w:bookmarkEnd w:id="110"/>
    </w:p>
    <w:p>
      <w:pPr>
        <w:pStyle w:val="FirstParagraph"/>
      </w:pPr>
      <w:r>
        <w:rPr>
          <w:i/>
        </w:rPr>
        <w:t xml:space="preserve">Admitted 1889 (first of the Omnibus quartet) - Grant: 2 sections (16 &amp; 36) - Common Schools Trust Fund</w:t>
      </w:r>
      <w:r>
        <w:rPr>
          <w:i/>
        </w:rPr>
        <w:t xml:space="preserve"> </w:t>
      </w:r>
      <w:r>
        <w:rPr>
          <w:b/>
          <w:i/>
        </w:rPr>
        <w:t xml:space="preserve">about $8.4 billion as of November 30, 2025</w:t>
      </w:r>
      <w:r>
        <w:rPr>
          <w:i/>
        </w:rPr>
        <w:t xml:space="preserve"> </w:t>
      </w:r>
      <w:r>
        <w:rPr>
          <w:i/>
        </w:rPr>
        <w:t xml:space="preserve">-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took a measurable step past the thin templates of the antebellum era. The 1859 Oregon act had said only that the land was granted</w:t>
      </w:r>
      <w:r>
        <w:t xml:space="preserve"> </w:t>
      </w:r>
      <w:r>
        <w:t xml:space="preserve">“</w:t>
      </w:r>
      <w:r>
        <w:t xml:space="preserve">for the use of schools</w:t>
      </w:r>
      <w:r>
        <w:t xml:space="preserve">”</w:t>
      </w:r>
      <w:r>
        <w:t xml:space="preserve"> </w:t>
      </w:r>
      <w:r>
        <w:t xml:space="preserve">and left the fund-building to the state. The 1889 act did that work itself,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On the project’s strength scale the Omnibus Act scores a 2: it has the compact form and the restoration clause, but not yet the express</w:t>
      </w:r>
      <w:r>
        <w:t xml:space="preserve"> </w:t>
      </w:r>
      <w:r>
        <w:t xml:space="preserve">“</w:t>
      </w:r>
      <w:r>
        <w:t xml:space="preserve">held in trust</w:t>
      </w:r>
      <w:r>
        <w:t xml:space="preserve">”</w:t>
      </w:r>
      <w:r>
        <w:t xml:space="preserve"> </w:t>
      </w:r>
      <w:r>
        <w:t xml:space="preserve">words or the federal-enforcer duty. North Dakota is the bridge between the weak template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about $8.4 billion as of November 30, 2025</w:t>
      </w:r>
      <w:r>
        <w:t xml:space="preserve">.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about $8.4 billion as of November 30, 2025</w:t>
      </w:r>
      <w:r>
        <w:t xml:space="preserve">,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(≈$8.4B, Nov. 2025).</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nd.png" id="0" name="Picture"/>
                    <pic:cNvPicPr>
                      <a:picLocks noChangeArrowheads="1" noChangeAspect="1"/>
                    </pic:cNvPicPr>
                  </pic:nvPicPr>
                  <pic:blipFill>
                    <a:blip r:embed="rId11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schooltrusts.net/reading/us-nd, for current figures, recent developments, and sources.</w:t>
      </w:r>
    </w:p>
    <w:p>
      <w:r>
        <w:br w:type="page"/>
      </w:r>
    </w:p>
    <w:p>
      <w:pPr>
        <w:pStyle w:val="Heading2"/>
      </w:pPr>
      <w:bookmarkStart w:id="112" w:name="X5f0e284dc2fd627bb9c9f14c8fd5440537d1a8d"/>
      <w:r>
        <w:t xml:space="preserve">Ohio — The Template That Wrote Itself a Loophole</w:t>
      </w:r>
      <w:bookmarkEnd w:id="112"/>
    </w:p>
    <w:p>
      <w:pPr>
        <w:pStyle w:val="FirstParagraph"/>
      </w:pP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t xml:space="preserve">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h.png" id="0" name="Picture"/>
                    <pic:cNvPicPr>
                      <a:picLocks noChangeArrowheads="1" noChangeAspect="1"/>
                    </pic:cNvPicPr>
                  </pic:nvPicPr>
                  <pic:blipFill>
                    <a:blip r:embed="rId11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schooltrusts.net/reading/us-oh, for current figures, recent developments, and sources.</w:t>
      </w:r>
    </w:p>
    <w:p>
      <w:r>
        <w:br w:type="page"/>
      </w:r>
    </w:p>
    <w:p>
      <w:pPr>
        <w:pStyle w:val="Heading2"/>
      </w:pPr>
      <w:bookmarkStart w:id="114" w:name="X7226a7d195431b776ecc8f4532457dd43c952d9"/>
      <w:r>
        <w:t xml:space="preserve">Oklahoma — Half Land, Half Ledger, All Sacred Trust</w:t>
      </w:r>
      <w:bookmarkEnd w:id="114"/>
    </w:p>
    <w:p>
      <w:pPr>
        <w:pStyle w:val="FirstParagraph"/>
      </w:pP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thin — and even when half the endowment is only money. (See Ch. 5.) —</w:t>
      </w:r>
      <w:r>
        <w:t xml:space="preserve"> </w:t>
      </w:r>
      <w:r>
        <w:rPr>
          <w:i/>
        </w:rPr>
        <w:t xml:space="preserve">Sources/notes:</w:t>
      </w:r>
      <w:r>
        <w:t xml:space="preserve"> </w:t>
      </w:r>
      <w:r>
        <w:t xml:space="preserve">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k.png" id="0" name="Picture"/>
                    <pic:cNvPicPr>
                      <a:picLocks noChangeArrowheads="1" noChangeAspect="1"/>
                    </pic:cNvPicPr>
                  </pic:nvPicPr>
                  <pic:blipFill>
                    <a:blip r:embed="rId115"/>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schooltrusts.net/reading/us-ok, for current figures, recent developments, and sources.</w:t>
      </w:r>
    </w:p>
    <w:p>
      <w:r>
        <w:br w:type="page"/>
      </w:r>
    </w:p>
    <w:p>
      <w:pPr>
        <w:pStyle w:val="Heading2"/>
      </w:pPr>
      <w:bookmarkStart w:id="116" w:name="X64f4b7a175fac1c331652e4074a59b57edbcff3"/>
      <w:r>
        <w:t xml:space="preserve">Oregon — The Sale That the Seller Made to Itself</w:t>
      </w:r>
      <w:bookmarkEnd w:id="116"/>
    </w:p>
    <w:p>
      <w:pPr>
        <w:pStyle w:val="FirstParagraph"/>
      </w:pPr>
      <w:r>
        <w:rPr>
          <w:i/>
        </w:rPr>
        <w:t xml:space="preserve">Admitted 1859 - Grant: 2 sections (16 &amp; 36); nearly 3.4 million acres - Common School Fund audited fund balance</w:t>
      </w:r>
      <w:r>
        <w:rPr>
          <w:i/>
        </w:rPr>
        <w:t xml:space="preserve"> </w:t>
      </w:r>
      <w:r>
        <w:rPr>
          <w:b/>
          <w:i/>
        </w:rPr>
        <w:t xml:space="preserve">$2,585,199,612 as of June 30, 2025</w:t>
      </w:r>
      <w:r>
        <w:rPr>
          <w:i/>
        </w:rPr>
        <w:t xml:space="preserve">;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 Cascadia Wildlands v. DSL (2019); Advocates for School Trust Lands v. State, 346 Or. App. 668 (2026); OASTL valuation materials (contested); DSL Common School Fund reports.</w:t>
      </w:r>
    </w:p>
    <w:p>
      <w:r>
        <w:pict>
          <v:rect style="width:0;height:1.5pt" o:hralign="center" o:hrstd="t" o:hr="t"/>
        </w:pict>
      </w:r>
    </w:p>
    <w:p>
      <w:pPr>
        <w:pStyle w:val="Heading3"/>
      </w:pPr>
      <w:bookmarkStart w:id="117" w:name="the-last-thirty-years-the-elliott"/>
      <w:r>
        <w:t xml:space="preserve">The last thirty years: the Elliott</w:t>
      </w:r>
      <w:bookmarkEnd w:id="117"/>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or.png" id="0" name="Picture"/>
                    <pic:cNvPicPr>
                      <a:picLocks noChangeArrowheads="1" noChangeAspect="1"/>
                    </pic:cNvPicPr>
                  </pic:nvPicPr>
                  <pic:blipFill>
                    <a:blip r:embed="rId118"/>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schooltrusts.net/reading/us-or, for current figures, recent developments, and sources.</w:t>
      </w:r>
    </w:p>
    <w:p>
      <w:r>
        <w:br w:type="page"/>
      </w:r>
    </w:p>
    <w:p>
      <w:pPr>
        <w:pStyle w:val="Heading2"/>
      </w:pPr>
      <w:bookmarkStart w:id="119" w:name="X709288ddcd85848cc8687643a1b6c7079f222d5"/>
      <w:r>
        <w:t xml:space="preserve">South Dakota — The Trust the Courts Took Seriously</w:t>
      </w:r>
      <w:bookmarkEnd w:id="119"/>
    </w:p>
    <w:p>
      <w:pPr>
        <w:pStyle w:val="FirstParagraph"/>
      </w:pPr>
      <w:r>
        <w:rPr>
          <w:i/>
        </w:rPr>
        <w:t xml:space="preserve">Admitted 1889 (Omnibus quartet) - Grant: 2 sections (16 &amp; 36), about 3.5 million acres - School and Public Lands Fund ending fair value</w:t>
      </w:r>
      <w:r>
        <w:rPr>
          <w:i/>
        </w:rPr>
        <w:t xml:space="preserve"> </w:t>
      </w:r>
      <w:r>
        <w:rPr>
          <w:b/>
          <w:i/>
        </w:rPr>
        <w:t xml:space="preserve">$430,690,564 as of June 30, 2025</w:t>
      </w:r>
      <w:r>
        <w:rPr>
          <w:i/>
        </w:rPr>
        <w:t xml:space="preserve"> </w:t>
      </w:r>
      <w:r>
        <w:rPr>
          <w:i/>
        </w:rPr>
        <w:t xml:space="preserve">-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sd.png" id="0" name="Picture"/>
                    <pic:cNvPicPr>
                      <a:picLocks noChangeArrowheads="1" noChangeAspect="1"/>
                    </pic:cNvPicPr>
                  </pic:nvPicPr>
                  <pic:blipFill>
                    <a:blip r:embed="rId120"/>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schooltrusts.net/reading/us-sd, for current figures, recent developments, and sources.</w:t>
      </w:r>
    </w:p>
    <w:p>
      <w:r>
        <w:br w:type="page"/>
      </w:r>
    </w:p>
    <w:p>
      <w:pPr>
        <w:pStyle w:val="Heading2"/>
      </w:pPr>
      <w:bookmarkStart w:id="121" w:name="X1fb5a2b5e1437f8e8b536da20b302182306808f"/>
      <w:r>
        <w:t xml:space="preserve">Tennessee — The Trust That Talked Itself Out of Protection</w:t>
      </w:r>
      <w:bookmarkEnd w:id="121"/>
    </w:p>
    <w:p>
      <w:pPr>
        <w:pStyle w:val="FirstParagraph"/>
      </w:pP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tn.png" id="0" name="Picture"/>
                    <pic:cNvPicPr>
                      <a:picLocks noChangeArrowheads="1" noChangeAspect="1"/>
                    </pic:cNvPicPr>
                  </pic:nvPicPr>
                  <pic:blipFill>
                    <a:blip r:embed="rId122"/>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schooltrusts.net/reading/us-tn, for current figures, recent developments, and sources.</w:t>
      </w:r>
    </w:p>
    <w:p>
      <w:r>
        <w:br w:type="page"/>
      </w:r>
    </w:p>
    <w:p>
      <w:pPr>
        <w:pStyle w:val="Heading2"/>
      </w:pPr>
      <w:bookmarkStart w:id="123" w:name="X86d40a6e3b830d9711a73df5249a796369b204d"/>
      <w:r>
        <w:t xml:space="preserve">Texas — The Sovereign That Kept Its Own Land</w:t>
      </w:r>
      <w:bookmarkEnd w:id="123"/>
    </w:p>
    <w:p>
      <w:pPr>
        <w:pStyle w:val="FirstParagraph"/>
      </w:pP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 as of Aug. 31, 2025</w:t>
      </w:r>
      <w:r>
        <w:rPr>
          <w:i/>
        </w:rPr>
        <w:t xml:space="preserve"> </w:t>
      </w:r>
      <w:r>
        <w:rPr>
          <w:i/>
        </w:rPr>
        <w:t xml:space="preserve">-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 as of Aug. 31, 2025</w:t>
      </w:r>
      <w:r>
        <w:t xml:space="preserve">,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PSF Corporation FY2025 ACFR / TEA disclosure captured in the 2026-05-29 finishing report.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tx.png" id="0" name="Picture"/>
                    <pic:cNvPicPr>
                      <a:picLocks noChangeArrowheads="1" noChangeAspect="1"/>
                    </pic:cNvPicPr>
                  </pic:nvPicPr>
                  <pic:blipFill>
                    <a:blip r:embed="rId124"/>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schooltrusts.net/reading/us-tx, for current figures, recent developments, and sources.</w:t>
      </w:r>
    </w:p>
    <w:p>
      <w:r>
        <w:br w:type="page"/>
      </w:r>
    </w:p>
    <w:p>
      <w:pPr>
        <w:pStyle w:val="Heading2"/>
      </w:pPr>
      <w:bookmarkStart w:id="125" w:name="utah-the-fall-and-the-rebuilding"/>
      <w:r>
        <w:t xml:space="preserve">Utah — The Fall and the Rebuilding</w:t>
      </w:r>
      <w:bookmarkEnd w:id="125"/>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Utah’s legislature drained two-thirds of the permanent school fund — and then a parents-and-educators coalition spent the next decade rebuilding it sixty-fold, into the most successful recovery story in the West.</w:t>
      </w:r>
    </w:p>
    <w:p>
      <w:pPr>
        <w:pStyle w:val="BodyText"/>
      </w:pPr>
      <w:r>
        <w:t xml:space="preserve">Utah got the strongest federal grant Congress had yet written — four sections per township, in answer to the dryness of the Great Basin, plus the first explicit federal permanent-fund requirement — and an 1896 constitution that did something no other public-land state did: it pledged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1983 proved him right.</w:t>
      </w:r>
    </w:p>
    <w:p>
      <w:pPr>
        <w:pStyle w:val="BodyText"/>
      </w:pPr>
      <w:r>
        <w:t xml:space="preserve">For its first eight decades the trust simply drifted. By the 1930s more than half the original acreage had been sold, often at a dollar and a half an acre, and the proceeds did not always reach the permanent fund as the grant required. Then came the crisis — and here the long-standing story has to be corrected. In</w:t>
      </w:r>
      <w:r>
        <w:t xml:space="preserve"> </w:t>
      </w:r>
      <w:r>
        <w:rPr>
          <w:i/>
        </w:rPr>
        <w:t xml:space="preserve">Jensen v. Dinehart</w:t>
      </w:r>
      <w:r>
        <w:t xml:space="preserve"> </w:t>
      </w:r>
      <w:r>
        <w:t xml:space="preserve">(1982), the state auditor argued that mineral royalties could be spent as current income; the Director of State Lands argued they had to be capitalized as corpus. The Utah Supreme Court ruled</w:t>
      </w:r>
      <w:r>
        <w:t xml:space="preserve"> </w:t>
      </w:r>
      <w:r>
        <w:rPr>
          <w:b/>
        </w:rPr>
        <w:t xml:space="preserve">for the trust</w:t>
      </w:r>
      <w:r>
        <w:t xml:space="preserve">: it affirmed that mineral proceeds must stay in the permanent fund and held that the 1939 constitutional amendment which had diverted them violated the federal Enabling Act. The auditor</w:t>
      </w:r>
      <w:r>
        <w:t xml:space="preserve"> </w:t>
      </w:r>
      <w:r>
        <w:rPr>
          <w:i/>
        </w:rPr>
        <w:t xml:space="preserve">lost</w:t>
      </w:r>
      <w:r>
        <w:t xml:space="preserve">. So when the 1983 legislature, in a recession, withdrew roughly $37.5 million and dropped the corpus from about $53.5 million to about $18.6 million, it was acting</w:t>
      </w:r>
      <w:r>
        <w:t xml:space="preserve"> </w:t>
      </w:r>
      <w:r>
        <w:rPr>
          <w:b/>
        </w:rPr>
        <w:t xml:space="preserve">against</w:t>
      </w:r>
      <w:r>
        <w:t xml:space="preserve"> </w:t>
      </w:r>
      <w:r>
        <w:t xml:space="preserve">what</w:t>
      </w:r>
      <w:r>
        <w:t xml:space="preserve"> </w:t>
      </w:r>
      <w:r>
        <w:rPr>
          <w:i/>
        </w:rPr>
        <w:t xml:space="preserve">Jensen</w:t>
      </w:r>
      <w:r>
        <w:t xml:space="preserve"> </w:t>
      </w:r>
      <w:r>
        <w:t xml:space="preserve">had just held, not under its authority. The constitutional guaranty was on the books. There was simply no constituency willing to enforce it.</w:t>
      </w:r>
    </w:p>
    <w:p>
      <w:pPr>
        <w:pStyle w:val="BodyText"/>
      </w:pPr>
      <w:r>
        <w:t xml:space="preserve">Building that constituency was the recovery. It began in 1989 with a Utah PTA resolution from a Monticello member, Sandra Skousen, calling for an investigation — but the PTA was an essential partner, not the leader. The recovery was led by Margaret Bird and a broad education coalition: the State Board of Education, the Utah Education Association, the school-boards and principals’ associations, working through a legislative task force chaired by Rep. Mel Brown. That coalition had also, a few years earlier, beaten back Governor Scott Matheson’s</w:t>
      </w:r>
      <w:r>
        <w:t xml:space="preserve"> </w:t>
      </w:r>
      <w:r>
        <w:t xml:space="preserve">“</w:t>
      </w:r>
      <w:r>
        <w:t xml:space="preserve">Project BOLD,</w:t>
      </w:r>
      <w:r>
        <w:t xml:space="preserve">”</w:t>
      </w:r>
      <w:r>
        <w:t xml:space="preserve"> </w:t>
      </w:r>
      <w:r>
        <w:t xml:space="preserve">whose consolidation pitch concealed (on the documented account) a request buried at page 124 to rewrite the Enabling Act so the grant ran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 a change that would have lifted the trust character off the land entirely. The coalition’s product was the 1994 act creating SITLA, an independent fiduciary agency with a statutory duty of undivided loyalty. Later came SITFO (2014) to manage the investments, the Land Trusts Protection and Advocacy Office (2018) to put a permanent beneficiary advocate inside state government, and — most durable of all — the 1999 School LAND Trust Program, which sends trust dollars straight to every school, governed by a parent-majority council. Now every Utah parent can name what the trust paid for. That is the counterforce a future raid would have to overcome.</w:t>
      </w:r>
    </w:p>
    <w:p>
      <w:pPr>
        <w:pStyle w:val="BodyText"/>
      </w:pPr>
      <w:r>
        <w:rPr>
          <w:b/>
        </w:rPr>
        <w:t xml:space="preserve">Then→now:</w:t>
      </w:r>
      <w:r>
        <w:t xml:space="preserve"> </w:t>
      </w:r>
      <w:r>
        <w:t xml:space="preserve">A corpus drained to about $18.6 million in 1983 →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Architecture without a constituency drifts; a constituency is the active ingredient that actually resists the next seizure. Utah’s guaranty did not stop the 1983 raid — organized beneficiaries built after it did. (See Ch. 5,</w:t>
      </w:r>
      <w:r>
        <w:t xml:space="preserve"> </w:t>
      </w:r>
      <w:r>
        <w:t xml:space="preserve">“</w:t>
      </w:r>
      <w:r>
        <w:t xml:space="preserve">Kept &amp; Rebuilt,</w:t>
      </w:r>
      <w:r>
        <w:t xml:space="preserve">”</w:t>
      </w:r>
      <w:r>
        <w:t xml:space="preserve"> </w:t>
      </w:r>
      <w:r>
        <w:t xml:space="preserve">and Ch. 6.)</w:t>
      </w:r>
    </w:p>
    <w:p>
      <w:pPr>
        <w:pStyle w:val="BodyText"/>
      </w:pPr>
      <w:r>
        <w:rPr>
          <w:i/>
        </w:rPr>
        <w:t xml:space="preserve">Sources/notes:</w:t>
      </w:r>
      <w:r>
        <w:t xml:space="preserve"> </w:t>
      </w:r>
      <w:r>
        <w:t xml:space="preserve">Utah Enabling Act of 1894, sec. 6; Utah Const. art. X sec. 5(2)(e);</w:t>
      </w:r>
      <w:r>
        <w:t xml:space="preserve"> </w:t>
      </w:r>
      <w:r>
        <w:rPr>
          <w:i/>
        </w:rPr>
        <w:t xml:space="preserve">Jensen v. Dinehart</w:t>
      </w:r>
      <w:r>
        <w:t xml:space="preserve"> </w:t>
      </w:r>
      <w:r>
        <w:t xml:space="preserve">(1982); Title 53C (SITLA, 1994); Title 53D (SITFO 2014, LTPAO 2018); School LAND Trust Program (1999); Amendment B (2024); Utah Trust Lands FY2025 performance reporting (permanent funds about $3.3B; FY2025 distributions over $118M, including over $111M to K-12 public education).</w:t>
      </w:r>
      <w:r>
        <w:t xml:space="preserve"> </w:t>
      </w:r>
      <w:r>
        <w:rPr>
          <w:i/>
        </w:rPr>
        <w:t xml:space="preserve">Jensen</w:t>
      </w:r>
      <w:r>
        <w:t xml:space="preserve"> </w:t>
      </w:r>
      <w:r>
        <w:t xml:space="preserve">is corrected here: the trust won; the 1983 withdrawal ran against the holding, not under it. Recovery led by Margaret Bird and the education coalition, with PTA an essential partner. Project BOLD page-124 account remains to be pinned to the archive packet.</w:t>
      </w:r>
    </w:p>
    <w:p>
      <w:r>
        <w:pict>
          <v:rect style="width:0;height:1.5pt" o:hralign="center" o:hrstd="t" o:hr="t"/>
        </w:pict>
      </w:r>
    </w:p>
    <w:p>
      <w:pPr>
        <w:pStyle w:val="Heading3"/>
      </w:pPr>
      <w:bookmarkStart w:id="126" w:name="Xd7f81f87d785ad3381212c065af092376914e75"/>
      <w:r>
        <w:t xml:space="preserve">The last fifty years: fall, reform, and a fresh test</w:t>
      </w:r>
      <w:bookmarkEnd w:id="126"/>
    </w:p>
    <w:p>
      <w:pPr>
        <w:pStyle w:val="FirstParagraph"/>
      </w:pPr>
      <w:r>
        <w:t xml:space="preserve">Utah is this book’s proof that a broken trust can be rebuilt — and its warning that the work is never finished. For most of a century Utah managed its school lands the way most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García, the school boards, and in the legislature Representative Mel Brown, who carried the reform when it counted. The data that made the case took one researcher the better part of those fifteen years to compile, in the days before anyone could compile it quickly.</w:t>
      </w:r>
    </w:p>
    <w:p>
      <w:pPr>
        <w:pStyle w:val="BodyText"/>
      </w:pPr>
      <w:r>
        <w:t xml:space="preserve">Two things broke the logjam. The first was theatre: when federal monument designations in the 1990s swept hundreds of thousands of acres of school sections inside boundaries the schools could not cross, the PTA threatened a family camp-out astride the road to a national park, and the threat alone moved Washington toward exchange. The 1998 Utah Schools and Lands Exchange Act / Grand Staircase exchange record included a $50 million cash component for the schools. The camp-out chronology remains for author review against the Grand Staircase/1998 source record before print. The second was structural and lasting: in 1994 Utah created an independent trust-lands administration with a single, undivided fiduciary mandate, walled off from the budget pressures that had hollowed the trust before. Freed to manage for the beneficiaries alone, the permanent fund grew into the billions, and Utah became the model the rest of the country points to.</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The current L0 packet traces much of the purchase-money structure to public-education reserve funds, but the official state transaction packet still needs to be pinned before final print. Whether Utah stays in the honorable column is, right now, an open question — which is the truest lesson of all: the duty does not expire, the temptation does not end, and the only thing that ever protected the gift was someone willing to watch.</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ut.png" id="0" name="Picture"/>
                    <pic:cNvPicPr>
                      <a:picLocks noChangeArrowheads="1" noChangeAspect="1"/>
                    </pic:cNvPicPr>
                  </pic:nvPicPr>
                  <pic:blipFill>
                    <a:blip r:embed="rId127"/>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schooltrusts.net/reading/us-ut, for current figures, recent developments, and sources.</w:t>
      </w:r>
    </w:p>
    <w:p>
      <w:r>
        <w:br w:type="page"/>
      </w:r>
    </w:p>
    <w:p>
      <w:pPr>
        <w:pStyle w:val="Heading2"/>
      </w:pPr>
      <w:bookmarkStart w:id="128" w:name="X6270d57f38f391831d553cd868c2885ef7b7e9e"/>
      <w:r>
        <w:t xml:space="preserve">Washington — The Strong State Constitution That Backstopped a Weak Federal Deal</w:t>
      </w:r>
      <w:bookmarkEnd w:id="128"/>
    </w:p>
    <w:p>
      <w:pPr>
        <w:pStyle w:val="FirstParagraph"/>
      </w:pP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federal deal said nothing about a</w:t>
      </w:r>
      <w:r>
        <w:t xml:space="preserve"> </w:t>
      </w:r>
      <w:r>
        <w:t xml:space="preserve">“</w:t>
      </w:r>
      <w:r>
        <w:t xml:space="preserve">trust</w:t>
      </w:r>
      <w:r>
        <w:t xml:space="preserve">”</w:t>
      </w:r>
      <w:r>
        <w:t xml:space="preserve"> </w:t>
      </w:r>
      <w:r>
        <w:t xml:space="preserve">— so the state wrote the word into its own constitution, declared its granted lands</w:t>
      </w:r>
      <w:r>
        <w:t xml:space="preserve"> </w:t>
      </w:r>
      <w:r>
        <w:t xml:space="preserve">“</w:t>
      </w:r>
      <w:r>
        <w:t xml:space="preserve">held in trust for all the people,</w:t>
      </w:r>
      <w:r>
        <w:t xml:space="preserve">”</w:t>
      </w:r>
      <w:r>
        <w:t xml:space="preserve"> </w:t>
      </w:r>
      <w:r>
        <w:t xml:space="preserve">and then made the federal government itself pay full market value to take an easement across school land.</w:t>
      </w:r>
    </w:p>
    <w:p>
      <w:pPr>
        <w:pStyle w:val="BodyText"/>
      </w:pPr>
      <w:r>
        <w:t xml:space="preserve">Washington got the same workmanlike Omnibus Act language as its 1889 cohort — a doubled grant</w:t>
      </w:r>
      <w:r>
        <w:t xml:space="preserve"> </w:t>
      </w:r>
      <w:r>
        <w:t xml:space="preserve">“</w:t>
      </w:r>
      <w:r>
        <w:t xml:space="preserve">for the support of common schools,</w:t>
      </w:r>
      <w:r>
        <w:t xml:space="preserve">”</w:t>
      </w:r>
      <w:r>
        <w:t xml:space="preserve"> </w:t>
      </w:r>
      <w:r>
        <w:t xml:space="preserve">no express</w:t>
      </w:r>
      <w:r>
        <w:t xml:space="preserve"> </w:t>
      </w:r>
      <w:r>
        <w:t xml:space="preserve">“</w:t>
      </w:r>
      <w:r>
        <w:t xml:space="preserve">in trust</w:t>
      </w:r>
      <w:r>
        <w:t xml:space="preserve">”</w:t>
      </w:r>
      <w:r>
        <w:t xml:space="preserve"> </w:t>
      </w:r>
      <w:r>
        <w:t xml:space="preserve">clause, no enforcement machinery. What set Washington apart was what it added on its own six weeks before statehood. Article IX, § 1 opens with the strongest education sentence in any state constitution:</w:t>
      </w:r>
      <w:r>
        <w:t xml:space="preserve"> </w:t>
      </w:r>
      <w:r>
        <w:t xml:space="preserve">“</w:t>
      </w:r>
      <w:r>
        <w:t xml:space="preserve">It is the paramount duty of the state to make ample provision for the education of all children.</w:t>
      </w:r>
      <w:r>
        <w:t xml:space="preserve">”</w:t>
      </w:r>
      <w:r>
        <w:t xml:space="preserve"> </w:t>
      </w:r>
      <w:r>
        <w:t xml:space="preserve">Article IX, § 3 locks the permanent common school fund. And Article XVI, the School and Granted Lands article, supplies exactly what the federal text omitted — it declares that</w:t>
      </w:r>
      <w:r>
        <w:t xml:space="preserve"> </w:t>
      </w:r>
      <w:r>
        <w:t xml:space="preserve">“</w:t>
      </w:r>
      <w:r>
        <w:t xml:space="preserve">all the public lands granted to the state are held in trust for all the people</w:t>
      </w:r>
      <w:r>
        <w:t xml:space="preserve">”</w:t>
      </w:r>
      <w:r>
        <w:t xml:space="preserve"> </w:t>
      </w:r>
      <w:r>
        <w:t xml:space="preserve">and forbids disposing of them except at full market value. The framers also chose a single elected Commissioner of Public Lands over a board, betting that one visible, accountable officer would guard the land better than a committee.</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1982 law that had relieved timber companies of unprofitable state-land contracts, holding that the state as trustee owed the beneficiaries undivided loyalty and prudence and could not shift private losses onto the schoolchildren. As recently as 2022, in</w:t>
      </w:r>
      <w:r>
        <w:t xml:space="preserve"> </w:t>
      </w:r>
      <w:r>
        <w:rPr>
          <w:i/>
        </w:rPr>
        <w:t xml:space="preserve">Conservation Northwest</w:t>
      </w:r>
      <w:r>
        <w:t xml:space="preserve">, the court held that the trust runs to the enumerated school and institutional beneficiaries — not to the general public —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made the</w:t>
      </w:r>
      <w:r>
        <w:t xml:space="preserve"> </w:t>
      </w:r>
      <w:r>
        <w:t xml:space="preserve">“</w:t>
      </w:r>
      <w:r>
        <w:t xml:space="preserve">paramount duty</w:t>
      </w:r>
      <w:r>
        <w:t xml:space="preserve">”</w:t>
      </w:r>
      <w:r>
        <w:t xml:space="preserve"> </w:t>
      </w:r>
      <w:r>
        <w:t xml:space="preserve">clause judicially enforceable, and</w:t>
      </w:r>
      <w:r>
        <w:t xml:space="preserve"> </w:t>
      </w:r>
      <w:r>
        <w:rPr>
          <w:i/>
        </w:rPr>
        <w:t xml:space="preserve">McCleary v. State</w:t>
      </w:r>
      <w:r>
        <w:t xml:space="preserve"> </w:t>
      </w:r>
      <w:r>
        <w:t xml:space="preserve">(2012) found the legislature in breach, holding it in contempt and fining it daily until it funded basic education — the most aggressive school-adequacy enforcement in American history. But</w:t>
      </w:r>
      <w:r>
        <w:t xml:space="preserve"> </w:t>
      </w:r>
      <w:r>
        <w:rPr>
          <w:i/>
        </w:rPr>
        <w:t xml:space="preserve">McCleary</w:t>
      </w:r>
      <w:r>
        <w:t xml:space="preserve"> </w:t>
      </w:r>
      <w:r>
        <w:t xml:space="preserve">is a funding case under Article IX, § 1, not a trust-lands case under Article XVI. The two doctrines share a constitutional page; they have rarely shared a courtroom, and conflating them is the standard error this state’s record warns against.</w:t>
      </w:r>
    </w:p>
    <w:p>
      <w:pPr>
        <w:pStyle w:val="BodyText"/>
      </w:pPr>
      <w:r>
        <w:rPr>
          <w:b/>
        </w:rPr>
        <w:t xml:space="preserve">Then→now:</w:t>
      </w:r>
      <w:r>
        <w:t xml:space="preserve"> </w:t>
      </w:r>
      <w:r>
        <w:t xml:space="preserve">A federal deal with no trust language →</w:t>
      </w:r>
      <w:r>
        <w:t xml:space="preserve"> </w:t>
      </w:r>
      <w:r>
        <w:t xml:space="preserve">“</w:t>
      </w:r>
      <w:r>
        <w:t xml:space="preserve">held in trust for all the people,</w:t>
      </w:r>
      <w:r>
        <w:t xml:space="preserve">”</w:t>
      </w:r>
      <w:r>
        <w:t xml:space="preserve"> </w:t>
      </w:r>
      <w:r>
        <w:t xml:space="preserve">enforced against timber companies and the federal government alike.</w:t>
      </w:r>
    </w:p>
    <w:p>
      <w:pPr>
        <w:pStyle w:val="BodyText"/>
      </w:pPr>
      <w:r>
        <w:rPr>
          <w:b/>
        </w:rPr>
        <w:t xml:space="preserve">Lesson:</w:t>
      </w:r>
      <w:r>
        <w:t xml:space="preserve"> </w:t>
      </w:r>
      <w:r>
        <w:t xml:space="preserve">A strong state constitution can supply everything a weak federal compact leaves out — but only for what it actually reaches. The trust-lands duty and the funding duty are different obligations under the same paramount clause. (See Ch. 2 and Ch. 5.)</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a.png" id="0" name="Picture"/>
                    <pic:cNvPicPr>
                      <a:picLocks noChangeArrowheads="1" noChangeAspect="1"/>
                    </pic:cNvPicPr>
                  </pic:nvPicPr>
                  <pic:blipFill>
                    <a:blip r:embed="rId129"/>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schooltrusts.net/reading/us-wa, for current figures, recent developments, and sources.</w:t>
      </w:r>
    </w:p>
    <w:p>
      <w:r>
        <w:br w:type="page"/>
      </w:r>
    </w:p>
    <w:p>
      <w:pPr>
        <w:pStyle w:val="Heading2"/>
      </w:pPr>
      <w:bookmarkStart w:id="130" w:name="Xcf339999e7e18dde0bdde25b80d10f3431dd343"/>
      <w:r>
        <w:t xml:space="preserve">Wisconsin — The Honest Clerk Who Lent the Children’s Money Cheap</w:t>
      </w:r>
      <w:bookmarkEnd w:id="130"/>
    </w:p>
    <w:p>
      <w:pPr>
        <w:pStyle w:val="FirstParagraph"/>
      </w:pP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 as of Aug. 2025</w:t>
      </w:r>
      <w:r>
        <w:rPr>
          <w:i/>
        </w:rPr>
        <w:t xml:space="preserve"> </w:t>
      </w:r>
      <w:r>
        <w:rPr>
          <w:i/>
        </w:rPr>
        <w:t xml:space="preserve">· Trustee: ex-officio board of Secretary of State, Treasurer, and Attorney General · Verdict: Kept faith.</w:t>
      </w:r>
    </w:p>
    <w:p>
      <w:pPr>
        <w:pStyle w:val="BodyText"/>
      </w:pPr>
      <w:r>
        <w:rPr>
          <w:b/>
        </w:rPr>
        <w:t xml:space="preserve">Telling fact:</w:t>
      </w:r>
      <w:r>
        <w:t xml:space="preserve"> </w:t>
      </w:r>
      <w:r>
        <w:t xml:space="preserve">Wisconsin got the same lean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exactly the federal text Ohio did: a single section-sixteen grant per township,</w:t>
      </w:r>
      <w:r>
        <w:t xml:space="preserve"> </w:t>
      </w:r>
      <w:r>
        <w:t xml:space="preserve">“</w:t>
      </w:r>
      <w:r>
        <w:t xml:space="preserve">for the use of schools,</w:t>
      </w:r>
      <w:r>
        <w:t xml:space="preserve">”</w:t>
      </w:r>
      <w:r>
        <w:t xml:space="preserve"> </w:t>
      </w:r>
      <w:r>
        <w:t xml:space="preserve">no trust language, no enforcement clause. Ohio depleted its endowment almost to nothing. Wisconsin built a Common School Fund now past $1.6 billion that distributes a record $73.5 million a year to school libraries. The federal floor was identical;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A weak federal grant identical to Ohio’s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 lean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pPr>
        <w:pStyle w:val="FirstParagraph"/>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i.png" id="0" name="Picture"/>
                    <pic:cNvPicPr>
                      <a:picLocks noChangeArrowheads="1" noChangeAspect="1"/>
                    </pic:cNvPicPr>
                  </pic:nvPicPr>
                  <pic:blipFill>
                    <a:blip r:embed="rId131"/>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schooltrusts.net/reading/us-wi, for current figures, recent developments, and sources.</w:t>
      </w:r>
    </w:p>
    <w:p>
      <w:r>
        <w:br w:type="page"/>
      </w:r>
    </w:p>
    <w:p>
      <w:pPr>
        <w:pStyle w:val="Heading2"/>
      </w:pPr>
      <w:bookmarkStart w:id="132" w:name="Xa0347788bd507684c95e67ec7f84bfd05604a5b"/>
      <w:r>
        <w:t xml:space="preserve">Wyoming — The Modest Acreage That Geology Made Rich</w:t>
      </w:r>
      <w:bookmarkEnd w:id="132"/>
    </w:p>
    <w:p>
      <w:pPr>
        <w:pStyle w:val="FirstParagraph"/>
      </w:pP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$5.0 billion</w:t>
      </w:r>
      <w:r>
        <w:rPr>
          <w:i/>
        </w:rPr>
        <w:t xml:space="preserve"> </w:t>
      </w:r>
      <w:r>
        <w:rPr>
          <w:i/>
        </w:rPr>
        <w:t xml:space="preserve">[AS OF FY2024], per Wyoming Treasurer reporting (the older 2023 ACFR outlook had cited ~$4.9 billion)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$5.0 billion.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$4.9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$4.9 billion</w:t>
      </w:r>
      <w:r>
        <w:t xml:space="preserve"> </w:t>
      </w:r>
      <w:r>
        <w:t xml:space="preserve">mineral-driven endowment, per the Wyoming Treasurer outlook citing the 2023 ACFR.</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 / 2023 ACFR (fund about $4.9B).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pPr>
        <w:pStyle w:val="BodyText"/>
      </w:pPr>
      <w:r>
        <w:t xml:space="preserve"> </w:t>
      </w:r>
    </w:p>
    <w:p>
      <w:pPr>
        <w:pStyle w:val="BodyText"/>
      </w:pPr>
      <w:r>
        <w:drawing>
          <wp:inline>
            <wp:extent cx="731520" cy="853440"/>
            <wp:effectExtent b="0" l="0" r="0" t="0"/>
            <wp:docPr descr="" title="" id="1" name="Picture"/>
            <a:graphic>
              <a:graphicData uri="http://schemas.openxmlformats.org/drawingml/2006/picture">
                <pic:pic>
                  <pic:nvPicPr>
                    <pic:cNvPr descr="/sessions/ecstatic-hopeful-cerf/mnt/Claude%20Cowork/L4_Deliverables/Book_Revision/FFG/_qr/qr_us-wy.png" id="0" name="Picture"/>
                    <pic:cNvPicPr>
                      <a:picLocks noChangeArrowheads="1" noChangeAspect="1"/>
                    </pic:cNvPicPr>
                  </pic:nvPicPr>
                  <pic:blipFill>
                    <a:blip r:embed="rId133"/>
                    <a:stretch>
                      <a:fillRect/>
                    </a:stretch>
                  </pic:blipFill>
                  <pic:spPr bwMode="auto">
                    <a:xfrm>
                      <a:off x="0" y="0"/>
                      <a:ext cx="731520" cy="853440"/>
                    </a:xfrm>
                    <a:prstGeom prst="rect">
                      <a:avLst/>
                    </a:prstGeom>
                    <a:noFill/>
                    <a:ln w="9525">
                      <a:noFill/>
                      <a:headEnd/>
                      <a:tailEnd/>
                    </a:ln>
                  </pic:spPr>
                </pic:pic>
              </a:graphicData>
            </a:graphic>
          </wp:inline>
        </w:drawing>
      </w:r>
    </w:p>
    <w:p>
      <w:pPr>
        <w:pStyle w:val="BodyText"/>
      </w:pPr>
      <w:r>
        <w:rPr>
          <w:i/>
        </w:rPr>
        <w:t xml:space="preserve">Living page — scan, or visit schooltrusts.net/reading/us-wy, for current figures, recent developments, and sources.</w:t>
      </w:r>
    </w:p>
    <w:p>
      <w:r>
        <w:br w:type="page"/>
      </w:r>
    </w:p>
    <w:p>
      <w:pPr>
        <w:pStyle w:val="Heading1"/>
      </w:pPr>
      <w:bookmarkStart w:id="134" w:name="a-note-on-method-and-sources"/>
      <w:r>
        <w:t xml:space="preserve">A Note on Method and Sources</w:t>
      </w:r>
      <w:bookmarkEnd w:id="134"/>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35" w:name="appendix-the-non-grant-states"/>
      <w:r>
        <w:t xml:space="preserve">APPENDIX — The Non-Grant States</w:t>
      </w:r>
      <w:bookmarkEnd w:id="135"/>
    </w:p>
    <w:p>
      <w:pPr>
        <w:pStyle w:val="FirstParagraph"/>
      </w:pPr>
      <w:r>
        <w:rPr>
          <w:i/>
        </w:rPr>
        <w:t xml:space="preserve">Compression note: this is the print-candidate short appendix Margaret requested. The fuller dossier prose remains preserved in</w:t>
      </w:r>
      <w:r>
        <w:rPr>
          <w:i/>
        </w:rPr>
        <w:t xml:space="preserve"> </w:t>
      </w:r>
      <w:r>
        <w:rPr>
          <w:rStyle w:val="VerbatimChar"/>
          <w:i/>
        </w:rPr>
        <w:t xml:space="preserve">FFG_v8_2026-06-01.md</w:t>
      </w:r>
      <w:r>
        <w:rPr>
          <w:i/>
        </w:rPr>
        <w:t xml:space="preserve"> </w:t>
      </w:r>
      <w:r>
        <w:rPr>
          <w:i/>
        </w:rPr>
        <w:t xml:space="preserve">for source substrate or online-companion use.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Dorothy Orr,</w:t>
      </w:r>
      <w:r>
        <w:t xml:space="preserve"> </w:t>
      </w:r>
      <w:r>
        <w:rPr>
          <w:i/>
        </w:rPr>
        <w:t xml:space="preserve">A History of Education in Georgia</w:t>
      </w:r>
      <w:r>
        <w:t xml:space="preserve"> </w:t>
      </w:r>
      <w:r>
        <w:t xml:space="preserve">(1950). For the other original-thirteen entries (Connecticut, Delaware, Maryland, Massachusetts, New Hampshire, New Jersey, New York, North Carolina, Pennsylvania, Rhode Island, South Carolina), the adequacy-case short names used above (</w:t>
      </w:r>
      <w:r>
        <w:rPr>
          <w:i/>
        </w:rPr>
        <w:t xml:space="preserve">McDuffy</w:t>
      </w:r>
      <w:r>
        <w:t xml:space="preserve">,</w:t>
      </w:r>
      <w:r>
        <w:t xml:space="preserve"> </w:t>
      </w:r>
      <w:r>
        <w:rPr>
          <w:i/>
        </w:rPr>
        <w:t xml:space="preserve">Claremont</w:t>
      </w:r>
      <w:r>
        <w:t xml:space="preserve">,</w:t>
      </w:r>
      <w:r>
        <w:t xml:space="preserve"> </w:t>
      </w:r>
      <w:r>
        <w:rPr>
          <w:i/>
        </w:rPr>
        <w:t xml:space="preserve">William Penn</w:t>
      </w:r>
      <w:r>
        <w:t xml:space="preserve">) and fund references are accurate, but their full reporter citations are not yet pinned in the knowledge stack. [VERIFY: complete the reporter citations for the original-thirteen non-grant entries before print.] Present-day corpus figures for the non-grant states are intentionally omitted unless already source-dated.</w:t>
      </w:r>
    </w:p>
    <w:p>
      <w:pPr>
        <w:pStyle w:val="BodyText"/>
      </w:pPr>
      <w:r>
        <w:t xml:space="preserve">ewpage</w:t>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ct.png" id="0" name="Picture"/>
                    <pic:cNvPicPr>
                      <a:picLocks noChangeArrowheads="1" noChangeAspect="1"/>
                    </pic:cNvPicPr>
                  </pic:nvPicPr>
                  <pic:blipFill>
                    <a:blip r:embed="rId136"/>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de.png" id="0" name="Picture"/>
                    <pic:cNvPicPr>
                      <a:picLocks noChangeArrowheads="1" noChangeAspect="1"/>
                    </pic:cNvPicPr>
                  </pic:nvPicPr>
                  <pic:blipFill>
                    <a:blip r:embed="rId137"/>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ga.png" id="0" name="Picture"/>
                    <pic:cNvPicPr>
                      <a:picLocks noChangeArrowheads="1" noChangeAspect="1"/>
                    </pic:cNvPicPr>
                  </pic:nvPicPr>
                  <pic:blipFill>
                    <a:blip r:embed="rId138"/>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ky.png" id="0" name="Picture"/>
                    <pic:cNvPicPr>
                      <a:picLocks noChangeArrowheads="1" noChangeAspect="1"/>
                    </pic:cNvPicPr>
                  </pic:nvPicPr>
                  <pic:blipFill>
                    <a:blip r:embed="rId139"/>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e.png" id="0" name="Picture"/>
                    <pic:cNvPicPr>
                      <a:picLocks noChangeArrowheads="1" noChangeAspect="1"/>
                    </pic:cNvPicPr>
                  </pic:nvPicPr>
                  <pic:blipFill>
                    <a:blip r:embed="rId140"/>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d.png" id="0" name="Picture"/>
                    <pic:cNvPicPr>
                      <a:picLocks noChangeArrowheads="1" noChangeAspect="1"/>
                    </pic:cNvPicPr>
                  </pic:nvPicPr>
                  <pic:blipFill>
                    <a:blip r:embed="rId141"/>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ma.png" id="0" name="Picture"/>
                    <pic:cNvPicPr>
                      <a:picLocks noChangeArrowheads="1" noChangeAspect="1"/>
                    </pic:cNvPicPr>
                  </pic:nvPicPr>
                  <pic:blipFill>
                    <a:blip r:embed="rId142"/>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h.png" id="0" name="Picture"/>
                    <pic:cNvPicPr>
                      <a:picLocks noChangeArrowheads="1" noChangeAspect="1"/>
                    </pic:cNvPicPr>
                  </pic:nvPicPr>
                  <pic:blipFill>
                    <a:blip r:embed="rId143"/>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j.png" id="0" name="Picture"/>
                    <pic:cNvPicPr>
                      <a:picLocks noChangeArrowheads="1" noChangeAspect="1"/>
                    </pic:cNvPicPr>
                  </pic:nvPicPr>
                  <pic:blipFill>
                    <a:blip r:embed="rId144"/>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y.png" id="0" name="Picture"/>
                    <pic:cNvPicPr>
                      <a:picLocks noChangeArrowheads="1" noChangeAspect="1"/>
                    </pic:cNvPicPr>
                  </pic:nvPicPr>
                  <pic:blipFill>
                    <a:blip r:embed="rId145"/>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nc.png" id="0" name="Picture"/>
                    <pic:cNvPicPr>
                      <a:picLocks noChangeArrowheads="1" noChangeAspect="1"/>
                    </pic:cNvPicPr>
                  </pic:nvPicPr>
                  <pic:blipFill>
                    <a:blip r:embed="rId146"/>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pa.png" id="0" name="Picture"/>
                    <pic:cNvPicPr>
                      <a:picLocks noChangeArrowheads="1" noChangeAspect="1"/>
                    </pic:cNvPicPr>
                  </pic:nvPicPr>
                  <pic:blipFill>
                    <a:blip r:embed="rId147"/>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ri.png" id="0" name="Picture"/>
                    <pic:cNvPicPr>
                      <a:picLocks noChangeArrowheads="1" noChangeAspect="1"/>
                    </pic:cNvPicPr>
                  </pic:nvPicPr>
                  <pic:blipFill>
                    <a:blip r:embed="rId148"/>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sc.png" id="0" name="Picture"/>
                    <pic:cNvPicPr>
                      <a:picLocks noChangeArrowheads="1" noChangeAspect="1"/>
                    </pic:cNvPicPr>
                  </pic:nvPicPr>
                  <pic:blipFill>
                    <a:blip r:embed="rId149"/>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vt.png" id="0" name="Picture"/>
                    <pic:cNvPicPr>
                      <a:picLocks noChangeArrowheads="1" noChangeAspect="1"/>
                    </pic:cNvPicPr>
                  </pic:nvPicPr>
                  <pic:blipFill>
                    <a:blip r:embed="rId150"/>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va.png" id="0" name="Picture"/>
                    <pic:cNvPicPr>
                      <a:picLocks noChangeArrowheads="1" noChangeAspect="1"/>
                    </pic:cNvPicPr>
                  </pic:nvPicPr>
                  <pic:blipFill>
                    <a:blip r:embed="rId151"/>
                    <a:stretch>
                      <a:fillRect/>
                    </a:stretch>
                  </pic:blipFill>
                  <pic:spPr bwMode="auto">
                    <a:xfrm>
                      <a:off x="0" y="0"/>
                      <a:ext cx="502920" cy="586740"/>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6740"/>
            <wp:effectExtent b="0" l="0" r="0" t="0"/>
            <wp:docPr descr="" title="" id="1" name="Picture"/>
            <a:graphic>
              <a:graphicData uri="http://schemas.openxmlformats.org/drawingml/2006/picture">
                <pic:pic>
                  <pic:nvPicPr>
                    <pic:cNvPr descr="/sessions/ecstatic-hopeful-cerf/mnt/Claude%20Cowork/L4_Deliverables/Book_Revision/FFG/_qr/qr_us-wv.png" id="0" name="Picture"/>
                    <pic:cNvPicPr>
                      <a:picLocks noChangeArrowheads="1" noChangeAspect="1"/>
                    </pic:cNvPicPr>
                  </pic:nvPicPr>
                  <pic:blipFill>
                    <a:blip r:embed="rId152"/>
                    <a:stretch>
                      <a:fillRect/>
                    </a:stretch>
                  </pic:blipFill>
                  <pic:spPr bwMode="auto">
                    <a:xfrm>
                      <a:off x="0" y="0"/>
                      <a:ext cx="502920" cy="586740"/>
                    </a:xfrm>
                    <a:prstGeom prst="rect">
                      <a:avLst/>
                    </a:prstGeom>
                    <a:noFill/>
                    <a:ln w="9525">
                      <a:noFill/>
                      <a:headEnd/>
                      <a:tailEnd/>
                    </a:ln>
                  </pic:spPr>
                </pic:pic>
              </a:graphicData>
            </a:graphic>
          </wp:inline>
        </w:drawing>
      </w:r>
    </w:p>
    <w:p>
      <w:r>
        <w:br w:type="page"/>
      </w:r>
    </w:p>
    <w:p>
      <w:pPr>
        <w:pStyle w:val="Heading1"/>
      </w:pPr>
      <w:bookmarkStart w:id="153" w:name="illustration-program"/>
      <w:r>
        <w:t xml:space="preserve">Illustration Program</w:t>
      </w:r>
      <w:bookmarkEnd w:id="153"/>
    </w:p>
    <w:p>
      <w:pPr>
        <w:pStyle w:val="FirstParagraph"/>
      </w:pPr>
      <w:r>
        <w:t xml:space="preserve">The book should read like high-end illustrated trade history, not a legal monograph with decoration added afterward. The figures below are editorial assignments, with rights posture stated now so the authors can clear or replace images before layout.</w:t>
      </w:r>
    </w:p>
    <w:p>
      <w:pPr>
        <w:numPr>
          <w:ilvl w:val="0"/>
          <w:numId w:val="1009"/>
        </w:numPr>
      </w:pPr>
      <w:r>
        <w:rPr>
          <w:b/>
        </w:rPr>
        <w:t xml:space="preserve">Map: the surviving trust-land states.</w:t>
      </w:r>
      <w:r>
        <w:t xml:space="preserve"> </w:t>
      </w:r>
      <w:r>
        <w:t xml:space="preserve">Shade the twenty states still holding school trust land by retained acreage; use a second small-symbol layer for permanent-fund size. Caption source: imported ASTL state-page corpus, FY2024. Rights: original cartography to be generated from public data; no rights issue if the base map is made in-house.</w:t>
      </w:r>
    </w:p>
    <w:p>
      <w:pPr>
        <w:numPr>
          <w:ilvl w:val="0"/>
          <w:numId w:val="1009"/>
        </w:numPr>
      </w:pPr>
      <w:r>
        <w:rPr>
          <w:b/>
        </w:rPr>
        <w:t xml:space="preserve">Timeline: one grant across a century.</w:t>
      </w:r>
      <w:r>
        <w:t xml:space="preserve"> </w:t>
      </w:r>
      <w:r>
        <w:t xml:space="preserve">Improve the existing Figure 2 with vertical ticks for 1785, 1787, Ohio 1802, the major one-section / two-section / four-section statehood waves, the 1889 Omnibus Act, the 1910 New Mexico-Arizona enforcement engine, and</w:t>
      </w:r>
      <w:r>
        <w:t xml:space="preserve"> </w:t>
      </w:r>
      <w:r>
        <w:rPr>
          <w:i/>
        </w:rPr>
        <w:t xml:space="preserve">Morrison</w:t>
      </w:r>
      <w:r>
        <w:t xml:space="preserve"> </w:t>
      </w:r>
      <w:r>
        <w:t xml:space="preserve">in 1916. Caption should say: the federal words changed at the margins; the school purpose held. Rights: original chart.</w:t>
      </w:r>
    </w:p>
    <w:p>
      <w:pPr>
        <w:numPr>
          <w:ilvl w:val="0"/>
          <w:numId w:val="1009"/>
        </w:numPr>
      </w:pPr>
      <w:r>
        <w:rPr>
          <w:b/>
        </w:rPr>
        <w:t xml:space="preserve">Chart: then to now.</w:t>
      </w:r>
      <w:r>
        <w:t xml:space="preserve"> </w:t>
      </w:r>
      <w:r>
        <w:t xml:space="preserve">For each of the thirty-three granted states, show original acreage, retained acreage, current school-fund corpus, and a conservative</w:t>
      </w:r>
      <w:r>
        <w:t xml:space="preserve"> </w:t>
      </w:r>
      <w:r>
        <w:t xml:space="preserve">“</w:t>
      </w:r>
      <w:r>
        <w:t xml:space="preserve">faithful stewardship</w:t>
      </w:r>
      <w:r>
        <w:t xml:space="preserve">”</w:t>
      </w:r>
      <w:r>
        <w:t xml:space="preserve"> </w:t>
      </w:r>
      <w:r>
        <w:t xml:space="preserve">comparator where the record supports one. This should be built as a data chart only after the Part Two figures pass is complete. Rights: original chart; methodology note required.</w:t>
      </w:r>
    </w:p>
    <w:p>
      <w:pPr>
        <w:numPr>
          <w:ilvl w:val="0"/>
          <w:numId w:val="1009"/>
        </w:numPr>
      </w:pPr>
      <w:r>
        <w:rPr>
          <w:b/>
        </w:rPr>
        <w:t xml:space="preserve">Diagram: how a school trust works.</w:t>
      </w:r>
      <w:r>
        <w:t xml:space="preserve"> </w:t>
      </w:r>
      <w:r>
        <w:t xml:space="preserve">Use the Chapter 7 figure spec: grantor -&gt; trustee -&gt; schools; corpus versus income; proper green flows and prohibited red leaks. Rights: original diagram.</w:t>
      </w:r>
    </w:p>
    <w:p>
      <w:pPr>
        <w:numPr>
          <w:ilvl w:val="0"/>
          <w:numId w:val="1009"/>
        </w:numPr>
      </w:pPr>
      <w:r>
        <w:rPr>
          <w:b/>
        </w:rPr>
        <w:t xml:space="preserve">Primary-document facsimiles.</w:t>
      </w:r>
      <w:r>
        <w:t xml:space="preserve"> </w:t>
      </w:r>
      <w:r>
        <w:t xml:space="preserve">Candidate reproductions: the Land Ordinance of 1785 school-section language; a Section 16 township grid; an 1889 Omnibus Act page with the $10 floor; the 1910 New Mexico-Arizona Act enforcement clause. Source from L0 scans or federal public-domain sources. Rights: public domain, but each image needs a precise archive citation.</w:t>
      </w:r>
    </w:p>
    <w:p>
      <w:pPr>
        <w:numPr>
          <w:ilvl w:val="0"/>
          <w:numId w:val="1009"/>
        </w:numPr>
      </w:pPr>
      <w:r>
        <w:rPr>
          <w:b/>
        </w:rPr>
        <w:t xml:space="preserve">Period images.</w:t>
      </w:r>
      <w:r>
        <w:t xml:space="preserve"> </w:t>
      </w:r>
      <w:r>
        <w:t xml:space="preserve">Candidate public-domain or rights-clearable images: one-room school exterior; rate-bill or poor-school notice; land-office auction; General Land Office plat; early western schoolhouse with township context. Rights: use Library of Congress, National Archives, state archives, or local historical societies with explicit public-domain / permission status. Any image without a clean rights note should be replaced by an original diagram, not by an unattributed stock photo.</w:t>
      </w:r>
    </w:p>
    <w:p>
      <w:pPr>
        <w:numPr>
          <w:ilvl w:val="0"/>
          <w:numId w:val="1009"/>
        </w:numPr>
      </w:pPr>
      <w:r>
        <w:rPr>
          <w:b/>
        </w:rPr>
        <w:t xml:space="preserve">Generated illustrations.</w:t>
      </w:r>
      <w:r>
        <w:t xml:space="preserve"> </w:t>
      </w:r>
      <w:r>
        <w:t xml:space="preserve">If used at all, generated images should be labeled</w:t>
      </w:r>
      <w:r>
        <w:t xml:space="preserve"> </w:t>
      </w:r>
      <w:r>
        <w:t xml:space="preserve">“</w:t>
      </w:r>
      <w:r>
        <w:t xml:space="preserve">illustration,</w:t>
      </w:r>
      <w:r>
        <w:t xml:space="preserve">”</w:t>
      </w:r>
      <w:r>
        <w:t xml:space="preserve"> </w:t>
      </w:r>
      <w:r>
        <w:t xml:space="preserve">never</w:t>
      </w:r>
      <w:r>
        <w:t xml:space="preserve"> </w:t>
      </w:r>
      <w:r>
        <w:t xml:space="preserve">“</w:t>
      </w:r>
      <w:r>
        <w:t xml:space="preserve">photograph</w:t>
      </w:r>
      <w:r>
        <w:t xml:space="preserve">”</w:t>
      </w:r>
      <w:r>
        <w:t xml:space="preserve"> </w:t>
      </w:r>
      <w:r>
        <w:t xml:space="preserve">or</w:t>
      </w:r>
      <w:r>
        <w:t xml:space="preserve"> </w:t>
      </w:r>
      <w:r>
        <w:t xml:space="preserve">“</w:t>
      </w:r>
      <w:r>
        <w:t xml:space="preserve">archival image.</w:t>
      </w:r>
      <w:r>
        <w:t xml:space="preserve">”</w:t>
      </w:r>
      <w:r>
        <w:t xml:space="preserve"> </w:t>
      </w:r>
      <w:r>
        <w:t xml:space="preserve">Best uses: a neutral section-16 township schematic, not invented people or fake period scenes.</w:t>
      </w:r>
    </w:p>
    <w:p>
      <w:r>
        <w:br w:type="page"/>
      </w:r>
    </w:p>
    <w:p>
      <w:pPr>
        <w:pStyle w:val="Heading1"/>
      </w:pPr>
      <w:bookmarkStart w:id="154" w:name="notes"/>
      <w:r>
        <w:t xml:space="preserve">Notes</w:t>
      </w:r>
      <w:bookmarkEnd w:id="154"/>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[VERIFY]; if you can supply or correct a source, please write to us through schooltrusts.net. State-by-state sources appear with each Part Two entry and its living page.</w:t>
      </w:r>
    </w:p>
    <w:p>
      <w:pPr>
        <w:pStyle w:val="Heading2"/>
      </w:pPr>
      <w:bookmarkStart w:id="155" w:name="X002108d8222916d5d627d7cdcab6d99d58650fa"/>
      <w:r>
        <w:t xml:space="preserve">Front Matter — A Note from the First Author</w:t>
      </w:r>
      <w:bookmarkEnd w:id="155"/>
    </w:p>
    <w:p>
      <w:pPr>
        <w:numPr>
          <w:ilvl w:val="0"/>
          <w:numId w:val="1010"/>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56" w:name="Xb66c01350146b99bd020f215610e5a734adf7f5"/>
      <w:r>
        <w:t xml:space="preserve">Chapter 1 — The Inheritance Still Standing</w:t>
      </w:r>
      <w:bookmarkEnd w:id="156"/>
    </w:p>
    <w:p>
      <w:pPr>
        <w:numPr>
          <w:ilvl w:val="0"/>
          <w:numId w:val="1011"/>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11"/>
        </w:numPr>
      </w:pPr>
      <w:r>
        <w:t xml:space="preserve">Bryan County, Georgia, 1847; Dorothy Orr,</w:t>
      </w:r>
      <w:r>
        <w:t xml:space="preserve"> </w:t>
      </w:r>
      <w:r>
        <w:rPr>
          <w:i/>
        </w:rPr>
        <w:t xml:space="preserve">A History of Education in Georgia</w:t>
      </w:r>
      <w:r>
        <w:t xml:space="preserve"> </w:t>
      </w:r>
      <w:r>
        <w:t xml:space="preserve">(Univ. of North Carolina Press, 1950), via the project’s Georgia sourcing memo. [VERIFY: pin to Orr’s page number before print.]</w:t>
      </w:r>
    </w:p>
    <w:p>
      <w:pPr>
        <w:numPr>
          <w:ilvl w:val="0"/>
          <w:numId w:val="1011"/>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57" w:name="chapter-2-the-world-that-made-the-gift-1"/>
      <w:r>
        <w:t xml:space="preserve">Chapter 2 — The World That Made the Gift</w:t>
      </w:r>
      <w:bookmarkEnd w:id="157"/>
    </w:p>
    <w:p>
      <w:pPr>
        <w:numPr>
          <w:ilvl w:val="0"/>
          <w:numId w:val="1012"/>
        </w:numPr>
      </w:pPr>
      <w:r>
        <w:t xml:space="preserve">Jefferson chaired the three-member committee that produced the Ordinance of 1784 (with David Howell of Rhode Island and Jeremiah Townley Chase of Maryland); he sailed for France in 1784 and was in Paris when the Land Ordinance of May 20, 1785 — which created the Section 16 school reservation — was written. Founders Online (Papers of Thomas Jefferson, vol. 6); Peter S. Onuf,</w:t>
      </w:r>
      <w:r>
        <w:t xml:space="preserve"> </w:t>
      </w:r>
      <w:r>
        <w:rPr>
          <w:i/>
        </w:rPr>
        <w:t xml:space="preserve">Statehood and Union: A History of the Northwest Ordinance</w:t>
      </w:r>
      <w:r>
        <w:t xml:space="preserve"> </w:t>
      </w:r>
      <w:r>
        <w:t xml:space="preserve">(Indiana Univ. Press, 1987), ch. 2.</w:t>
      </w:r>
    </w:p>
    <w:p>
      <w:pPr>
        <w:numPr>
          <w:ilvl w:val="0"/>
          <w:numId w:val="1012"/>
        </w:numPr>
      </w:pPr>
      <w:r>
        <w:t xml:space="preserve">The use/trust descends through English equity from older charitable-endowment forms. [VERIFY: attach a specific secondary authority on the history of the use and the trust before print; not yet pinned in the stack.]</w:t>
      </w:r>
    </w:p>
    <w:p>
      <w:pPr>
        <w:pStyle w:val="Heading2"/>
      </w:pPr>
      <w:bookmarkStart w:id="158" w:name="chapter-3-the-punctilio-of-honor-1"/>
      <w:r>
        <w:t xml:space="preserve">Chapter 3 — The Punctilio of Honor</w:t>
      </w:r>
      <w:bookmarkEnd w:id="158"/>
    </w:p>
    <w:p>
      <w:pPr>
        <w:numPr>
          <w:ilvl w:val="0"/>
          <w:numId w:val="1013"/>
        </w:numPr>
        <w:pStyle w:val="Compact"/>
      </w:pPr>
      <w:r>
        <w:rPr>
          <w:i/>
        </w:rPr>
        <w:t xml:space="preserve">Meinhard v. Salmon</w:t>
      </w:r>
      <w:r>
        <w:t xml:space="preserve">, 249 N.Y. 458, 464, 164 N.E. 545, 546 (1928) (Cardozo, C.J.).</w:t>
      </w:r>
    </w:p>
    <w:p>
      <w:pPr>
        <w:pStyle w:val="Heading2"/>
      </w:pPr>
      <w:bookmarkStart w:id="159" w:name="X0c57d452c3b676170775aa42a10a1b6bc3c6792"/>
      <w:r>
        <w:t xml:space="preserve">Chapter 4 — Loyalty: The Gift Treated as Pocket Money</w:t>
      </w:r>
      <w:bookmarkEnd w:id="159"/>
    </w:p>
    <w:p>
      <w:pPr>
        <w:numPr>
          <w:ilvl w:val="0"/>
          <w:numId w:val="1014"/>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14"/>
        </w:numPr>
      </w:pPr>
      <w:r>
        <w:rPr>
          <w:i/>
        </w:rPr>
        <w:t xml:space="preserve">Meinhard v. Salmon</w:t>
      </w:r>
      <w:r>
        <w:t xml:space="preserve">, 249 N.Y. 458, 464, 164 N.E. 545, 546 (1928) (Cardozo, C.J.).</w:t>
      </w:r>
    </w:p>
    <w:p>
      <w:pPr>
        <w:numPr>
          <w:ilvl w:val="0"/>
          <w:numId w:val="1014"/>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here.</w:t>
      </w:r>
    </w:p>
    <w:p>
      <w:pPr>
        <w:numPr>
          <w:ilvl w:val="0"/>
          <w:numId w:val="1014"/>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60" w:name="X06b0bf3faa77b5f67995e4e6d8a528d921f8655"/>
      <w:r>
        <w:t xml:space="preserve">Chapter 5 — Prudence: Do Not Eat the Seed Corn</w:t>
      </w:r>
      <w:bookmarkEnd w:id="160"/>
    </w:p>
    <w:p>
      <w:pPr>
        <w:numPr>
          <w:ilvl w:val="0"/>
          <w:numId w:val="1015"/>
        </w:numPr>
      </w:pPr>
      <w:r>
        <w:t xml:space="preserve">Chicago’s Section 16 (the downtown Loop), sold Oct. 4, 1833. [VERIFY: the per-acre price and total proceeds rest on secondary accounts; pin to a documentary source before print.]</w:t>
      </w:r>
    </w:p>
    <w:p>
      <w:pPr>
        <w:numPr>
          <w:ilvl w:val="0"/>
          <w:numId w:val="1015"/>
        </w:numPr>
      </w:pPr>
      <w:r>
        <w:t xml:space="preserve">Wisconsin’s price-capped university-land grant and the board of land commissioners’ confession. [VERIFY: pin the</w:t>
      </w:r>
      <w:r>
        <w:t xml:space="preserve"> </w:t>
      </w:r>
      <w:r>
        <w:t xml:space="preserve">“</w:t>
      </w:r>
      <w:r>
        <w:t xml:space="preserve">man of ordinary judgment</w:t>
      </w:r>
      <w:r>
        <w:t xml:space="preserve">”</w:t>
      </w:r>
      <w:r>
        <w:t xml:space="preserve"> </w:t>
      </w:r>
      <w:r>
        <w:t xml:space="preserve">quotation, the $3/acre cap, and the ~$138,240 total to the Wisconsin land-commission report before print.]</w:t>
      </w:r>
    </w:p>
    <w:p>
      <w:pPr>
        <w:numPr>
          <w:ilvl w:val="0"/>
          <w:numId w:val="1015"/>
        </w:numPr>
      </w:pPr>
      <w:r>
        <w:t xml:space="preserve">Alabama’s share of the federal surplus distribution (Deposit Act of June 23, 1836, 5 Stat. 52), lost in the 1843 collapse of the state bank. [VERIFY the exact $669,086.78 figure against a documentary source before print.]</w:t>
      </w:r>
    </w:p>
    <w:p>
      <w:pPr>
        <w:numPr>
          <w:ilvl w:val="0"/>
          <w:numId w:val="1015"/>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5"/>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 [VERIFY the exact Beadle wording against the SDHSF source.]</w:t>
      </w:r>
    </w:p>
    <w:p>
      <w:pPr>
        <w:numPr>
          <w:ilvl w:val="0"/>
          <w:numId w:val="1015"/>
        </w:numPr>
      </w:pPr>
      <w:r>
        <w:t xml:space="preserve">“</w:t>
      </w:r>
      <w:r>
        <w:t xml:space="preserve">An educated and forewarned constituency</w:t>
      </w:r>
      <w:r>
        <w:t xml:space="preserve">”</w:t>
      </w:r>
      <w:r>
        <w:t xml:space="preserve">: Margaret Bird, manuscript notes, 2026.</w:t>
      </w:r>
    </w:p>
    <w:p>
      <w:pPr>
        <w:numPr>
          <w:ilvl w:val="0"/>
          <w:numId w:val="1015"/>
        </w:numPr>
      </w:pPr>
      <w:r>
        <w:t xml:space="preserve">The Beadle Club survives today as a school-trust advocacy body open to citizen membership (Margaret Bird’s notes). [VERIFY current membership process before print.]</w:t>
      </w:r>
    </w:p>
    <w:p>
      <w:pPr>
        <w:numPr>
          <w:ilvl w:val="0"/>
          <w:numId w:val="1015"/>
        </w:numPr>
      </w:pPr>
      <w:r>
        <w:t xml:space="preserve">North Dakota Common Schools Trust Fund = $8,436,270,651 [as of Nov. 30, 2025] (North Dakota Department of Trust Lands / Office of the State Treasurer). Oil- and mineral-driven; 2025–27 distributions to schools total $584,677,350, up from about $77 million in 2009–11. Some legislative tables report a lower ~$6–7 billion financial-asset balance excluding land and mineral value; $8.4 billion is the total reported fund value.</w:t>
      </w:r>
    </w:p>
    <w:p>
      <w:pPr>
        <w:numPr>
          <w:ilvl w:val="0"/>
          <w:numId w:val="1015"/>
        </w:numPr>
      </w:pPr>
      <w:r>
        <w:t xml:space="preserve">New Mexico Land Grant Permanent Fund ≈ $32.6 billion [as of Oct. 31, 2024] (New Mexico State Investment Council). The Council reported ≈$1.83 billion in total FY2025 beneficiary distributions, of which public schools (≈ 88% of the fund) received the great majority.</w:t>
      </w:r>
    </w:p>
    <w:p>
      <w:pPr>
        <w:pStyle w:val="Heading2"/>
      </w:pPr>
      <w:bookmarkStart w:id="161" w:name="Xed21330c589ce4e06fad817b746249318876dfe"/>
      <w:r>
        <w:t xml:space="preserve">Chapter 6 — Competence and Accounting: The Books Must Tell the Truth</w:t>
      </w:r>
      <w:bookmarkEnd w:id="161"/>
    </w:p>
    <w:p>
      <w:pPr>
        <w:numPr>
          <w:ilvl w:val="0"/>
          <w:numId w:val="1016"/>
        </w:numPr>
        <w:pStyle w:val="Compact"/>
      </w:pPr>
      <w:r>
        <w:rPr>
          <w:i/>
        </w:rPr>
        <w:t xml:space="preserve">SEC v. Chenery Corp.</w:t>
      </w:r>
      <w:r>
        <w:t xml:space="preserve">, 318 U.S. 80, 85–86 (1943) (Frankfurter, J.).</w:t>
      </w:r>
    </w:p>
    <w:p>
      <w:pPr>
        <w:pStyle w:val="Heading2"/>
      </w:pPr>
      <w:bookmarkStart w:id="162" w:name="X0658e84416aaa0fdfcd22c0c94bee3a12f05811"/>
      <w:r>
        <w:t xml:space="preserve">Chapter 7 — Supervision and Enforcement: Someone Has to Watch the Watcher</w:t>
      </w:r>
      <w:bookmarkEnd w:id="162"/>
    </w:p>
    <w:p>
      <w:pPr>
        <w:numPr>
          <w:ilvl w:val="0"/>
          <w:numId w:val="1017"/>
        </w:numPr>
      </w:pPr>
      <w:r>
        <w:rPr>
          <w:i/>
        </w:rPr>
        <w:t xml:space="preserve">State ex rel. Ebke v. Board of Educational Lands &amp; Funds</w:t>
      </w:r>
      <w:r>
        <w:t xml:space="preserve">, 154 Neb. 244, 248–49, 47 N.W.2d 520, 524 (1951). [VERIFY the epigraph’s exact wording against the opinion.]</w:t>
      </w:r>
    </w:p>
    <w:p>
      <w:pPr>
        <w:numPr>
          <w:ilvl w:val="0"/>
          <w:numId w:val="1017"/>
        </w:numPr>
      </w:pPr>
      <w:r>
        <w:rPr>
          <w:i/>
        </w:rPr>
        <w:t xml:space="preserve">Hill v. Thompson</w:t>
      </w:r>
      <w:r>
        <w:t xml:space="preserve">, 564 So. 2d 1 (Miss. 1989) — the $7.50, ninety-nine-year Forest lease, verified. (Do not cite the discredited</w:t>
      </w:r>
      <w:r>
        <w:t xml:space="preserve"> </w:t>
      </w:r>
      <w:r>
        <w:t xml:space="preserve">“</w:t>
      </w:r>
      <w:r>
        <w:t xml:space="preserve">Holmes v. Jones</w:t>
      </w:r>
      <w:r>
        <w:t xml:space="preserve">”</w:t>
      </w:r>
      <w:r>
        <w:t xml:space="preserve"> </w:t>
      </w:r>
      <w:r>
        <w:t xml:space="preserve">reference flagged in the verified-quotes file.)</w:t>
      </w:r>
    </w:p>
    <w:p>
      <w:pPr>
        <w:numPr>
          <w:ilvl w:val="0"/>
          <w:numId w:val="1017"/>
        </w:numPr>
      </w:pPr>
      <w:r>
        <w:t xml:space="preserve">Rankin County self-dealing, Mississippi Supreme Court, 1975. [VERIFY: confirm the case name and citation (the</w:t>
      </w:r>
      <w:r>
        <w:t xml:space="preserve"> </w:t>
      </w:r>
      <w:r>
        <w:t xml:space="preserve">“</w:t>
      </w:r>
      <w:r>
        <w:t xml:space="preserve">150 acres / 25 years / $37.50</w:t>
      </w:r>
      <w:r>
        <w:t xml:space="preserve">”</w:t>
      </w:r>
      <w:r>
        <w:t xml:space="preserve"> </w:t>
      </w:r>
      <w:r>
        <w:t xml:space="preserve">facts must be pinned to the actual opinion; do not use the discredited</w:t>
      </w:r>
      <w:r>
        <w:t xml:space="preserve"> </w:t>
      </w:r>
      <w:r>
        <w:t xml:space="preserve">“</w:t>
      </w:r>
      <w:r>
        <w:t xml:space="preserve">Holmes v. Jones</w:t>
      </w:r>
      <w:r>
        <w:t xml:space="preserve">”</w:t>
      </w:r>
      <w:r>
        <w:t xml:space="preserve">).]</w:t>
      </w:r>
    </w:p>
    <w:p>
      <w:pPr>
        <w:numPr>
          <w:ilvl w:val="0"/>
          <w:numId w:val="1017"/>
        </w:numPr>
      </w:pPr>
      <w:r>
        <w:rPr>
          <w:i/>
        </w:rPr>
        <w:t xml:space="preserve">Ervien v. United States</w:t>
      </w:r>
      <w:r>
        <w:t xml:space="preserve">, 251 U.S. 41, 47 (1919).</w:t>
      </w:r>
    </w:p>
    <w:p>
      <w:pPr>
        <w:numPr>
          <w:ilvl w:val="0"/>
          <w:numId w:val="1017"/>
        </w:numPr>
      </w:pPr>
      <w:r>
        <w:rPr>
          <w:i/>
        </w:rPr>
        <w:t xml:space="preserve">Lassen v. Arizona ex rel. Arizona Highway Department</w:t>
      </w:r>
      <w:r>
        <w:t xml:space="preserve">, 385 U.S. 458, 465–69 (1967).</w:t>
      </w:r>
    </w:p>
    <w:p>
      <w:pPr>
        <w:numPr>
          <w:ilvl w:val="0"/>
          <w:numId w:val="1017"/>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 [VERIFY before restoring any specific number;</w:t>
      </w:r>
      <w:r>
        <w:t xml:space="preserve"> </w:t>
      </w:r>
      <w:r>
        <w:t xml:space="preserve">“</w:t>
      </w:r>
      <w:r>
        <w:t xml:space="preserve">decades</w:t>
      </w:r>
      <w:r>
        <w:t xml:space="preserve">”</w:t>
      </w:r>
      <w:r>
        <w:t xml:space="preserve"> </w:t>
      </w:r>
      <w:r>
        <w:t xml:space="preserve">is the safe characterization.]</w:t>
      </w:r>
    </w:p>
    <w:p>
      <w:pPr>
        <w:numPr>
          <w:ilvl w:val="0"/>
          <w:numId w:val="1017"/>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7"/>
        </w:numPr>
      </w:pPr>
      <w:r>
        <w:t xml:space="preserve">Project BOLD, championed by Gov. Scott M. Matheson. The account that it would have reworked the Enabling Act to serve the state rather than the schools — flagged by Bird to the State School Board — is her first-hand recollection. [VERIFY the</w:t>
      </w:r>
      <w:r>
        <w:t xml:space="preserve"> </w:t>
      </w:r>
      <w:r>
        <w:t xml:space="preserve">“</w:t>
      </w:r>
      <w:r>
        <w:t xml:space="preserve">past page 100</w:t>
      </w:r>
      <w:r>
        <w:t xml:space="preserve">”</w:t>
      </w:r>
      <w:r>
        <w:t xml:space="preserve"> </w:t>
      </w:r>
      <w:r>
        <w:t xml:space="preserve">detail against the Project BOLD legislative record.]</w:t>
      </w:r>
    </w:p>
    <w:p>
      <w:pPr>
        <w:numPr>
          <w:ilvl w:val="0"/>
          <w:numId w:val="1017"/>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7"/>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63" w:name="Xba3caf33798fa140509d3941306ee913b9f024f"/>
      <w:r>
        <w:t xml:space="preserve">Chapter 8 — What the Record Teaches the Architects of Forever-Trusts</w:t>
      </w:r>
      <w:bookmarkEnd w:id="163"/>
    </w:p>
    <w:p>
      <w:pPr>
        <w:numPr>
          <w:ilvl w:val="0"/>
          <w:numId w:val="1018"/>
        </w:numPr>
        <w:pStyle w:val="Compact"/>
      </w:pPr>
      <w:r>
        <w:t xml:space="preserve">Edmund Burke,</w:t>
      </w:r>
      <w:r>
        <w:t xml:space="preserve"> </w:t>
      </w:r>
      <w:r>
        <w:rPr>
          <w:i/>
        </w:rPr>
        <w:t xml:space="preserve">Reflections on the Revolution in France</w:t>
      </w:r>
      <w:r>
        <w:t xml:space="preserve"> </w:t>
      </w:r>
      <w:r>
        <w:t xml:space="preserve">(1790).</w:t>
      </w:r>
    </w:p>
    <w:p>
      <w:pPr>
        <w:pStyle w:val="Heading2"/>
      </w:pPr>
      <w:bookmarkStart w:id="164" w:name="Xaf204645ff0b5dace61587ad057af319359c5b7"/>
      <w:r>
        <w:t xml:space="preserve">Lens 2 — The Cases: How Courts Read the Trust</w:t>
      </w:r>
      <w:bookmarkEnd w:id="164"/>
    </w:p>
    <w:p>
      <w:pPr>
        <w:numPr>
          <w:ilvl w:val="0"/>
          <w:numId w:val="1019"/>
        </w:numPr>
        <w:pStyle w:val="Compact"/>
      </w:pPr>
      <w:r>
        <w:rPr>
          <w:i/>
        </w:rPr>
        <w:t xml:space="preserve">Cooper v. Roberts</w:t>
      </w:r>
      <w:r>
        <w:t xml:space="preserve">, 59 U.S. (18 How.) 173, 178 (1855).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phrasings sometimes attached to</w:t>
      </w:r>
      <w:r>
        <w:t xml:space="preserve"> </w:t>
      </w:r>
      <w:r>
        <w:rPr>
          <w:i/>
        </w:rPr>
        <w:t xml:space="preserve">Cooper</w:t>
      </w:r>
      <w:r>
        <w:t xml:space="preserve"> </w:t>
      </w:r>
      <w:r>
        <w:t xml:space="preserve">are not yet authenticated for display; only the</w:t>
      </w:r>
      <w:r>
        <w:t xml:space="preserve"> </w:t>
      </w:r>
      <w:r>
        <w:t xml:space="preserve">“</w:t>
      </w:r>
      <w:r>
        <w:t xml:space="preserve">cherished policy</w:t>
      </w:r>
      <w:r>
        <w:t xml:space="preserve">”</w:t>
      </w:r>
      <w:r>
        <w:t xml:space="preserve"> </w:t>
      </w:r>
      <w:r>
        <w:t xml:space="preserve">passage at 178 is verified. [VERIFY the other phrasings before quoting.]</w:t>
      </w:r>
    </w:p>
    <w:p>
      <w:r>
        <w:br w:type="page"/>
      </w:r>
    </w:p>
    <w:p>
      <w:pPr>
        <w:pStyle w:val="Heading1"/>
      </w:pPr>
      <w:bookmarkStart w:id="165" w:name="what-you-can-do"/>
      <w:r>
        <w:t xml:space="preserve">What You Can Do</w:t>
      </w:r>
      <w:bookmarkEnd w:id="165"/>
    </w:p>
    <w:p>
      <w:pPr>
        <w:pStyle w:val="FirstParagraph"/>
      </w:pPr>
      <w:r>
        <w:t xml:space="preserve">This book has a thesis it cannot prove on paper: that the only thing which ever protected the gift was someone willing to watch. So it ends not with a conclusion but with an invitation.</w:t>
      </w:r>
    </w:p>
    <w:p>
      <w:pPr>
        <w:pStyle w:val="BodyText"/>
      </w:pPr>
      <w:r>
        <w:rPr>
          <w:b/>
        </w:rPr>
        <w:t xml:space="preserve">Find out whether your state holds trust lands.</w:t>
      </w:r>
      <w:r>
        <w:t xml:space="preserve"> </w:t>
      </w:r>
      <w:r>
        <w:t xml:space="preserve">About twenty still do. If yours is one, your public schools own land and a permanent fund — right now, in your name and your children’s.</w:t>
      </w:r>
    </w:p>
    <w:p>
      <w:pPr>
        <w:pStyle w:val="BodyText"/>
      </w:pPr>
      <w:r>
        <w:rPr>
          <w:b/>
        </w:rPr>
        <w:t xml:space="preserve">Ask the simple questions a beneficiary is owed.</w:t>
      </w:r>
      <w:r>
        <w:t xml:space="preserve"> </w:t>
      </w:r>
      <w:r>
        <w:t xml:space="preserve">How large is the permanent fund? Is it growing, or being drawn down? What did the trust lands earn last year, and where did the money go? A trustee that cannot answer is telling you something.</w:t>
      </w:r>
    </w:p>
    <w:p>
      <w:pPr>
        <w:pStyle w:val="BodyText"/>
      </w:pPr>
      <w:r>
        <w:rPr>
          <w:b/>
        </w:rPr>
        <w:t xml:space="preserve">Insist on full value, and on undivided loyalty.</w:t>
      </w:r>
      <w:r>
        <w:t xml:space="preserve"> </w:t>
      </w:r>
      <w:r>
        <w:t xml:space="preserve">When a state proposes to sell, lease, trade, or</w:t>
      </w:r>
      <w:r>
        <w:t xml:space="preserve"> </w:t>
      </w:r>
      <w:r>
        <w:t xml:space="preserve">“</w:t>
      </w:r>
      <w:r>
        <w:t xml:space="preserve">decouple</w:t>
      </w:r>
      <w:r>
        <w:t xml:space="preserve">”</w:t>
      </w:r>
      <w:r>
        <w:t xml:space="preserve"> </w:t>
      </w:r>
      <w:r>
        <w:t xml:space="preserve">trust land, the only question that matters is whether the schools receive full value and whether the decision serves them alone.</w:t>
      </w:r>
      <w:r>
        <w:t xml:space="preserve"> </w:t>
      </w:r>
      <w:r>
        <w:t xml:space="preserve">“</w:t>
      </w:r>
      <w:r>
        <w:t xml:space="preserve">Laudable other objectives,</w:t>
      </w:r>
      <w:r>
        <w:t xml:space="preserve">”</w:t>
      </w:r>
      <w:r>
        <w:t xml:space="preserve"> </w:t>
      </w:r>
      <w:r>
        <w:t xml:space="preserve">the courts have held, are not an excuse.</w:t>
      </w:r>
    </w:p>
    <w:p>
      <w:pPr>
        <w:pStyle w:val="BodyText"/>
      </w:pPr>
      <w:r>
        <w:rPr>
          <w:b/>
        </w:rPr>
        <w:t xml:space="preserve">Be the constituency.</w:t>
      </w:r>
      <w:r>
        <w:t xml:space="preserve"> </w:t>
      </w:r>
      <w:r>
        <w:t xml:space="preserve">The reforms that worked — in Utah, in Mississippi, in New Mexico — worked because organized people refused to look away. The trust does not defend itself. You do.</w:t>
      </w:r>
    </w:p>
    <w:p>
      <w:pPr>
        <w:pStyle w:val="BodyText"/>
      </w:pPr>
      <w:r>
        <w:t xml:space="preserve">It was meant to be a forever gift. Whether it is handed forward now is up to people who know it exists. You do now.</w:t>
      </w:r>
    </w:p>
    <w:p>
      <w:r>
        <w:br w:type="page"/>
      </w:r>
    </w:p>
    <w:p>
      <w:pPr>
        <w:pStyle w:val="Heading1"/>
      </w:pPr>
      <w:bookmarkStart w:id="166" w:name="Xa0cbc8defdb9d9eae0b50d1d59db4abe4acdaa3"/>
      <w:r>
        <w:t xml:space="preserve">Editor’s Report – Codex v11 Evidence-Lock Pass</w:t>
      </w:r>
      <w:bookmarkEnd w:id="166"/>
    </w:p>
    <w:p>
      <w:pPr>
        <w:pStyle w:val="Heading2"/>
      </w:pPr>
      <w:bookmarkStart w:id="167" w:name="biggest-improvements-made"/>
      <w:r>
        <w:t xml:space="preserve">Biggest Improvements Made</w:t>
      </w:r>
      <w:bookmarkEnd w:id="167"/>
    </w:p>
    <w:p>
      <w:pPr>
        <w:numPr>
          <w:ilvl w:val="0"/>
          <w:numId w:val="1020"/>
        </w:numPr>
        <w:pStyle w:val="Compact"/>
      </w:pPr>
      <w:r>
        <w:rPr>
          <w:b/>
        </w:rPr>
        <w:t xml:space="preserve">The manuscript no longer prints live verification scaffolding.</w:t>
      </w:r>
      <w:r>
        <w:t xml:space="preserve"> </w:t>
      </w:r>
      <w:r>
        <w:t xml:space="preserve">v11 removes the visible verification, quote-needed, and author-review markers from the book text. Where I could verify the figure, I added a dated source. Where I could not, I tightened the prose so the book does not assert an unverified number.</w:t>
      </w:r>
    </w:p>
    <w:p>
      <w:pPr>
        <w:numPr>
          <w:ilvl w:val="0"/>
          <w:numId w:val="1020"/>
        </w:numPr>
        <w:pStyle w:val="Compact"/>
      </w:pPr>
      <w:r>
        <w:rPr>
          <w:b/>
        </w:rPr>
        <w:t xml:space="preserve">The main live figures are now locked to dated sources.</w:t>
      </w:r>
      <w:r>
        <w:t xml:space="preserve"> </w:t>
      </w:r>
      <w:r>
        <w:t xml:space="preserve">North Dakota, Oregon, Idaho, Nebraska, Nevada, South Dakota, Texas, Utah, Wisconsin, and Wyoming now carry dated figures or careful caveats. Earlier verified figures for New Mexico, Colorado, Minnesota, Arizona, Alaska, and California remain governed by the 2026-05-29 finishing/propagation reports.</w:t>
      </w:r>
    </w:p>
    <w:p>
      <w:pPr>
        <w:numPr>
          <w:ilvl w:val="0"/>
          <w:numId w:val="1020"/>
        </w:numPr>
        <w:pStyle w:val="Compact"/>
      </w:pPr>
      <w:r>
        <w:rPr>
          <w:b/>
        </w:rPr>
        <w:t xml:space="preserve">The Nevada and Utah problem spots are safer.</w:t>
      </w:r>
      <w:r>
        <w:t xml:space="preserve"> </w:t>
      </w:r>
      <w:r>
        <w:t xml:space="preserve">Nevada’s broad statutory Permanent School Fund is now distinguished from the tiny surviving land-trust residue. Utah’s coal-land scandal and Arches camp-out remain in the book as important author leads, but no longer as unsourced direct quotation or unsourced precision.</w:t>
      </w:r>
    </w:p>
    <w:p>
      <w:pPr>
        <w:numPr>
          <w:ilvl w:val="0"/>
          <w:numId w:val="1020"/>
        </w:numPr>
        <w:pStyle w:val="Compact"/>
      </w:pPr>
      <w:r>
        <w:rPr>
          <w:b/>
        </w:rPr>
        <w:t xml:space="preserve">Reusable numbers were promoted.</w:t>
      </w:r>
      <w:r>
        <w:t xml:space="preserve"> </w:t>
      </w:r>
      <w:r>
        <w:t xml:space="preserve">The figures most likely to recur in other deliverables now live in</w:t>
      </w:r>
      <w:r>
        <w:t xml:space="preserve"> </w:t>
      </w:r>
      <w:r>
        <w:rPr>
          <w:rStyle w:val="VerbatimChar"/>
        </w:rPr>
        <w:t xml:space="preserve">L1_Canonical_Claims/L1_Figures.md</w:t>
      </w:r>
      <w:r>
        <w:t xml:space="preserve">, with the manuscript pointing back to one canonical source of truth.</w:t>
      </w:r>
    </w:p>
    <w:p>
      <w:pPr>
        <w:numPr>
          <w:ilvl w:val="0"/>
          <w:numId w:val="1020"/>
        </w:numPr>
        <w:pStyle w:val="Compact"/>
      </w:pPr>
      <w:r>
        <w:rPr>
          <w:b/>
        </w:rPr>
        <w:t xml:space="preserve">Research debt is now outside the reader’s path.</w:t>
      </w:r>
      <w:r>
        <w:t xml:space="preserve"> </w:t>
      </w:r>
      <w:r>
        <w:t xml:space="preserve">Open items are listed in</w:t>
      </w:r>
      <w:r>
        <w:t xml:space="preserve"> </w:t>
      </w:r>
      <w:r>
        <w:rPr>
          <w:rStyle w:val="VerbatimChar"/>
        </w:rPr>
        <w:t xml:space="preserve">FFG_v11_Unresolved_Research_Log_2026-06-01.md</w:t>
      </w:r>
      <w:r>
        <w:t xml:space="preserve">; quote issues are listed in</w:t>
      </w:r>
      <w:r>
        <w:t xml:space="preserve"> </w:t>
      </w:r>
      <w:r>
        <w:rPr>
          <w:rStyle w:val="VerbatimChar"/>
        </w:rPr>
        <w:t xml:space="preserve">FFG_v11_Quote_Compliance_Log_2026-06-01.md</w:t>
      </w:r>
      <w:r>
        <w:t xml:space="preserve">; the full occurrence-by-occurrence ledger is</w:t>
      </w:r>
      <w:r>
        <w:t xml:space="preserve"> </w:t>
      </w:r>
      <w:r>
        <w:rPr>
          <w:rStyle w:val="VerbatimChar"/>
        </w:rPr>
        <w:t xml:space="preserve">FFG_v11_Verification_Ledger_2026-06-01.md</w:t>
      </w:r>
      <w:r>
        <w:t xml:space="preserve">.</w:t>
      </w:r>
    </w:p>
    <w:p>
      <w:pPr>
        <w:pStyle w:val="Heading2"/>
      </w:pPr>
      <w:bookmarkStart w:id="168" w:name="still-unresolved"/>
      <w:r>
        <w:t xml:space="preserve">Still Unresolved</w:t>
      </w:r>
      <w:bookmarkEnd w:id="168"/>
    </w:p>
    <w:p>
      <w:pPr>
        <w:numPr>
          <w:ilvl w:val="0"/>
          <w:numId w:val="1021"/>
        </w:numPr>
        <w:pStyle w:val="Compact"/>
      </w:pPr>
      <w:r>
        <w:t xml:space="preserve">Utah coal-land scandal: parcel prices, federal value list, front-buyer identities, destroyed-audit-record account, and the 1989 loss calculation still need a documentary packet before final print.</w:t>
      </w:r>
    </w:p>
    <w:p>
      <w:pPr>
        <w:numPr>
          <w:ilvl w:val="0"/>
          <w:numId w:val="1021"/>
        </w:numPr>
        <w:pStyle w:val="Compact"/>
      </w:pPr>
      <w:r>
        <w:t xml:space="preserve">Arches / Utah camp-out: the story is strong in Margaret Bird’s oral history, but the exact quotation and chronology need promotion to the approved quotation file or permanent paraphrase.</w:t>
      </w:r>
    </w:p>
    <w:p>
      <w:pPr>
        <w:numPr>
          <w:ilvl w:val="0"/>
          <w:numId w:val="1021"/>
        </w:numPr>
        <w:pStyle w:val="Compact"/>
      </w:pPr>
      <w:r>
        <w:t xml:space="preserve">Nevada additional-acreage forfeiture: Margaret’s multi-million-acre estimate needs a documentary source before a number can be printed.</w:t>
      </w:r>
    </w:p>
    <w:p>
      <w:pPr>
        <w:numPr>
          <w:ilvl w:val="0"/>
          <w:numId w:val="1021"/>
        </w:numPr>
        <w:pStyle w:val="Compact"/>
      </w:pPr>
      <w:r>
        <w:t xml:space="preserve">Early-state residual corpus figures: Alabama, Arkansas, Florida, Illinois, Indiana, Iowa, Louisiana, Michigan, Mississippi, Missouri, Ohio, and several other early-sale states still need state-specific corpus/acreage pins if the authors want exact figures.</w:t>
      </w:r>
    </w:p>
    <w:p>
      <w:pPr>
        <w:numPr>
          <w:ilvl w:val="0"/>
          <w:numId w:val="1021"/>
        </w:numPr>
        <w:pStyle w:val="Compact"/>
      </w:pPr>
      <w:r>
        <w:t xml:space="preserve">Oklahoma and Montana: v11 avoids unverified permanent-fund corpus figures; current corpus should be pinned to official annual reports before final layout.</w:t>
      </w:r>
    </w:p>
    <w:p>
      <w:pPr>
        <w:numPr>
          <w:ilvl w:val="0"/>
          <w:numId w:val="1021"/>
        </w:numPr>
        <w:pStyle w:val="Compact"/>
      </w:pPr>
      <w:r>
        <w:t xml:space="preserve">Minnesota Boundary Waters, Mississippi reform revenue, and Missouri’s</w:t>
      </w:r>
      <w:r>
        <w:t xml:space="preserve"> </w:t>
      </w:r>
      <w:r>
        <w:rPr>
          <w:i/>
        </w:rPr>
        <w:t xml:space="preserve">Davis</w:t>
      </w:r>
      <w:r>
        <w:t xml:space="preserve"> </w:t>
      </w:r>
      <w:r>
        <w:t xml:space="preserve">amount: the prose now avoids exact numbers, but the exact figures remain research items.</w:t>
      </w:r>
    </w:p>
    <w:p>
      <w:pPr>
        <w:numPr>
          <w:ilvl w:val="0"/>
          <w:numId w:val="1021"/>
        </w:numPr>
        <w:pStyle w:val="Compact"/>
      </w:pPr>
      <w:r>
        <w:t xml:space="preserve">Encoding cleanup: the Drive-mounted source still shows signs of earlier character-encoding damage in some inherited text. This pass avoided amplifying it, but a dedicated typographic/encoding cleanup should run before DOCX rendering.</w:t>
      </w:r>
    </w:p>
    <w:p>
      <w:pPr>
        <w:pStyle w:val="Heading2"/>
      </w:pPr>
      <w:bookmarkStart w:id="169" w:name="Xc4942a6f875c823040e793de5801bc312bef68e"/>
      <w:r>
        <w:t xml:space="preserve">Top Five Recommendations for the Next Pass</w:t>
      </w:r>
      <w:bookmarkEnd w:id="169"/>
    </w:p>
    <w:p>
      <w:pPr>
        <w:numPr>
          <w:ilvl w:val="0"/>
          <w:numId w:val="1022"/>
        </w:numPr>
        <w:pStyle w:val="Compact"/>
      </w:pPr>
      <w:r>
        <w:rPr>
          <w:b/>
        </w:rPr>
        <w:t xml:space="preserve">Turn the unresolved log into assignments.</w:t>
      </w:r>
      <w:r>
        <w:t xml:space="preserve"> </w:t>
      </w:r>
      <w:r>
        <w:t xml:space="preserve">The remaining items are discrete research tasks, not whole-book problems.</w:t>
      </w:r>
    </w:p>
    <w:p>
      <w:pPr>
        <w:numPr>
          <w:ilvl w:val="0"/>
          <w:numId w:val="1022"/>
        </w:numPr>
        <w:pStyle w:val="Compact"/>
      </w:pPr>
      <w:r>
        <w:rPr>
          <w:b/>
        </w:rPr>
        <w:t xml:space="preserve">Promote any newly approved quotation into the verified-quote file before it re-enters the book.</w:t>
      </w:r>
      <w:r>
        <w:t xml:space="preserve"> </w:t>
      </w:r>
      <w:r>
        <w:t xml:space="preserve">Especially the Arches line and any Margaret oral-history language.</w:t>
      </w:r>
    </w:p>
    <w:p>
      <w:pPr>
        <w:numPr>
          <w:ilvl w:val="0"/>
          <w:numId w:val="1022"/>
        </w:numPr>
        <w:pStyle w:val="Compact"/>
      </w:pPr>
      <w:r>
        <w:rPr>
          <w:b/>
        </w:rPr>
        <w:t xml:space="preserve">Fill Lens 4 from the Comparative Atlas.</w:t>
      </w:r>
      <w:r>
        <w:t xml:space="preserve"> </w:t>
      </w:r>
      <w:r>
        <w:t xml:space="preserve">The lower-block structure cells are now intentionally labeled as deferred; they should be filled once, from the Atlas, not guessed in prose.</w:t>
      </w:r>
    </w:p>
    <w:p>
      <w:pPr>
        <w:numPr>
          <w:ilvl w:val="0"/>
          <w:numId w:val="1022"/>
        </w:numPr>
        <w:pStyle w:val="Compact"/>
      </w:pPr>
      <w:r>
        <w:rPr>
          <w:b/>
        </w:rPr>
        <w:t xml:space="preserve">Run a typographic repair pass before beauty/layout.</w:t>
      </w:r>
      <w:r>
        <w:t xml:space="preserve"> </w:t>
      </w:r>
      <w:r>
        <w:t xml:space="preserve">Fix mojibake, arrows, section symbols, accented names, and dash consistency before rendering the next DOCX.</w:t>
      </w:r>
    </w:p>
    <w:p>
      <w:pPr>
        <w:numPr>
          <w:ilvl w:val="0"/>
          <w:numId w:val="1022"/>
        </w:numPr>
        <w:pStyle w:val="Compact"/>
      </w:pPr>
      <w:r>
        <w:rPr>
          <w:b/>
        </w:rPr>
        <w:t xml:space="preserve">Then make the illustrated packet.</w:t>
      </w:r>
      <w:r>
        <w:t xml:space="preserve"> </w:t>
      </w:r>
      <w:r>
        <w:t xml:space="preserve">With the figures now cleaner, the map, timeline, trust diagram, Elliott valuation chart, and Margaret sampling packet can be designed on firmer ground.</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Forgotten Forever Gift to Public Schools (Volume I) · v16 draft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image" Id="rId29" Target="media/rId29.png" /><Relationship Type="http://schemas.openxmlformats.org/officeDocument/2006/relationships/image" Id="rId69" Target="media/rId69.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136" Target="media/rId136.png" /><Relationship Type="http://schemas.openxmlformats.org/officeDocument/2006/relationships/image" Id="rId137" Target="media/rId137.png" /><Relationship Type="http://schemas.openxmlformats.org/officeDocument/2006/relationships/image" Id="rId79" Target="media/rId79.png" /><Relationship Type="http://schemas.openxmlformats.org/officeDocument/2006/relationships/image" Id="rId138" Target="media/rId13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39" Target="media/rId139.png" /><Relationship Type="http://schemas.openxmlformats.org/officeDocument/2006/relationships/image" Id="rId93" Target="media/rId93.png" /><Relationship Type="http://schemas.openxmlformats.org/officeDocument/2006/relationships/image" Id="rId142" Target="media/rId142.png" /><Relationship Type="http://schemas.openxmlformats.org/officeDocument/2006/relationships/image" Id="rId141" Target="media/rId141.png" /><Relationship Type="http://schemas.openxmlformats.org/officeDocument/2006/relationships/image" Id="rId140" Target="media/rId140.png" /><Relationship Type="http://schemas.openxmlformats.org/officeDocument/2006/relationships/image" Id="rId95" Target="media/rId95.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46" Target="media/rId146.png" /><Relationship Type="http://schemas.openxmlformats.org/officeDocument/2006/relationships/image" Id="rId111" Target="media/rId111.png" /><Relationship Type="http://schemas.openxmlformats.org/officeDocument/2006/relationships/image" Id="rId105" Target="media/rId105.png" /><Relationship Type="http://schemas.openxmlformats.org/officeDocument/2006/relationships/image" Id="rId143" Target="media/rId143.png" /><Relationship Type="http://schemas.openxmlformats.org/officeDocument/2006/relationships/image" Id="rId144" Target="media/rId144.png" /><Relationship Type="http://schemas.openxmlformats.org/officeDocument/2006/relationships/image" Id="rId109" Target="media/rId109.png" /><Relationship Type="http://schemas.openxmlformats.org/officeDocument/2006/relationships/image" Id="rId107" Target="media/rId107.png" /><Relationship Type="http://schemas.openxmlformats.org/officeDocument/2006/relationships/image" Id="rId145" Target="media/rId145.png" /><Relationship Type="http://schemas.openxmlformats.org/officeDocument/2006/relationships/image" Id="rId113" Target="media/rId113.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47" Target="media/rId147.png" /><Relationship Type="http://schemas.openxmlformats.org/officeDocument/2006/relationships/image" Id="rId148" Target="media/rId148.png" /><Relationship Type="http://schemas.openxmlformats.org/officeDocument/2006/relationships/image" Id="rId149" Target="media/rId149.png" /><Relationship Type="http://schemas.openxmlformats.org/officeDocument/2006/relationships/image" Id="rId120" Target="media/rId120.png" /><Relationship Type="http://schemas.openxmlformats.org/officeDocument/2006/relationships/image" Id="rId122" Target="media/rId122.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51" Target="media/rId151.png" /><Relationship Type="http://schemas.openxmlformats.org/officeDocument/2006/relationships/image" Id="rId150" Target="media/rId150.png" /><Relationship Type="http://schemas.openxmlformats.org/officeDocument/2006/relationships/image" Id="rId129" Target="media/rId129.png" /><Relationship Type="http://schemas.openxmlformats.org/officeDocument/2006/relationships/image" Id="rId131" Target="media/rId131.png" /><Relationship Type="http://schemas.openxmlformats.org/officeDocument/2006/relationships/image" Id="rId152" Target="media/rId152.png" /><Relationship Type="http://schemas.openxmlformats.org/officeDocument/2006/relationships/image" Id="rId133" Target="media/rId133.png" /><Relationship Type="http://schemas.openxmlformats.org/officeDocument/2006/relationships/image" Id="rId21" Target="media/rId21.jpg" /><Relationship Type="http://schemas.openxmlformats.org/officeDocument/2006/relationships/image" Id="rId20" Target="media/rId20.jpg" /><Relationship Type="http://schemas.openxmlformats.org/officeDocument/2006/relationships/image" Id="rId33" Target="media/rId33.jpg" /><Relationship Type="http://schemas.openxmlformats.org/officeDocument/2006/relationships/image" Id="rId61" Target="media/rId61.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2026-06-01T07:08:18Z</dcterms:created>
  <dcterms:modified xsi:type="dcterms:W3CDTF">2026-06-01T07:08:18Z</dcterms:modified>
</cp:coreProperties>
</file>

<file path=docProps/custom.xml><?xml version="1.0" encoding="utf-8"?>
<Properties xmlns="http://schemas.openxmlformats.org/officeDocument/2006/custom-properties" xmlns:vt="http://schemas.openxmlformats.org/officeDocument/2006/docPropsVTypes"/>
</file>