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D6E" w:rsidRDefault="008F30EF" w:rsidP="00B364DC">
      <w:pPr>
        <w:pStyle w:val="Title"/>
      </w:pPr>
      <w:r>
        <w:t>Metabolic network reconstruction in Filaria-</w:t>
      </w:r>
      <w:r>
        <w:rPr>
          <w:i/>
        </w:rPr>
        <w:t>Wolbachia</w:t>
      </w:r>
      <w:r>
        <w:t xml:space="preserve"> symbiosis</w:t>
      </w:r>
    </w:p>
    <w:p w:rsidR="008F30EF" w:rsidRDefault="008F30EF" w:rsidP="00B364DC"/>
    <w:p w:rsidR="00E170FC" w:rsidRDefault="00E170FC" w:rsidP="00B364DC">
      <w:pPr>
        <w:pStyle w:val="Heading1"/>
      </w:pPr>
      <w:bookmarkStart w:id="0" w:name="_Toc476562530"/>
      <w:r>
        <w:t>Aims</w:t>
      </w:r>
      <w:bookmarkEnd w:id="0"/>
    </w:p>
    <w:p w:rsidR="00E170FC" w:rsidRPr="00A900C4" w:rsidRDefault="00E170FC" w:rsidP="00B364DC">
      <w:r>
        <w:t>Besides new insights on the relationships between worms and endosymbionts, ultimate goal is to deliver panel of new candidate drug targets that lead to macrofilaricidal drugs.</w:t>
      </w:r>
    </w:p>
    <w:p w:rsidR="00E170FC" w:rsidRDefault="00E170FC" w:rsidP="00B364DC">
      <w:r w:rsidRPr="00C479BE">
        <w:t>Reconstruction and analysis of combined filaria-Wolbachia metabolic pathways</w:t>
      </w:r>
      <w:r>
        <w:t>.</w:t>
      </w:r>
    </w:p>
    <w:p w:rsidR="00E170FC" w:rsidRDefault="00E170FC" w:rsidP="00B364DC">
      <w:pPr>
        <w:pStyle w:val="ListParagraph"/>
        <w:numPr>
          <w:ilvl w:val="0"/>
          <w:numId w:val="1"/>
        </w:numPr>
      </w:pPr>
      <w:r>
        <w:t xml:space="preserve">Prelim reconstruction already done on </w:t>
      </w:r>
      <w:r>
        <w:rPr>
          <w:i/>
        </w:rPr>
        <w:t>Loa loa</w:t>
      </w:r>
      <w:r>
        <w:t>, which lacks an endosymbiont.</w:t>
      </w:r>
    </w:p>
    <w:p w:rsidR="00E170FC" w:rsidRDefault="00E170FC" w:rsidP="00B364DC">
      <w:pPr>
        <w:pStyle w:val="ListParagraph"/>
        <w:numPr>
          <w:ilvl w:val="0"/>
          <w:numId w:val="1"/>
        </w:numPr>
      </w:pPr>
      <w:r>
        <w:t xml:space="preserve">Similar process will be used here, on </w:t>
      </w:r>
      <w:r>
        <w:rPr>
          <w:i/>
        </w:rPr>
        <w:t>Onchocerca volvulus</w:t>
      </w:r>
      <w:r>
        <w:t xml:space="preserve"> and </w:t>
      </w:r>
      <w:r>
        <w:rPr>
          <w:i/>
        </w:rPr>
        <w:t>Brugia malayi</w:t>
      </w:r>
      <w:r>
        <w:t>, including their endosymbionts.</w:t>
      </w:r>
    </w:p>
    <w:p w:rsidR="00E170FC" w:rsidRDefault="00E170FC" w:rsidP="00B364DC">
      <w:pPr>
        <w:pStyle w:val="ListParagraph"/>
        <w:numPr>
          <w:ilvl w:val="0"/>
          <w:numId w:val="1"/>
        </w:numPr>
      </w:pPr>
      <w:r>
        <w:t>Flux balance analysis will be performed on the networks to identify the contribution of the worm to the fitness of the endosymbionts, and vice versa.</w:t>
      </w:r>
    </w:p>
    <w:p w:rsidR="00E170FC" w:rsidRDefault="00E170FC" w:rsidP="00B364DC">
      <w:pPr>
        <w:pStyle w:val="ListParagraph"/>
        <w:numPr>
          <w:ilvl w:val="0"/>
          <w:numId w:val="1"/>
        </w:numPr>
      </w:pPr>
      <w:r>
        <w:t>RNAseq data for different worm life stages will be used in the FBA, providing enzyme expression profiles.</w:t>
      </w:r>
    </w:p>
    <w:p w:rsidR="00E170FC" w:rsidRDefault="00E170FC" w:rsidP="00B364DC">
      <w:pPr>
        <w:pStyle w:val="ListParagraph"/>
        <w:numPr>
          <w:ilvl w:val="0"/>
          <w:numId w:val="1"/>
        </w:numPr>
      </w:pPr>
      <w:r>
        <w:t xml:space="preserve">Will perform </w:t>
      </w:r>
      <w:r>
        <w:rPr>
          <w:i/>
        </w:rPr>
        <w:t>in silico</w:t>
      </w:r>
      <w:r>
        <w:t xml:space="preserve"> knockout experiments, and highlight conserved mechanisms of action.</w:t>
      </w:r>
    </w:p>
    <w:p w:rsidR="00E170FC" w:rsidRPr="00BD7311" w:rsidRDefault="00E170FC" w:rsidP="00B364DC">
      <w:r w:rsidRPr="00BD7311">
        <w:t>Experimental validation for the essentiality of select enzyme targets.</w:t>
      </w:r>
    </w:p>
    <w:p w:rsidR="00E170FC" w:rsidRDefault="00E170FC" w:rsidP="00B364DC">
      <w:pPr>
        <w:pStyle w:val="ListParagraph"/>
        <w:numPr>
          <w:ilvl w:val="0"/>
          <w:numId w:val="1"/>
        </w:numPr>
      </w:pPr>
      <w:r>
        <w:t>5-10 targets prioritized from previous analysis; should have essential role in adults and not microfilarial stage, be conserved in other filarial worms, and big bonus if specific inhibitors exist.</w:t>
      </w:r>
    </w:p>
    <w:p w:rsidR="00E170FC" w:rsidRDefault="00E170FC" w:rsidP="00B364DC">
      <w:pPr>
        <w:pStyle w:val="ListParagraph"/>
        <w:numPr>
          <w:ilvl w:val="0"/>
          <w:numId w:val="1"/>
        </w:numPr>
      </w:pPr>
      <w:r>
        <w:t>Predictions will be validated by RNAi, and if possible, drug inhibition assays.</w:t>
      </w:r>
    </w:p>
    <w:p w:rsidR="00E170FC" w:rsidRDefault="00E170FC" w:rsidP="00B364DC"/>
    <w:sdt>
      <w:sdtPr>
        <w:rPr>
          <w:rFonts w:asciiTheme="minorHAnsi" w:eastAsiaTheme="minorHAnsi" w:hAnsiTheme="minorHAnsi" w:cstheme="minorBidi"/>
          <w:b w:val="0"/>
          <w:color w:val="auto"/>
          <w:sz w:val="22"/>
          <w:szCs w:val="22"/>
          <w:lang w:val="en-CA"/>
        </w:rPr>
        <w:id w:val="1851445303"/>
        <w:docPartObj>
          <w:docPartGallery w:val="Table of Contents"/>
          <w:docPartUnique/>
        </w:docPartObj>
      </w:sdtPr>
      <w:sdtEndPr>
        <w:rPr>
          <w:noProof/>
        </w:rPr>
      </w:sdtEndPr>
      <w:sdtContent>
        <w:p w:rsidR="00C479BE" w:rsidRDefault="00C479BE" w:rsidP="00B364DC">
          <w:pPr>
            <w:pStyle w:val="TOCHeading"/>
          </w:pPr>
          <w:r>
            <w:t>Contents</w:t>
          </w:r>
        </w:p>
        <w:p w:rsidR="0060347D" w:rsidRDefault="00C479BE">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76562530" w:history="1">
            <w:r w:rsidR="0060347D" w:rsidRPr="00820A56">
              <w:rPr>
                <w:rStyle w:val="Hyperlink"/>
                <w:noProof/>
              </w:rPr>
              <w:t>Aims</w:t>
            </w:r>
            <w:r w:rsidR="0060347D">
              <w:rPr>
                <w:noProof/>
                <w:webHidden/>
              </w:rPr>
              <w:tab/>
            </w:r>
            <w:r w:rsidR="0060347D">
              <w:rPr>
                <w:noProof/>
                <w:webHidden/>
              </w:rPr>
              <w:fldChar w:fldCharType="begin"/>
            </w:r>
            <w:r w:rsidR="0060347D">
              <w:rPr>
                <w:noProof/>
                <w:webHidden/>
              </w:rPr>
              <w:instrText xml:space="preserve"> PAGEREF _Toc476562530 \h </w:instrText>
            </w:r>
            <w:r w:rsidR="0060347D">
              <w:rPr>
                <w:noProof/>
                <w:webHidden/>
              </w:rPr>
            </w:r>
            <w:r w:rsidR="0060347D">
              <w:rPr>
                <w:noProof/>
                <w:webHidden/>
              </w:rPr>
              <w:fldChar w:fldCharType="separate"/>
            </w:r>
            <w:r w:rsidR="0060347D">
              <w:rPr>
                <w:noProof/>
                <w:webHidden/>
              </w:rPr>
              <w:t>1</w:t>
            </w:r>
            <w:r w:rsidR="0060347D">
              <w:rPr>
                <w:noProof/>
                <w:webHidden/>
              </w:rPr>
              <w:fldChar w:fldCharType="end"/>
            </w:r>
          </w:hyperlink>
        </w:p>
        <w:p w:rsidR="0060347D" w:rsidRDefault="0060347D">
          <w:pPr>
            <w:pStyle w:val="TOC1"/>
            <w:tabs>
              <w:tab w:val="right" w:leader="dot" w:pos="9350"/>
            </w:tabs>
            <w:rPr>
              <w:rFonts w:eastAsiaTheme="minorEastAsia"/>
              <w:noProof/>
              <w:lang w:eastAsia="en-CA"/>
            </w:rPr>
          </w:pPr>
          <w:hyperlink w:anchor="_Toc476562531" w:history="1">
            <w:r w:rsidRPr="00820A56">
              <w:rPr>
                <w:rStyle w:val="Hyperlink"/>
                <w:noProof/>
              </w:rPr>
              <w:t>Background</w:t>
            </w:r>
            <w:r>
              <w:rPr>
                <w:noProof/>
                <w:webHidden/>
              </w:rPr>
              <w:tab/>
            </w:r>
            <w:r>
              <w:rPr>
                <w:noProof/>
                <w:webHidden/>
              </w:rPr>
              <w:fldChar w:fldCharType="begin"/>
            </w:r>
            <w:r>
              <w:rPr>
                <w:noProof/>
                <w:webHidden/>
              </w:rPr>
              <w:instrText xml:space="preserve"> PAGEREF _Toc476562531 \h </w:instrText>
            </w:r>
            <w:r>
              <w:rPr>
                <w:noProof/>
                <w:webHidden/>
              </w:rPr>
            </w:r>
            <w:r>
              <w:rPr>
                <w:noProof/>
                <w:webHidden/>
              </w:rPr>
              <w:fldChar w:fldCharType="separate"/>
            </w:r>
            <w:r>
              <w:rPr>
                <w:noProof/>
                <w:webHidden/>
              </w:rPr>
              <w:t>3</w:t>
            </w:r>
            <w:r>
              <w:rPr>
                <w:noProof/>
                <w:webHidden/>
              </w:rPr>
              <w:fldChar w:fldCharType="end"/>
            </w:r>
          </w:hyperlink>
        </w:p>
        <w:p w:rsidR="0060347D" w:rsidRDefault="0060347D">
          <w:pPr>
            <w:pStyle w:val="TOC2"/>
            <w:tabs>
              <w:tab w:val="right" w:leader="dot" w:pos="9350"/>
            </w:tabs>
            <w:rPr>
              <w:rFonts w:eastAsiaTheme="minorEastAsia"/>
              <w:noProof/>
              <w:lang w:eastAsia="en-CA"/>
            </w:rPr>
          </w:pPr>
          <w:hyperlink w:anchor="_Toc476562532" w:history="1">
            <w:r w:rsidRPr="00820A56">
              <w:rPr>
                <w:rStyle w:val="Hyperlink"/>
                <w:noProof/>
              </w:rPr>
              <w:t>Brugia malayi</w:t>
            </w:r>
            <w:r>
              <w:rPr>
                <w:noProof/>
                <w:webHidden/>
              </w:rPr>
              <w:tab/>
            </w:r>
            <w:r>
              <w:rPr>
                <w:noProof/>
                <w:webHidden/>
              </w:rPr>
              <w:fldChar w:fldCharType="begin"/>
            </w:r>
            <w:r>
              <w:rPr>
                <w:noProof/>
                <w:webHidden/>
              </w:rPr>
              <w:instrText xml:space="preserve"> PAGEREF _Toc476562532 \h </w:instrText>
            </w:r>
            <w:r>
              <w:rPr>
                <w:noProof/>
                <w:webHidden/>
              </w:rPr>
            </w:r>
            <w:r>
              <w:rPr>
                <w:noProof/>
                <w:webHidden/>
              </w:rPr>
              <w:fldChar w:fldCharType="separate"/>
            </w:r>
            <w:r>
              <w:rPr>
                <w:noProof/>
                <w:webHidden/>
              </w:rPr>
              <w:t>3</w:t>
            </w:r>
            <w:r>
              <w:rPr>
                <w:noProof/>
                <w:webHidden/>
              </w:rPr>
              <w:fldChar w:fldCharType="end"/>
            </w:r>
          </w:hyperlink>
        </w:p>
        <w:p w:rsidR="0060347D" w:rsidRDefault="0060347D">
          <w:pPr>
            <w:pStyle w:val="TOC3"/>
            <w:tabs>
              <w:tab w:val="right" w:leader="dot" w:pos="9350"/>
            </w:tabs>
            <w:rPr>
              <w:rFonts w:eastAsiaTheme="minorEastAsia"/>
              <w:noProof/>
              <w:lang w:eastAsia="en-CA"/>
            </w:rPr>
          </w:pPr>
          <w:hyperlink w:anchor="_Toc476562533" w:history="1">
            <w:r w:rsidRPr="00820A56">
              <w:rPr>
                <w:rStyle w:val="Hyperlink"/>
                <w:noProof/>
              </w:rPr>
              <w:t>Life cycle</w:t>
            </w:r>
            <w:r>
              <w:rPr>
                <w:noProof/>
                <w:webHidden/>
              </w:rPr>
              <w:tab/>
            </w:r>
            <w:r>
              <w:rPr>
                <w:noProof/>
                <w:webHidden/>
              </w:rPr>
              <w:fldChar w:fldCharType="begin"/>
            </w:r>
            <w:r>
              <w:rPr>
                <w:noProof/>
                <w:webHidden/>
              </w:rPr>
              <w:instrText xml:space="preserve"> PAGEREF _Toc476562533 \h </w:instrText>
            </w:r>
            <w:r>
              <w:rPr>
                <w:noProof/>
                <w:webHidden/>
              </w:rPr>
            </w:r>
            <w:r>
              <w:rPr>
                <w:noProof/>
                <w:webHidden/>
              </w:rPr>
              <w:fldChar w:fldCharType="separate"/>
            </w:r>
            <w:r>
              <w:rPr>
                <w:noProof/>
                <w:webHidden/>
              </w:rPr>
              <w:t>3</w:t>
            </w:r>
            <w:r>
              <w:rPr>
                <w:noProof/>
                <w:webHidden/>
              </w:rPr>
              <w:fldChar w:fldCharType="end"/>
            </w:r>
          </w:hyperlink>
        </w:p>
        <w:p w:rsidR="0060347D" w:rsidRDefault="0060347D">
          <w:pPr>
            <w:pStyle w:val="TOC3"/>
            <w:tabs>
              <w:tab w:val="right" w:leader="dot" w:pos="9350"/>
            </w:tabs>
            <w:rPr>
              <w:rFonts w:eastAsiaTheme="minorEastAsia"/>
              <w:noProof/>
              <w:lang w:eastAsia="en-CA"/>
            </w:rPr>
          </w:pPr>
          <w:hyperlink w:anchor="_Toc476562534" w:history="1">
            <w:r w:rsidRPr="00820A56">
              <w:rPr>
                <w:rStyle w:val="Hyperlink"/>
                <w:noProof/>
              </w:rPr>
              <w:t>Prevalence and range</w:t>
            </w:r>
            <w:r>
              <w:rPr>
                <w:noProof/>
                <w:webHidden/>
              </w:rPr>
              <w:tab/>
            </w:r>
            <w:r>
              <w:rPr>
                <w:noProof/>
                <w:webHidden/>
              </w:rPr>
              <w:fldChar w:fldCharType="begin"/>
            </w:r>
            <w:r>
              <w:rPr>
                <w:noProof/>
                <w:webHidden/>
              </w:rPr>
              <w:instrText xml:space="preserve"> PAGEREF _Toc476562534 \h </w:instrText>
            </w:r>
            <w:r>
              <w:rPr>
                <w:noProof/>
                <w:webHidden/>
              </w:rPr>
            </w:r>
            <w:r>
              <w:rPr>
                <w:noProof/>
                <w:webHidden/>
              </w:rPr>
              <w:fldChar w:fldCharType="separate"/>
            </w:r>
            <w:r>
              <w:rPr>
                <w:noProof/>
                <w:webHidden/>
              </w:rPr>
              <w:t>4</w:t>
            </w:r>
            <w:r>
              <w:rPr>
                <w:noProof/>
                <w:webHidden/>
              </w:rPr>
              <w:fldChar w:fldCharType="end"/>
            </w:r>
          </w:hyperlink>
        </w:p>
        <w:p w:rsidR="0060347D" w:rsidRDefault="0060347D">
          <w:pPr>
            <w:pStyle w:val="TOC3"/>
            <w:tabs>
              <w:tab w:val="right" w:leader="dot" w:pos="9350"/>
            </w:tabs>
            <w:rPr>
              <w:rFonts w:eastAsiaTheme="minorEastAsia"/>
              <w:noProof/>
              <w:lang w:eastAsia="en-CA"/>
            </w:rPr>
          </w:pPr>
          <w:hyperlink w:anchor="_Toc476562535" w:history="1">
            <w:r w:rsidRPr="00820A56">
              <w:rPr>
                <w:rStyle w:val="Hyperlink"/>
                <w:noProof/>
              </w:rPr>
              <w:t>Lymphatic filariasis</w:t>
            </w:r>
            <w:r>
              <w:rPr>
                <w:noProof/>
                <w:webHidden/>
              </w:rPr>
              <w:tab/>
            </w:r>
            <w:r>
              <w:rPr>
                <w:noProof/>
                <w:webHidden/>
              </w:rPr>
              <w:fldChar w:fldCharType="begin"/>
            </w:r>
            <w:r>
              <w:rPr>
                <w:noProof/>
                <w:webHidden/>
              </w:rPr>
              <w:instrText xml:space="preserve"> PAGEREF _Toc476562535 \h </w:instrText>
            </w:r>
            <w:r>
              <w:rPr>
                <w:noProof/>
                <w:webHidden/>
              </w:rPr>
            </w:r>
            <w:r>
              <w:rPr>
                <w:noProof/>
                <w:webHidden/>
              </w:rPr>
              <w:fldChar w:fldCharType="separate"/>
            </w:r>
            <w:r>
              <w:rPr>
                <w:noProof/>
                <w:webHidden/>
              </w:rPr>
              <w:t>4</w:t>
            </w:r>
            <w:r>
              <w:rPr>
                <w:noProof/>
                <w:webHidden/>
              </w:rPr>
              <w:fldChar w:fldCharType="end"/>
            </w:r>
          </w:hyperlink>
        </w:p>
        <w:p w:rsidR="0060347D" w:rsidRDefault="0060347D">
          <w:pPr>
            <w:pStyle w:val="TOC3"/>
            <w:tabs>
              <w:tab w:val="right" w:leader="dot" w:pos="9350"/>
            </w:tabs>
            <w:rPr>
              <w:rFonts w:eastAsiaTheme="minorEastAsia"/>
              <w:noProof/>
              <w:lang w:eastAsia="en-CA"/>
            </w:rPr>
          </w:pPr>
          <w:hyperlink w:anchor="_Toc476562536" w:history="1">
            <w:r w:rsidRPr="00820A56">
              <w:rPr>
                <w:rStyle w:val="Hyperlink"/>
                <w:noProof/>
              </w:rPr>
              <w:t>Genome</w:t>
            </w:r>
            <w:r>
              <w:rPr>
                <w:noProof/>
                <w:webHidden/>
              </w:rPr>
              <w:tab/>
            </w:r>
            <w:r>
              <w:rPr>
                <w:noProof/>
                <w:webHidden/>
              </w:rPr>
              <w:fldChar w:fldCharType="begin"/>
            </w:r>
            <w:r>
              <w:rPr>
                <w:noProof/>
                <w:webHidden/>
              </w:rPr>
              <w:instrText xml:space="preserve"> PAGEREF _Toc476562536 \h </w:instrText>
            </w:r>
            <w:r>
              <w:rPr>
                <w:noProof/>
                <w:webHidden/>
              </w:rPr>
            </w:r>
            <w:r>
              <w:rPr>
                <w:noProof/>
                <w:webHidden/>
              </w:rPr>
              <w:fldChar w:fldCharType="separate"/>
            </w:r>
            <w:r>
              <w:rPr>
                <w:noProof/>
                <w:webHidden/>
              </w:rPr>
              <w:t>4</w:t>
            </w:r>
            <w:r>
              <w:rPr>
                <w:noProof/>
                <w:webHidden/>
              </w:rPr>
              <w:fldChar w:fldCharType="end"/>
            </w:r>
          </w:hyperlink>
        </w:p>
        <w:p w:rsidR="0060347D" w:rsidRDefault="0060347D">
          <w:pPr>
            <w:pStyle w:val="TOC2"/>
            <w:tabs>
              <w:tab w:val="right" w:leader="dot" w:pos="9350"/>
            </w:tabs>
            <w:rPr>
              <w:rFonts w:eastAsiaTheme="minorEastAsia"/>
              <w:noProof/>
              <w:lang w:eastAsia="en-CA"/>
            </w:rPr>
          </w:pPr>
          <w:hyperlink w:anchor="_Toc476562537" w:history="1">
            <w:r w:rsidRPr="00820A56">
              <w:rPr>
                <w:rStyle w:val="Hyperlink"/>
                <w:noProof/>
              </w:rPr>
              <w:t>Onchocerca volvulus</w:t>
            </w:r>
            <w:r>
              <w:rPr>
                <w:noProof/>
                <w:webHidden/>
              </w:rPr>
              <w:tab/>
            </w:r>
            <w:r>
              <w:rPr>
                <w:noProof/>
                <w:webHidden/>
              </w:rPr>
              <w:fldChar w:fldCharType="begin"/>
            </w:r>
            <w:r>
              <w:rPr>
                <w:noProof/>
                <w:webHidden/>
              </w:rPr>
              <w:instrText xml:space="preserve"> PAGEREF _Toc476562537 \h </w:instrText>
            </w:r>
            <w:r>
              <w:rPr>
                <w:noProof/>
                <w:webHidden/>
              </w:rPr>
            </w:r>
            <w:r>
              <w:rPr>
                <w:noProof/>
                <w:webHidden/>
              </w:rPr>
              <w:fldChar w:fldCharType="separate"/>
            </w:r>
            <w:r>
              <w:rPr>
                <w:noProof/>
                <w:webHidden/>
              </w:rPr>
              <w:t>5</w:t>
            </w:r>
            <w:r>
              <w:rPr>
                <w:noProof/>
                <w:webHidden/>
              </w:rPr>
              <w:fldChar w:fldCharType="end"/>
            </w:r>
          </w:hyperlink>
        </w:p>
        <w:p w:rsidR="0060347D" w:rsidRDefault="0060347D">
          <w:pPr>
            <w:pStyle w:val="TOC3"/>
            <w:tabs>
              <w:tab w:val="right" w:leader="dot" w:pos="9350"/>
            </w:tabs>
            <w:rPr>
              <w:rFonts w:eastAsiaTheme="minorEastAsia"/>
              <w:noProof/>
              <w:lang w:eastAsia="en-CA"/>
            </w:rPr>
          </w:pPr>
          <w:hyperlink w:anchor="_Toc476562538" w:history="1">
            <w:r w:rsidRPr="00820A56">
              <w:rPr>
                <w:rStyle w:val="Hyperlink"/>
                <w:noProof/>
              </w:rPr>
              <w:t>Life cycle</w:t>
            </w:r>
            <w:r>
              <w:rPr>
                <w:noProof/>
                <w:webHidden/>
              </w:rPr>
              <w:tab/>
            </w:r>
            <w:r>
              <w:rPr>
                <w:noProof/>
                <w:webHidden/>
              </w:rPr>
              <w:fldChar w:fldCharType="begin"/>
            </w:r>
            <w:r>
              <w:rPr>
                <w:noProof/>
                <w:webHidden/>
              </w:rPr>
              <w:instrText xml:space="preserve"> PAGEREF _Toc476562538 \h </w:instrText>
            </w:r>
            <w:r>
              <w:rPr>
                <w:noProof/>
                <w:webHidden/>
              </w:rPr>
            </w:r>
            <w:r>
              <w:rPr>
                <w:noProof/>
                <w:webHidden/>
              </w:rPr>
              <w:fldChar w:fldCharType="separate"/>
            </w:r>
            <w:r>
              <w:rPr>
                <w:noProof/>
                <w:webHidden/>
              </w:rPr>
              <w:t>5</w:t>
            </w:r>
            <w:r>
              <w:rPr>
                <w:noProof/>
                <w:webHidden/>
              </w:rPr>
              <w:fldChar w:fldCharType="end"/>
            </w:r>
          </w:hyperlink>
        </w:p>
        <w:p w:rsidR="0060347D" w:rsidRDefault="0060347D">
          <w:pPr>
            <w:pStyle w:val="TOC3"/>
            <w:tabs>
              <w:tab w:val="right" w:leader="dot" w:pos="9350"/>
            </w:tabs>
            <w:rPr>
              <w:rFonts w:eastAsiaTheme="minorEastAsia"/>
              <w:noProof/>
              <w:lang w:eastAsia="en-CA"/>
            </w:rPr>
          </w:pPr>
          <w:hyperlink w:anchor="_Toc476562539" w:history="1">
            <w:r w:rsidRPr="00820A56">
              <w:rPr>
                <w:rStyle w:val="Hyperlink"/>
                <w:noProof/>
              </w:rPr>
              <w:t>Prevalence and range</w:t>
            </w:r>
            <w:r>
              <w:rPr>
                <w:noProof/>
                <w:webHidden/>
              </w:rPr>
              <w:tab/>
            </w:r>
            <w:r>
              <w:rPr>
                <w:noProof/>
                <w:webHidden/>
              </w:rPr>
              <w:fldChar w:fldCharType="begin"/>
            </w:r>
            <w:r>
              <w:rPr>
                <w:noProof/>
                <w:webHidden/>
              </w:rPr>
              <w:instrText xml:space="preserve"> PAGEREF _Toc476562539 \h </w:instrText>
            </w:r>
            <w:r>
              <w:rPr>
                <w:noProof/>
                <w:webHidden/>
              </w:rPr>
            </w:r>
            <w:r>
              <w:rPr>
                <w:noProof/>
                <w:webHidden/>
              </w:rPr>
              <w:fldChar w:fldCharType="separate"/>
            </w:r>
            <w:r>
              <w:rPr>
                <w:noProof/>
                <w:webHidden/>
              </w:rPr>
              <w:t>5</w:t>
            </w:r>
            <w:r>
              <w:rPr>
                <w:noProof/>
                <w:webHidden/>
              </w:rPr>
              <w:fldChar w:fldCharType="end"/>
            </w:r>
          </w:hyperlink>
        </w:p>
        <w:p w:rsidR="0060347D" w:rsidRDefault="0060347D">
          <w:pPr>
            <w:pStyle w:val="TOC3"/>
            <w:tabs>
              <w:tab w:val="right" w:leader="dot" w:pos="9350"/>
            </w:tabs>
            <w:rPr>
              <w:rFonts w:eastAsiaTheme="minorEastAsia"/>
              <w:noProof/>
              <w:lang w:eastAsia="en-CA"/>
            </w:rPr>
          </w:pPr>
          <w:hyperlink w:anchor="_Toc476562540" w:history="1">
            <w:r w:rsidRPr="00820A56">
              <w:rPr>
                <w:rStyle w:val="Hyperlink"/>
                <w:noProof/>
              </w:rPr>
              <w:t>Onchocerciasis</w:t>
            </w:r>
            <w:r>
              <w:rPr>
                <w:noProof/>
                <w:webHidden/>
              </w:rPr>
              <w:tab/>
            </w:r>
            <w:r>
              <w:rPr>
                <w:noProof/>
                <w:webHidden/>
              </w:rPr>
              <w:fldChar w:fldCharType="begin"/>
            </w:r>
            <w:r>
              <w:rPr>
                <w:noProof/>
                <w:webHidden/>
              </w:rPr>
              <w:instrText xml:space="preserve"> PAGEREF _Toc476562540 \h </w:instrText>
            </w:r>
            <w:r>
              <w:rPr>
                <w:noProof/>
                <w:webHidden/>
              </w:rPr>
            </w:r>
            <w:r>
              <w:rPr>
                <w:noProof/>
                <w:webHidden/>
              </w:rPr>
              <w:fldChar w:fldCharType="separate"/>
            </w:r>
            <w:r>
              <w:rPr>
                <w:noProof/>
                <w:webHidden/>
              </w:rPr>
              <w:t>5</w:t>
            </w:r>
            <w:r>
              <w:rPr>
                <w:noProof/>
                <w:webHidden/>
              </w:rPr>
              <w:fldChar w:fldCharType="end"/>
            </w:r>
          </w:hyperlink>
        </w:p>
        <w:p w:rsidR="0060347D" w:rsidRDefault="0060347D">
          <w:pPr>
            <w:pStyle w:val="TOC3"/>
            <w:tabs>
              <w:tab w:val="right" w:leader="dot" w:pos="9350"/>
            </w:tabs>
            <w:rPr>
              <w:rFonts w:eastAsiaTheme="minorEastAsia"/>
              <w:noProof/>
              <w:lang w:eastAsia="en-CA"/>
            </w:rPr>
          </w:pPr>
          <w:hyperlink w:anchor="_Toc476562541" w:history="1">
            <w:r w:rsidRPr="00820A56">
              <w:rPr>
                <w:rStyle w:val="Hyperlink"/>
                <w:noProof/>
              </w:rPr>
              <w:t>Genome</w:t>
            </w:r>
            <w:r>
              <w:rPr>
                <w:noProof/>
                <w:webHidden/>
              </w:rPr>
              <w:tab/>
            </w:r>
            <w:r>
              <w:rPr>
                <w:noProof/>
                <w:webHidden/>
              </w:rPr>
              <w:fldChar w:fldCharType="begin"/>
            </w:r>
            <w:r>
              <w:rPr>
                <w:noProof/>
                <w:webHidden/>
              </w:rPr>
              <w:instrText xml:space="preserve"> PAGEREF _Toc476562541 \h </w:instrText>
            </w:r>
            <w:r>
              <w:rPr>
                <w:noProof/>
                <w:webHidden/>
              </w:rPr>
            </w:r>
            <w:r>
              <w:rPr>
                <w:noProof/>
                <w:webHidden/>
              </w:rPr>
              <w:fldChar w:fldCharType="separate"/>
            </w:r>
            <w:r>
              <w:rPr>
                <w:noProof/>
                <w:webHidden/>
              </w:rPr>
              <w:t>5</w:t>
            </w:r>
            <w:r>
              <w:rPr>
                <w:noProof/>
                <w:webHidden/>
              </w:rPr>
              <w:fldChar w:fldCharType="end"/>
            </w:r>
          </w:hyperlink>
        </w:p>
        <w:p w:rsidR="0060347D" w:rsidRDefault="0060347D">
          <w:pPr>
            <w:pStyle w:val="TOC3"/>
            <w:tabs>
              <w:tab w:val="right" w:leader="dot" w:pos="9350"/>
            </w:tabs>
            <w:rPr>
              <w:rFonts w:eastAsiaTheme="minorEastAsia"/>
              <w:noProof/>
              <w:lang w:eastAsia="en-CA"/>
            </w:rPr>
          </w:pPr>
          <w:hyperlink w:anchor="_Toc476562542" w:history="1">
            <w:r w:rsidRPr="00820A56">
              <w:rPr>
                <w:rStyle w:val="Hyperlink"/>
                <w:noProof/>
              </w:rPr>
              <w:t>Metabolic reconstruction</w:t>
            </w:r>
            <w:r>
              <w:rPr>
                <w:noProof/>
                <w:webHidden/>
              </w:rPr>
              <w:tab/>
            </w:r>
            <w:r>
              <w:rPr>
                <w:noProof/>
                <w:webHidden/>
              </w:rPr>
              <w:fldChar w:fldCharType="begin"/>
            </w:r>
            <w:r>
              <w:rPr>
                <w:noProof/>
                <w:webHidden/>
              </w:rPr>
              <w:instrText xml:space="preserve"> PAGEREF _Toc476562542 \h </w:instrText>
            </w:r>
            <w:r>
              <w:rPr>
                <w:noProof/>
                <w:webHidden/>
              </w:rPr>
            </w:r>
            <w:r>
              <w:rPr>
                <w:noProof/>
                <w:webHidden/>
              </w:rPr>
              <w:fldChar w:fldCharType="separate"/>
            </w:r>
            <w:r>
              <w:rPr>
                <w:noProof/>
                <w:webHidden/>
              </w:rPr>
              <w:t>6</w:t>
            </w:r>
            <w:r>
              <w:rPr>
                <w:noProof/>
                <w:webHidden/>
              </w:rPr>
              <w:fldChar w:fldCharType="end"/>
            </w:r>
          </w:hyperlink>
        </w:p>
        <w:p w:rsidR="0060347D" w:rsidRDefault="0060347D">
          <w:pPr>
            <w:pStyle w:val="TOC2"/>
            <w:tabs>
              <w:tab w:val="right" w:leader="dot" w:pos="9350"/>
            </w:tabs>
            <w:rPr>
              <w:rFonts w:eastAsiaTheme="minorEastAsia"/>
              <w:noProof/>
              <w:lang w:eastAsia="en-CA"/>
            </w:rPr>
          </w:pPr>
          <w:hyperlink w:anchor="_Toc476562543" w:history="1">
            <w:r w:rsidRPr="00820A56">
              <w:rPr>
                <w:rStyle w:val="Hyperlink"/>
                <w:noProof/>
              </w:rPr>
              <w:t>Wolbachia</w:t>
            </w:r>
            <w:r>
              <w:rPr>
                <w:noProof/>
                <w:webHidden/>
              </w:rPr>
              <w:tab/>
            </w:r>
            <w:r>
              <w:rPr>
                <w:noProof/>
                <w:webHidden/>
              </w:rPr>
              <w:fldChar w:fldCharType="begin"/>
            </w:r>
            <w:r>
              <w:rPr>
                <w:noProof/>
                <w:webHidden/>
              </w:rPr>
              <w:instrText xml:space="preserve"> PAGEREF _Toc476562543 \h </w:instrText>
            </w:r>
            <w:r>
              <w:rPr>
                <w:noProof/>
                <w:webHidden/>
              </w:rPr>
            </w:r>
            <w:r>
              <w:rPr>
                <w:noProof/>
                <w:webHidden/>
              </w:rPr>
              <w:fldChar w:fldCharType="separate"/>
            </w:r>
            <w:r>
              <w:rPr>
                <w:noProof/>
                <w:webHidden/>
              </w:rPr>
              <w:t>6</w:t>
            </w:r>
            <w:r>
              <w:rPr>
                <w:noProof/>
                <w:webHidden/>
              </w:rPr>
              <w:fldChar w:fldCharType="end"/>
            </w:r>
          </w:hyperlink>
        </w:p>
        <w:p w:rsidR="0060347D" w:rsidRDefault="0060347D">
          <w:pPr>
            <w:pStyle w:val="TOC3"/>
            <w:tabs>
              <w:tab w:val="right" w:leader="dot" w:pos="9350"/>
            </w:tabs>
            <w:rPr>
              <w:rFonts w:eastAsiaTheme="minorEastAsia"/>
              <w:noProof/>
              <w:lang w:eastAsia="en-CA"/>
            </w:rPr>
          </w:pPr>
          <w:hyperlink w:anchor="_Toc476562544" w:history="1">
            <w:r w:rsidRPr="00820A56">
              <w:rPr>
                <w:rStyle w:val="Hyperlink"/>
                <w:noProof/>
              </w:rPr>
              <w:t>Bm species</w:t>
            </w:r>
            <w:r>
              <w:rPr>
                <w:noProof/>
                <w:webHidden/>
              </w:rPr>
              <w:tab/>
            </w:r>
            <w:r>
              <w:rPr>
                <w:noProof/>
                <w:webHidden/>
              </w:rPr>
              <w:fldChar w:fldCharType="begin"/>
            </w:r>
            <w:r>
              <w:rPr>
                <w:noProof/>
                <w:webHidden/>
              </w:rPr>
              <w:instrText xml:space="preserve"> PAGEREF _Toc476562544 \h </w:instrText>
            </w:r>
            <w:r>
              <w:rPr>
                <w:noProof/>
                <w:webHidden/>
              </w:rPr>
            </w:r>
            <w:r>
              <w:rPr>
                <w:noProof/>
                <w:webHidden/>
              </w:rPr>
              <w:fldChar w:fldCharType="separate"/>
            </w:r>
            <w:r>
              <w:rPr>
                <w:noProof/>
                <w:webHidden/>
              </w:rPr>
              <w:t>7</w:t>
            </w:r>
            <w:r>
              <w:rPr>
                <w:noProof/>
                <w:webHidden/>
              </w:rPr>
              <w:fldChar w:fldCharType="end"/>
            </w:r>
          </w:hyperlink>
        </w:p>
        <w:p w:rsidR="0060347D" w:rsidRDefault="0060347D">
          <w:pPr>
            <w:pStyle w:val="TOC3"/>
            <w:tabs>
              <w:tab w:val="right" w:leader="dot" w:pos="9350"/>
            </w:tabs>
            <w:rPr>
              <w:rFonts w:eastAsiaTheme="minorEastAsia"/>
              <w:noProof/>
              <w:lang w:eastAsia="en-CA"/>
            </w:rPr>
          </w:pPr>
          <w:hyperlink w:anchor="_Toc476562545" w:history="1">
            <w:r w:rsidRPr="00820A56">
              <w:rPr>
                <w:rStyle w:val="Hyperlink"/>
                <w:noProof/>
              </w:rPr>
              <w:t>Ov species</w:t>
            </w:r>
            <w:r>
              <w:rPr>
                <w:noProof/>
                <w:webHidden/>
              </w:rPr>
              <w:tab/>
            </w:r>
            <w:r>
              <w:rPr>
                <w:noProof/>
                <w:webHidden/>
              </w:rPr>
              <w:fldChar w:fldCharType="begin"/>
            </w:r>
            <w:r>
              <w:rPr>
                <w:noProof/>
                <w:webHidden/>
              </w:rPr>
              <w:instrText xml:space="preserve"> PAGEREF _Toc476562545 \h </w:instrText>
            </w:r>
            <w:r>
              <w:rPr>
                <w:noProof/>
                <w:webHidden/>
              </w:rPr>
            </w:r>
            <w:r>
              <w:rPr>
                <w:noProof/>
                <w:webHidden/>
              </w:rPr>
              <w:fldChar w:fldCharType="separate"/>
            </w:r>
            <w:r>
              <w:rPr>
                <w:noProof/>
                <w:webHidden/>
              </w:rPr>
              <w:t>7</w:t>
            </w:r>
            <w:r>
              <w:rPr>
                <w:noProof/>
                <w:webHidden/>
              </w:rPr>
              <w:fldChar w:fldCharType="end"/>
            </w:r>
          </w:hyperlink>
        </w:p>
        <w:p w:rsidR="0060347D" w:rsidRDefault="0060347D">
          <w:pPr>
            <w:pStyle w:val="TOC3"/>
            <w:tabs>
              <w:tab w:val="right" w:leader="dot" w:pos="9350"/>
            </w:tabs>
            <w:rPr>
              <w:rFonts w:eastAsiaTheme="minorEastAsia"/>
              <w:noProof/>
              <w:lang w:eastAsia="en-CA"/>
            </w:rPr>
          </w:pPr>
          <w:hyperlink w:anchor="_Toc476562546" w:history="1">
            <w:r w:rsidRPr="00820A56">
              <w:rPr>
                <w:rStyle w:val="Hyperlink"/>
                <w:noProof/>
              </w:rPr>
              <w:t>Targeting Wolbachia</w:t>
            </w:r>
            <w:r>
              <w:rPr>
                <w:noProof/>
                <w:webHidden/>
              </w:rPr>
              <w:tab/>
            </w:r>
            <w:r>
              <w:rPr>
                <w:noProof/>
                <w:webHidden/>
              </w:rPr>
              <w:fldChar w:fldCharType="begin"/>
            </w:r>
            <w:r>
              <w:rPr>
                <w:noProof/>
                <w:webHidden/>
              </w:rPr>
              <w:instrText xml:space="preserve"> PAGEREF _Toc476562546 \h </w:instrText>
            </w:r>
            <w:r>
              <w:rPr>
                <w:noProof/>
                <w:webHidden/>
              </w:rPr>
            </w:r>
            <w:r>
              <w:rPr>
                <w:noProof/>
                <w:webHidden/>
              </w:rPr>
              <w:fldChar w:fldCharType="separate"/>
            </w:r>
            <w:r>
              <w:rPr>
                <w:noProof/>
                <w:webHidden/>
              </w:rPr>
              <w:t>7</w:t>
            </w:r>
            <w:r>
              <w:rPr>
                <w:noProof/>
                <w:webHidden/>
              </w:rPr>
              <w:fldChar w:fldCharType="end"/>
            </w:r>
          </w:hyperlink>
        </w:p>
        <w:p w:rsidR="0060347D" w:rsidRDefault="0060347D">
          <w:pPr>
            <w:pStyle w:val="TOC2"/>
            <w:tabs>
              <w:tab w:val="right" w:leader="dot" w:pos="9350"/>
            </w:tabs>
            <w:rPr>
              <w:rFonts w:eastAsiaTheme="minorEastAsia"/>
              <w:noProof/>
              <w:lang w:eastAsia="en-CA"/>
            </w:rPr>
          </w:pPr>
          <w:hyperlink w:anchor="_Toc476562547" w:history="1">
            <w:r w:rsidRPr="00820A56">
              <w:rPr>
                <w:rStyle w:val="Hyperlink"/>
                <w:noProof/>
              </w:rPr>
              <w:t>Human filarial infections</w:t>
            </w:r>
            <w:r>
              <w:rPr>
                <w:noProof/>
                <w:webHidden/>
              </w:rPr>
              <w:tab/>
            </w:r>
            <w:r>
              <w:rPr>
                <w:noProof/>
                <w:webHidden/>
              </w:rPr>
              <w:fldChar w:fldCharType="begin"/>
            </w:r>
            <w:r>
              <w:rPr>
                <w:noProof/>
                <w:webHidden/>
              </w:rPr>
              <w:instrText xml:space="preserve"> PAGEREF _Toc476562547 \h </w:instrText>
            </w:r>
            <w:r>
              <w:rPr>
                <w:noProof/>
                <w:webHidden/>
              </w:rPr>
            </w:r>
            <w:r>
              <w:rPr>
                <w:noProof/>
                <w:webHidden/>
              </w:rPr>
              <w:fldChar w:fldCharType="separate"/>
            </w:r>
            <w:r>
              <w:rPr>
                <w:noProof/>
                <w:webHidden/>
              </w:rPr>
              <w:t>7</w:t>
            </w:r>
            <w:r>
              <w:rPr>
                <w:noProof/>
                <w:webHidden/>
              </w:rPr>
              <w:fldChar w:fldCharType="end"/>
            </w:r>
          </w:hyperlink>
        </w:p>
        <w:p w:rsidR="0060347D" w:rsidRDefault="0060347D">
          <w:pPr>
            <w:pStyle w:val="TOC1"/>
            <w:tabs>
              <w:tab w:val="right" w:leader="dot" w:pos="9350"/>
            </w:tabs>
            <w:rPr>
              <w:rFonts w:eastAsiaTheme="minorEastAsia"/>
              <w:noProof/>
              <w:lang w:eastAsia="en-CA"/>
            </w:rPr>
          </w:pPr>
          <w:hyperlink w:anchor="_Toc476562548" w:history="1">
            <w:r w:rsidRPr="00820A56">
              <w:rPr>
                <w:rStyle w:val="Hyperlink"/>
                <w:noProof/>
              </w:rPr>
              <w:t>Metabolism</w:t>
            </w:r>
            <w:r>
              <w:rPr>
                <w:noProof/>
                <w:webHidden/>
              </w:rPr>
              <w:tab/>
            </w:r>
            <w:r>
              <w:rPr>
                <w:noProof/>
                <w:webHidden/>
              </w:rPr>
              <w:fldChar w:fldCharType="begin"/>
            </w:r>
            <w:r>
              <w:rPr>
                <w:noProof/>
                <w:webHidden/>
              </w:rPr>
              <w:instrText xml:space="preserve"> PAGEREF _Toc476562548 \h </w:instrText>
            </w:r>
            <w:r>
              <w:rPr>
                <w:noProof/>
                <w:webHidden/>
              </w:rPr>
            </w:r>
            <w:r>
              <w:rPr>
                <w:noProof/>
                <w:webHidden/>
              </w:rPr>
              <w:fldChar w:fldCharType="separate"/>
            </w:r>
            <w:r>
              <w:rPr>
                <w:noProof/>
                <w:webHidden/>
              </w:rPr>
              <w:t>7</w:t>
            </w:r>
            <w:r>
              <w:rPr>
                <w:noProof/>
                <w:webHidden/>
              </w:rPr>
              <w:fldChar w:fldCharType="end"/>
            </w:r>
          </w:hyperlink>
        </w:p>
        <w:p w:rsidR="0060347D" w:rsidRDefault="0060347D">
          <w:pPr>
            <w:pStyle w:val="TOC2"/>
            <w:tabs>
              <w:tab w:val="right" w:leader="dot" w:pos="9350"/>
            </w:tabs>
            <w:rPr>
              <w:rFonts w:eastAsiaTheme="minorEastAsia"/>
              <w:noProof/>
              <w:lang w:eastAsia="en-CA"/>
            </w:rPr>
          </w:pPr>
          <w:hyperlink w:anchor="_Toc476562549" w:history="1">
            <w:r w:rsidRPr="00820A56">
              <w:rPr>
                <w:rStyle w:val="Hyperlink"/>
                <w:noProof/>
              </w:rPr>
              <w:t>Energy production</w:t>
            </w:r>
            <w:r>
              <w:rPr>
                <w:noProof/>
                <w:webHidden/>
              </w:rPr>
              <w:tab/>
            </w:r>
            <w:r>
              <w:rPr>
                <w:noProof/>
                <w:webHidden/>
              </w:rPr>
              <w:fldChar w:fldCharType="begin"/>
            </w:r>
            <w:r>
              <w:rPr>
                <w:noProof/>
                <w:webHidden/>
              </w:rPr>
              <w:instrText xml:space="preserve"> PAGEREF _Toc476562549 \h </w:instrText>
            </w:r>
            <w:r>
              <w:rPr>
                <w:noProof/>
                <w:webHidden/>
              </w:rPr>
            </w:r>
            <w:r>
              <w:rPr>
                <w:noProof/>
                <w:webHidden/>
              </w:rPr>
              <w:fldChar w:fldCharType="separate"/>
            </w:r>
            <w:r>
              <w:rPr>
                <w:noProof/>
                <w:webHidden/>
              </w:rPr>
              <w:t>7</w:t>
            </w:r>
            <w:r>
              <w:rPr>
                <w:noProof/>
                <w:webHidden/>
              </w:rPr>
              <w:fldChar w:fldCharType="end"/>
            </w:r>
          </w:hyperlink>
        </w:p>
        <w:p w:rsidR="0060347D" w:rsidRDefault="0060347D">
          <w:pPr>
            <w:pStyle w:val="TOC2"/>
            <w:tabs>
              <w:tab w:val="right" w:leader="dot" w:pos="9350"/>
            </w:tabs>
            <w:rPr>
              <w:rFonts w:eastAsiaTheme="minorEastAsia"/>
              <w:noProof/>
              <w:lang w:eastAsia="en-CA"/>
            </w:rPr>
          </w:pPr>
          <w:hyperlink w:anchor="_Toc476562550" w:history="1">
            <w:r w:rsidRPr="00820A56">
              <w:rPr>
                <w:rStyle w:val="Hyperlink"/>
                <w:noProof/>
              </w:rPr>
              <w:t>Redox</w:t>
            </w:r>
            <w:r>
              <w:rPr>
                <w:noProof/>
                <w:webHidden/>
              </w:rPr>
              <w:tab/>
            </w:r>
            <w:r>
              <w:rPr>
                <w:noProof/>
                <w:webHidden/>
              </w:rPr>
              <w:fldChar w:fldCharType="begin"/>
            </w:r>
            <w:r>
              <w:rPr>
                <w:noProof/>
                <w:webHidden/>
              </w:rPr>
              <w:instrText xml:space="preserve"> PAGEREF _Toc476562550 \h </w:instrText>
            </w:r>
            <w:r>
              <w:rPr>
                <w:noProof/>
                <w:webHidden/>
              </w:rPr>
            </w:r>
            <w:r>
              <w:rPr>
                <w:noProof/>
                <w:webHidden/>
              </w:rPr>
              <w:fldChar w:fldCharType="separate"/>
            </w:r>
            <w:r>
              <w:rPr>
                <w:noProof/>
                <w:webHidden/>
              </w:rPr>
              <w:t>8</w:t>
            </w:r>
            <w:r>
              <w:rPr>
                <w:noProof/>
                <w:webHidden/>
              </w:rPr>
              <w:fldChar w:fldCharType="end"/>
            </w:r>
          </w:hyperlink>
        </w:p>
        <w:p w:rsidR="0060347D" w:rsidRDefault="0060347D">
          <w:pPr>
            <w:pStyle w:val="TOC2"/>
            <w:tabs>
              <w:tab w:val="right" w:leader="dot" w:pos="9350"/>
            </w:tabs>
            <w:rPr>
              <w:rFonts w:eastAsiaTheme="minorEastAsia"/>
              <w:noProof/>
              <w:lang w:eastAsia="en-CA"/>
            </w:rPr>
          </w:pPr>
          <w:hyperlink w:anchor="_Toc476562551" w:history="1">
            <w:r w:rsidRPr="00820A56">
              <w:rPr>
                <w:rStyle w:val="Hyperlink"/>
                <w:noProof/>
              </w:rPr>
              <w:t>Common irreversible reactions (product)</w:t>
            </w:r>
            <w:r>
              <w:rPr>
                <w:noProof/>
                <w:webHidden/>
              </w:rPr>
              <w:tab/>
            </w:r>
            <w:r>
              <w:rPr>
                <w:noProof/>
                <w:webHidden/>
              </w:rPr>
              <w:fldChar w:fldCharType="begin"/>
            </w:r>
            <w:r>
              <w:rPr>
                <w:noProof/>
                <w:webHidden/>
              </w:rPr>
              <w:instrText xml:space="preserve"> PAGEREF _Toc476562551 \h </w:instrText>
            </w:r>
            <w:r>
              <w:rPr>
                <w:noProof/>
                <w:webHidden/>
              </w:rPr>
            </w:r>
            <w:r>
              <w:rPr>
                <w:noProof/>
                <w:webHidden/>
              </w:rPr>
              <w:fldChar w:fldCharType="separate"/>
            </w:r>
            <w:r>
              <w:rPr>
                <w:noProof/>
                <w:webHidden/>
              </w:rPr>
              <w:t>8</w:t>
            </w:r>
            <w:r>
              <w:rPr>
                <w:noProof/>
                <w:webHidden/>
              </w:rPr>
              <w:fldChar w:fldCharType="end"/>
            </w:r>
          </w:hyperlink>
        </w:p>
        <w:p w:rsidR="0060347D" w:rsidRDefault="0060347D">
          <w:pPr>
            <w:pStyle w:val="TOC1"/>
            <w:tabs>
              <w:tab w:val="right" w:leader="dot" w:pos="9350"/>
            </w:tabs>
            <w:rPr>
              <w:rFonts w:eastAsiaTheme="minorEastAsia"/>
              <w:noProof/>
              <w:lang w:eastAsia="en-CA"/>
            </w:rPr>
          </w:pPr>
          <w:hyperlink w:anchor="_Toc476562552" w:history="1">
            <w:r w:rsidRPr="00820A56">
              <w:rPr>
                <w:rStyle w:val="Hyperlink"/>
                <w:noProof/>
              </w:rPr>
              <w:t>Metabolic network reconstruction</w:t>
            </w:r>
            <w:r>
              <w:rPr>
                <w:noProof/>
                <w:webHidden/>
              </w:rPr>
              <w:tab/>
            </w:r>
            <w:r>
              <w:rPr>
                <w:noProof/>
                <w:webHidden/>
              </w:rPr>
              <w:fldChar w:fldCharType="begin"/>
            </w:r>
            <w:r>
              <w:rPr>
                <w:noProof/>
                <w:webHidden/>
              </w:rPr>
              <w:instrText xml:space="preserve"> PAGEREF _Toc476562552 \h </w:instrText>
            </w:r>
            <w:r>
              <w:rPr>
                <w:noProof/>
                <w:webHidden/>
              </w:rPr>
            </w:r>
            <w:r>
              <w:rPr>
                <w:noProof/>
                <w:webHidden/>
              </w:rPr>
              <w:fldChar w:fldCharType="separate"/>
            </w:r>
            <w:r>
              <w:rPr>
                <w:noProof/>
                <w:webHidden/>
              </w:rPr>
              <w:t>9</w:t>
            </w:r>
            <w:r>
              <w:rPr>
                <w:noProof/>
                <w:webHidden/>
              </w:rPr>
              <w:fldChar w:fldCharType="end"/>
            </w:r>
          </w:hyperlink>
        </w:p>
        <w:p w:rsidR="0060347D" w:rsidRDefault="0060347D">
          <w:pPr>
            <w:pStyle w:val="TOC2"/>
            <w:tabs>
              <w:tab w:val="right" w:leader="dot" w:pos="9350"/>
            </w:tabs>
            <w:rPr>
              <w:rFonts w:eastAsiaTheme="minorEastAsia"/>
              <w:noProof/>
              <w:lang w:eastAsia="en-CA"/>
            </w:rPr>
          </w:pPr>
          <w:hyperlink w:anchor="_Toc476562553" w:history="1">
            <w:r w:rsidRPr="00820A56">
              <w:rPr>
                <w:rStyle w:val="Hyperlink"/>
                <w:noProof/>
              </w:rPr>
              <w:t>Flux balance analysis</w:t>
            </w:r>
            <w:r>
              <w:rPr>
                <w:noProof/>
                <w:webHidden/>
              </w:rPr>
              <w:tab/>
            </w:r>
            <w:r>
              <w:rPr>
                <w:noProof/>
                <w:webHidden/>
              </w:rPr>
              <w:fldChar w:fldCharType="begin"/>
            </w:r>
            <w:r>
              <w:rPr>
                <w:noProof/>
                <w:webHidden/>
              </w:rPr>
              <w:instrText xml:space="preserve"> PAGEREF _Toc476562553 \h </w:instrText>
            </w:r>
            <w:r>
              <w:rPr>
                <w:noProof/>
                <w:webHidden/>
              </w:rPr>
            </w:r>
            <w:r>
              <w:rPr>
                <w:noProof/>
                <w:webHidden/>
              </w:rPr>
              <w:fldChar w:fldCharType="separate"/>
            </w:r>
            <w:r>
              <w:rPr>
                <w:noProof/>
                <w:webHidden/>
              </w:rPr>
              <w:t>9</w:t>
            </w:r>
            <w:r>
              <w:rPr>
                <w:noProof/>
                <w:webHidden/>
              </w:rPr>
              <w:fldChar w:fldCharType="end"/>
            </w:r>
          </w:hyperlink>
        </w:p>
        <w:p w:rsidR="0060347D" w:rsidRDefault="0060347D">
          <w:pPr>
            <w:pStyle w:val="TOC2"/>
            <w:tabs>
              <w:tab w:val="right" w:leader="dot" w:pos="9350"/>
            </w:tabs>
            <w:rPr>
              <w:rFonts w:eastAsiaTheme="minorEastAsia"/>
              <w:noProof/>
              <w:lang w:eastAsia="en-CA"/>
            </w:rPr>
          </w:pPr>
          <w:hyperlink w:anchor="_Toc476562554" w:history="1">
            <w:r w:rsidRPr="00820A56">
              <w:rPr>
                <w:rStyle w:val="Hyperlink"/>
                <w:noProof/>
              </w:rPr>
              <w:t>Compartmentalization</w:t>
            </w:r>
            <w:r>
              <w:rPr>
                <w:noProof/>
                <w:webHidden/>
              </w:rPr>
              <w:tab/>
            </w:r>
            <w:r>
              <w:rPr>
                <w:noProof/>
                <w:webHidden/>
              </w:rPr>
              <w:fldChar w:fldCharType="begin"/>
            </w:r>
            <w:r>
              <w:rPr>
                <w:noProof/>
                <w:webHidden/>
              </w:rPr>
              <w:instrText xml:space="preserve"> PAGEREF _Toc476562554 \h </w:instrText>
            </w:r>
            <w:r>
              <w:rPr>
                <w:noProof/>
                <w:webHidden/>
              </w:rPr>
            </w:r>
            <w:r>
              <w:rPr>
                <w:noProof/>
                <w:webHidden/>
              </w:rPr>
              <w:fldChar w:fldCharType="separate"/>
            </w:r>
            <w:r>
              <w:rPr>
                <w:noProof/>
                <w:webHidden/>
              </w:rPr>
              <w:t>12</w:t>
            </w:r>
            <w:r>
              <w:rPr>
                <w:noProof/>
                <w:webHidden/>
              </w:rPr>
              <w:fldChar w:fldCharType="end"/>
            </w:r>
          </w:hyperlink>
        </w:p>
        <w:p w:rsidR="0060347D" w:rsidRDefault="0060347D">
          <w:pPr>
            <w:pStyle w:val="TOC2"/>
            <w:tabs>
              <w:tab w:val="right" w:leader="dot" w:pos="9350"/>
            </w:tabs>
            <w:rPr>
              <w:rFonts w:eastAsiaTheme="minorEastAsia"/>
              <w:noProof/>
              <w:lang w:eastAsia="en-CA"/>
            </w:rPr>
          </w:pPr>
          <w:hyperlink w:anchor="_Toc476562555" w:history="1">
            <w:r w:rsidRPr="00820A56">
              <w:rPr>
                <w:rStyle w:val="Hyperlink"/>
                <w:noProof/>
              </w:rPr>
              <w:t>Incorporating transcriptomics</w:t>
            </w:r>
            <w:r>
              <w:rPr>
                <w:noProof/>
                <w:webHidden/>
              </w:rPr>
              <w:tab/>
            </w:r>
            <w:r>
              <w:rPr>
                <w:noProof/>
                <w:webHidden/>
              </w:rPr>
              <w:fldChar w:fldCharType="begin"/>
            </w:r>
            <w:r>
              <w:rPr>
                <w:noProof/>
                <w:webHidden/>
              </w:rPr>
              <w:instrText xml:space="preserve"> PAGEREF _Toc476562555 \h </w:instrText>
            </w:r>
            <w:r>
              <w:rPr>
                <w:noProof/>
                <w:webHidden/>
              </w:rPr>
            </w:r>
            <w:r>
              <w:rPr>
                <w:noProof/>
                <w:webHidden/>
              </w:rPr>
              <w:fldChar w:fldCharType="separate"/>
            </w:r>
            <w:r>
              <w:rPr>
                <w:noProof/>
                <w:webHidden/>
              </w:rPr>
              <w:t>13</w:t>
            </w:r>
            <w:r>
              <w:rPr>
                <w:noProof/>
                <w:webHidden/>
              </w:rPr>
              <w:fldChar w:fldCharType="end"/>
            </w:r>
          </w:hyperlink>
        </w:p>
        <w:p w:rsidR="0060347D" w:rsidRDefault="0060347D">
          <w:pPr>
            <w:pStyle w:val="TOC2"/>
            <w:tabs>
              <w:tab w:val="right" w:leader="dot" w:pos="9350"/>
            </w:tabs>
            <w:rPr>
              <w:rFonts w:eastAsiaTheme="minorEastAsia"/>
              <w:noProof/>
              <w:lang w:eastAsia="en-CA"/>
            </w:rPr>
          </w:pPr>
          <w:hyperlink w:anchor="_Toc476562556" w:history="1">
            <w:r w:rsidRPr="00820A56">
              <w:rPr>
                <w:rStyle w:val="Hyperlink"/>
                <w:noProof/>
              </w:rPr>
              <w:t>Related methods</w:t>
            </w:r>
            <w:r>
              <w:rPr>
                <w:noProof/>
                <w:webHidden/>
              </w:rPr>
              <w:tab/>
            </w:r>
            <w:r>
              <w:rPr>
                <w:noProof/>
                <w:webHidden/>
              </w:rPr>
              <w:fldChar w:fldCharType="begin"/>
            </w:r>
            <w:r>
              <w:rPr>
                <w:noProof/>
                <w:webHidden/>
              </w:rPr>
              <w:instrText xml:space="preserve"> PAGEREF _Toc476562556 \h </w:instrText>
            </w:r>
            <w:r>
              <w:rPr>
                <w:noProof/>
                <w:webHidden/>
              </w:rPr>
            </w:r>
            <w:r>
              <w:rPr>
                <w:noProof/>
                <w:webHidden/>
              </w:rPr>
              <w:fldChar w:fldCharType="separate"/>
            </w:r>
            <w:r>
              <w:rPr>
                <w:noProof/>
                <w:webHidden/>
              </w:rPr>
              <w:t>13</w:t>
            </w:r>
            <w:r>
              <w:rPr>
                <w:noProof/>
                <w:webHidden/>
              </w:rPr>
              <w:fldChar w:fldCharType="end"/>
            </w:r>
          </w:hyperlink>
        </w:p>
        <w:p w:rsidR="0060347D" w:rsidRDefault="0060347D">
          <w:pPr>
            <w:pStyle w:val="TOC2"/>
            <w:tabs>
              <w:tab w:val="right" w:leader="dot" w:pos="9350"/>
            </w:tabs>
            <w:rPr>
              <w:rFonts w:eastAsiaTheme="minorEastAsia"/>
              <w:noProof/>
              <w:lang w:eastAsia="en-CA"/>
            </w:rPr>
          </w:pPr>
          <w:hyperlink w:anchor="_Toc476562557" w:history="1">
            <w:r w:rsidRPr="00820A56">
              <w:rPr>
                <w:rStyle w:val="Hyperlink"/>
                <w:noProof/>
              </w:rPr>
              <w:t>Less useful methods</w:t>
            </w:r>
            <w:r>
              <w:rPr>
                <w:noProof/>
                <w:webHidden/>
              </w:rPr>
              <w:tab/>
            </w:r>
            <w:r>
              <w:rPr>
                <w:noProof/>
                <w:webHidden/>
              </w:rPr>
              <w:fldChar w:fldCharType="begin"/>
            </w:r>
            <w:r>
              <w:rPr>
                <w:noProof/>
                <w:webHidden/>
              </w:rPr>
              <w:instrText xml:space="preserve"> PAGEREF _Toc476562557 \h </w:instrText>
            </w:r>
            <w:r>
              <w:rPr>
                <w:noProof/>
                <w:webHidden/>
              </w:rPr>
            </w:r>
            <w:r>
              <w:rPr>
                <w:noProof/>
                <w:webHidden/>
              </w:rPr>
              <w:fldChar w:fldCharType="separate"/>
            </w:r>
            <w:r>
              <w:rPr>
                <w:noProof/>
                <w:webHidden/>
              </w:rPr>
              <w:t>15</w:t>
            </w:r>
            <w:r>
              <w:rPr>
                <w:noProof/>
                <w:webHidden/>
              </w:rPr>
              <w:fldChar w:fldCharType="end"/>
            </w:r>
          </w:hyperlink>
        </w:p>
        <w:p w:rsidR="0060347D" w:rsidRDefault="0060347D">
          <w:pPr>
            <w:pStyle w:val="TOC2"/>
            <w:tabs>
              <w:tab w:val="right" w:leader="dot" w:pos="9350"/>
            </w:tabs>
            <w:rPr>
              <w:rFonts w:eastAsiaTheme="minorEastAsia"/>
              <w:noProof/>
              <w:lang w:eastAsia="en-CA"/>
            </w:rPr>
          </w:pPr>
          <w:hyperlink w:anchor="_Toc476562558" w:history="1">
            <w:r w:rsidRPr="00820A56">
              <w:rPr>
                <w:rStyle w:val="Hyperlink"/>
                <w:noProof/>
              </w:rPr>
              <w:t>Implementation notes</w:t>
            </w:r>
            <w:r>
              <w:rPr>
                <w:noProof/>
                <w:webHidden/>
              </w:rPr>
              <w:tab/>
            </w:r>
            <w:r>
              <w:rPr>
                <w:noProof/>
                <w:webHidden/>
              </w:rPr>
              <w:fldChar w:fldCharType="begin"/>
            </w:r>
            <w:r>
              <w:rPr>
                <w:noProof/>
                <w:webHidden/>
              </w:rPr>
              <w:instrText xml:space="preserve"> PAGEREF _Toc476562558 \h </w:instrText>
            </w:r>
            <w:r>
              <w:rPr>
                <w:noProof/>
                <w:webHidden/>
              </w:rPr>
            </w:r>
            <w:r>
              <w:rPr>
                <w:noProof/>
                <w:webHidden/>
              </w:rPr>
              <w:fldChar w:fldCharType="separate"/>
            </w:r>
            <w:r>
              <w:rPr>
                <w:noProof/>
                <w:webHidden/>
              </w:rPr>
              <w:t>15</w:t>
            </w:r>
            <w:r>
              <w:rPr>
                <w:noProof/>
                <w:webHidden/>
              </w:rPr>
              <w:fldChar w:fldCharType="end"/>
            </w:r>
          </w:hyperlink>
        </w:p>
        <w:p w:rsidR="0060347D" w:rsidRDefault="0060347D">
          <w:pPr>
            <w:pStyle w:val="TOC2"/>
            <w:tabs>
              <w:tab w:val="right" w:leader="dot" w:pos="9350"/>
            </w:tabs>
            <w:rPr>
              <w:rFonts w:eastAsiaTheme="minorEastAsia"/>
              <w:noProof/>
              <w:lang w:eastAsia="en-CA"/>
            </w:rPr>
          </w:pPr>
          <w:hyperlink w:anchor="_Toc476562559" w:history="1">
            <w:r w:rsidRPr="00820A56">
              <w:rPr>
                <w:rStyle w:val="Hyperlink"/>
                <w:noProof/>
              </w:rPr>
              <w:t>Resources</w:t>
            </w:r>
            <w:r>
              <w:rPr>
                <w:noProof/>
                <w:webHidden/>
              </w:rPr>
              <w:tab/>
            </w:r>
            <w:r>
              <w:rPr>
                <w:noProof/>
                <w:webHidden/>
              </w:rPr>
              <w:fldChar w:fldCharType="begin"/>
            </w:r>
            <w:r>
              <w:rPr>
                <w:noProof/>
                <w:webHidden/>
              </w:rPr>
              <w:instrText xml:space="preserve"> PAGEREF _Toc476562559 \h </w:instrText>
            </w:r>
            <w:r>
              <w:rPr>
                <w:noProof/>
                <w:webHidden/>
              </w:rPr>
            </w:r>
            <w:r>
              <w:rPr>
                <w:noProof/>
                <w:webHidden/>
              </w:rPr>
              <w:fldChar w:fldCharType="separate"/>
            </w:r>
            <w:r>
              <w:rPr>
                <w:noProof/>
                <w:webHidden/>
              </w:rPr>
              <w:t>16</w:t>
            </w:r>
            <w:r>
              <w:rPr>
                <w:noProof/>
                <w:webHidden/>
              </w:rPr>
              <w:fldChar w:fldCharType="end"/>
            </w:r>
          </w:hyperlink>
        </w:p>
        <w:p w:rsidR="0060347D" w:rsidRDefault="0060347D">
          <w:pPr>
            <w:pStyle w:val="TOC1"/>
            <w:tabs>
              <w:tab w:val="right" w:leader="dot" w:pos="9350"/>
            </w:tabs>
            <w:rPr>
              <w:rFonts w:eastAsiaTheme="minorEastAsia"/>
              <w:noProof/>
              <w:lang w:eastAsia="en-CA"/>
            </w:rPr>
          </w:pPr>
          <w:hyperlink w:anchor="_Toc476562560" w:history="1">
            <w:r w:rsidRPr="00820A56">
              <w:rPr>
                <w:rStyle w:val="Hyperlink"/>
                <w:noProof/>
              </w:rPr>
              <w:t>References</w:t>
            </w:r>
            <w:r>
              <w:rPr>
                <w:noProof/>
                <w:webHidden/>
              </w:rPr>
              <w:tab/>
            </w:r>
            <w:r>
              <w:rPr>
                <w:noProof/>
                <w:webHidden/>
              </w:rPr>
              <w:fldChar w:fldCharType="begin"/>
            </w:r>
            <w:r>
              <w:rPr>
                <w:noProof/>
                <w:webHidden/>
              </w:rPr>
              <w:instrText xml:space="preserve"> PAGEREF _Toc476562560 \h </w:instrText>
            </w:r>
            <w:r>
              <w:rPr>
                <w:noProof/>
                <w:webHidden/>
              </w:rPr>
            </w:r>
            <w:r>
              <w:rPr>
                <w:noProof/>
                <w:webHidden/>
              </w:rPr>
              <w:fldChar w:fldCharType="separate"/>
            </w:r>
            <w:r>
              <w:rPr>
                <w:noProof/>
                <w:webHidden/>
              </w:rPr>
              <w:t>17</w:t>
            </w:r>
            <w:r>
              <w:rPr>
                <w:noProof/>
                <w:webHidden/>
              </w:rPr>
              <w:fldChar w:fldCharType="end"/>
            </w:r>
          </w:hyperlink>
        </w:p>
        <w:p w:rsidR="00C479BE" w:rsidRDefault="00C479BE" w:rsidP="00B364DC">
          <w:r>
            <w:rPr>
              <w:noProof/>
            </w:rPr>
            <w:fldChar w:fldCharType="end"/>
          </w:r>
        </w:p>
      </w:sdtContent>
    </w:sdt>
    <w:p w:rsidR="008F30EF" w:rsidRDefault="008F30EF" w:rsidP="00B364DC"/>
    <w:p w:rsidR="00A900C4" w:rsidRDefault="00A900C4" w:rsidP="00B364DC"/>
    <w:p w:rsidR="00E170FC" w:rsidRDefault="00E170FC" w:rsidP="00B364DC">
      <w:pPr>
        <w:rPr>
          <w:rFonts w:asciiTheme="majorHAnsi" w:eastAsiaTheme="majorEastAsia" w:hAnsiTheme="majorHAnsi" w:cstheme="majorBidi"/>
          <w:color w:val="2E74B5" w:themeColor="accent1" w:themeShade="BF"/>
          <w:sz w:val="32"/>
          <w:szCs w:val="32"/>
        </w:rPr>
      </w:pPr>
      <w:r>
        <w:br w:type="page"/>
      </w:r>
    </w:p>
    <w:p w:rsidR="00A900C4" w:rsidRPr="00AF1E69" w:rsidRDefault="00A900C4" w:rsidP="00B364DC">
      <w:pPr>
        <w:pStyle w:val="Heading1"/>
      </w:pPr>
      <w:bookmarkStart w:id="1" w:name="_Toc476562531"/>
      <w:r w:rsidRPr="00AF1E69">
        <w:lastRenderedPageBreak/>
        <w:t>Background</w:t>
      </w:r>
      <w:bookmarkEnd w:id="1"/>
    </w:p>
    <w:p w:rsidR="00A900C4" w:rsidRDefault="00E170FC" w:rsidP="00B364DC">
      <w:pPr>
        <w:pStyle w:val="Heading2"/>
      </w:pPr>
      <w:bookmarkStart w:id="2" w:name="_Toc476562532"/>
      <w:r>
        <w:t>Brugia malayi</w:t>
      </w:r>
      <w:bookmarkEnd w:id="2"/>
    </w:p>
    <w:p w:rsidR="00614D8E" w:rsidRDefault="00614D8E" w:rsidP="00B364DC">
      <w:r>
        <w:t>Female adults are 5 cm long, males 2.5 cm.</w:t>
      </w:r>
    </w:p>
    <w:p w:rsidR="00A21444" w:rsidRDefault="00A21444" w:rsidP="00B364DC">
      <w:r>
        <w:t>Only human filarial pathogen that can be maintained in small lab animals.</w:t>
      </w:r>
    </w:p>
    <w:p w:rsidR="00EA19EE" w:rsidRDefault="00EA19EE" w:rsidP="00B364DC">
      <w:r>
        <w:t xml:space="preserve">RNAi works fairly well </w:t>
      </w:r>
      <w:r>
        <w:fldChar w:fldCharType="begin" w:fldLock="1"/>
      </w:r>
      <w:r w:rsidR="00AF1E69">
        <w:instrText>ADDIN CSL_CITATION { "citationItems" : [ { "id" : "ITEM-1", "itemData" : { "DOI" : "10.1016/S0166-6851(03)00092-6", "ISBN" : "0166-6851", "ISSN" : "01666851", "PMID" : "12798505", "abstract" : "We describe the successful use of the reverse genetic technique RNA interference (RNAi) to investigate gene function in the human filarial nematode parasite Brugia malayi. We used fluorescently labelled double stranded RNA (dsRNA) to demonstrate that 300bp molecules are able to enter adult females in culture while they remain excluded from microfilariae (mf). We have developed an optimised microvolume culture system to allow the exposure of parasites to high concentrations of dsRNA for extended periods. Culturing of adult female parasites in this system for 24h does not significantly reduce parasite lifespan or mf release in culture. Three B. malayi genes, ??-tubulin (Bm-tub-1), RNA polymerase II large subunit (Bm-ama-1) and B. malayi mf sheath protein 1/mf22 (Bm-shp-1) were targeted by soaking adult female B. malayi in dsRNA complementary to these transcripts in the optimised culture system. Targeting of the two housekeeping genes Bm-tub-1 and Bm-ama-1 led to a reduction in the levels of their transcripts, as assessed by reverse transcriptase coupled PCR (RT-PCR), and resulted in parasite death in culture. In contrast, targeting of the Bm-shp-1 gene was not lethal to adult females in culture. A marked reduction in mf release was observed for shp-1 RNAi parasites compared to controls and in addition 50% of mf released did not have fully elongated sheaths. This \"short\" phenotype correlated with the loss of the stockpiled shp-1 transcript from developing mf in treated adult female gonads. From these data we conclude that RNAi may be a useful method for assessment of drug target potential of genes identified in filarial gene discovery projects. ?? 2003 Elsevier Science B.V. All rights reserved.", "author" : [ { "dropping-particle" : "", "family" : "Aboobaker", "given" : "A. Aziz", "non-dropping-particle" : "", "parse-names" : false, "suffix" : "" }, { "dropping-particle" : "", "family" : "Blaxter", "given" : "Mark L.", "non-dropping-particle" : "", "parse-names" : false, "suffix" : "" } ], "container-title" : "Molecular and Biochemical Parasitology", "id" : "ITEM-1", "issue" : "1", "issued" : { "date-parts" : [ [ "2003" ] ] }, "page" : "41-51", "title" : "Use of RNA interference to investigate gene function in the human filarial nematode parasite Brugia malayi", "type" : "article-journal", "volume" : "129" }, "uris" : [ "http://www.mendeley.com/documents/?uuid=e196c695-ea8b-4052-b70c-22e3cad3b341" ] } ], "mendeley" : { "formattedCitation" : "(Aboobaker and Blaxter, 2003)", "plainTextFormattedCitation" : "(Aboobaker and Blaxter, 2003)", "previouslyFormattedCitation" : "(Aboobaker and Blaxter, 2003)" }, "properties" : { "noteIndex" : 0 }, "schema" : "https://github.com/citation-style-language/schema/raw/master/csl-citation.json" }</w:instrText>
      </w:r>
      <w:r>
        <w:fldChar w:fldCharType="separate"/>
      </w:r>
      <w:r w:rsidRPr="00EA19EE">
        <w:rPr>
          <w:noProof/>
        </w:rPr>
        <w:t>(Aboobaker and Blaxter, 2003)</w:t>
      </w:r>
      <w:r>
        <w:fldChar w:fldCharType="end"/>
      </w:r>
      <w:r>
        <w:t>.</w:t>
      </w:r>
    </w:p>
    <w:p w:rsidR="00A21444" w:rsidRPr="00A21444" w:rsidRDefault="00A21444" w:rsidP="00B364DC"/>
    <w:p w:rsidR="00E170FC" w:rsidRDefault="0004666C" w:rsidP="00536D70">
      <w:pPr>
        <w:pStyle w:val="Heading3"/>
      </w:pPr>
      <w:bookmarkStart w:id="3" w:name="_Toc476562533"/>
      <w:r>
        <w:t>Life cycle</w:t>
      </w:r>
      <w:bookmarkEnd w:id="3"/>
    </w:p>
    <w:p w:rsidR="0004666C" w:rsidRDefault="0004666C" w:rsidP="00B364DC">
      <w:r>
        <w:rPr>
          <w:noProof/>
          <w:lang w:eastAsia="en-CA"/>
        </w:rPr>
        <w:drawing>
          <wp:inline distT="0" distB="0" distL="0" distR="0">
            <wp:extent cx="5082803" cy="4457700"/>
            <wp:effectExtent l="0" t="0" r="3810" b="0"/>
            <wp:docPr id="1" name="Picture 1" descr="https://upload.wikimedia.org/wikipedia/commons/8/85/Brugia_malayi_LifeCy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8/85/Brugia_malayi_LifeCycl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7267" cy="4461615"/>
                    </a:xfrm>
                    <a:prstGeom prst="rect">
                      <a:avLst/>
                    </a:prstGeom>
                    <a:noFill/>
                    <a:ln>
                      <a:noFill/>
                    </a:ln>
                  </pic:spPr>
                </pic:pic>
              </a:graphicData>
            </a:graphic>
          </wp:inline>
        </w:drawing>
      </w:r>
    </w:p>
    <w:p w:rsidR="00F97D41" w:rsidRDefault="00F97D41" w:rsidP="00B364DC">
      <w:pPr>
        <w:pStyle w:val="ListParagraph"/>
        <w:numPr>
          <w:ilvl w:val="0"/>
          <w:numId w:val="1"/>
        </w:numPr>
      </w:pPr>
      <w:r>
        <w:t>Microfilariae ingested by mosquito. Exsheathe, molt, penetrate midgut to thoracic muscles, then develop to L1 through L3; process takes 7-21 days.</w:t>
      </w:r>
    </w:p>
    <w:p w:rsidR="00F97D41" w:rsidRDefault="00F97D41" w:rsidP="00B364DC">
      <w:pPr>
        <w:pStyle w:val="ListParagraph"/>
        <w:numPr>
          <w:ilvl w:val="0"/>
          <w:numId w:val="1"/>
        </w:numPr>
      </w:pPr>
      <w:r>
        <w:t>L3 migrate to salivary glands then to proboscis, escape onto skin with next bite.</w:t>
      </w:r>
    </w:p>
    <w:p w:rsidR="00F97D41" w:rsidRDefault="00F97D41" w:rsidP="00B364DC">
      <w:pPr>
        <w:pStyle w:val="ListParagraph"/>
        <w:numPr>
          <w:ilvl w:val="0"/>
          <w:numId w:val="1"/>
        </w:numPr>
      </w:pPr>
      <w:r>
        <w:t>No reproduction occurs in mosquito.</w:t>
      </w:r>
    </w:p>
    <w:p w:rsidR="00E170FC" w:rsidRDefault="00A21444" w:rsidP="00B364DC">
      <w:pPr>
        <w:pStyle w:val="ListParagraph"/>
        <w:numPr>
          <w:ilvl w:val="0"/>
          <w:numId w:val="1"/>
        </w:numPr>
      </w:pPr>
      <w:r>
        <w:t>L3 actively penetrate skin through bite hole.</w:t>
      </w:r>
    </w:p>
    <w:p w:rsidR="00A21444" w:rsidRDefault="00A21444" w:rsidP="00B364DC">
      <w:pPr>
        <w:pStyle w:val="ListParagraph"/>
        <w:numPr>
          <w:ilvl w:val="0"/>
          <w:numId w:val="1"/>
        </w:numPr>
      </w:pPr>
      <w:r>
        <w:t>Develop to adults over 6 months in lymphatic system.</w:t>
      </w:r>
    </w:p>
    <w:p w:rsidR="00B364DC" w:rsidRDefault="00B364DC" w:rsidP="00B364DC">
      <w:pPr>
        <w:pStyle w:val="ListParagraph"/>
        <w:numPr>
          <w:ilvl w:val="0"/>
          <w:numId w:val="1"/>
        </w:numPr>
      </w:pPr>
      <w:r>
        <w:t>Females release millions of microfilariae per day into the bloodstream.</w:t>
      </w:r>
    </w:p>
    <w:p w:rsidR="0004666C" w:rsidRDefault="0004666C" w:rsidP="00B364DC"/>
    <w:p w:rsidR="0004666C" w:rsidRDefault="0004666C" w:rsidP="00536D70">
      <w:pPr>
        <w:pStyle w:val="Heading3"/>
      </w:pPr>
      <w:bookmarkStart w:id="4" w:name="_Toc476562534"/>
      <w:r>
        <w:lastRenderedPageBreak/>
        <w:t>Prevalence and range</w:t>
      </w:r>
      <w:bookmarkEnd w:id="4"/>
    </w:p>
    <w:p w:rsidR="0004666C" w:rsidRDefault="00AF1E69" w:rsidP="00B364DC">
      <w:r>
        <w:t xml:space="preserve">In </w:t>
      </w:r>
      <w:r w:rsidR="0004666C">
        <w:t>1957</w:t>
      </w:r>
      <w:r>
        <w:t>,</w:t>
      </w:r>
      <w:r w:rsidR="0004666C">
        <w:t xml:space="preserve"> two subspecies</w:t>
      </w:r>
      <w:r>
        <w:t xml:space="preserve"> were</w:t>
      </w:r>
      <w:r w:rsidR="0004666C">
        <w:t xml:space="preserve"> identified.</w:t>
      </w:r>
    </w:p>
    <w:p w:rsidR="0004666C" w:rsidRDefault="0004666C" w:rsidP="00B364DC">
      <w:pPr>
        <w:pStyle w:val="ListParagraph"/>
        <w:numPr>
          <w:ilvl w:val="0"/>
          <w:numId w:val="1"/>
        </w:numPr>
      </w:pPr>
      <w:r>
        <w:t>Nocturnal periodicity, where microfilariae aren’t detectable in blood during the day, and density peaks between midnight and 2AM.</w:t>
      </w:r>
    </w:p>
    <w:p w:rsidR="00294B8E" w:rsidRDefault="00294B8E" w:rsidP="00B364DC">
      <w:pPr>
        <w:pStyle w:val="ListParagraph"/>
        <w:numPr>
          <w:ilvl w:val="1"/>
          <w:numId w:val="1"/>
        </w:numPr>
      </w:pPr>
      <w:r>
        <w:t xml:space="preserve">Transmitted by </w:t>
      </w:r>
      <w:r>
        <w:rPr>
          <w:i/>
        </w:rPr>
        <w:t>Mansonia</w:t>
      </w:r>
      <w:r>
        <w:t xml:space="preserve"> and some </w:t>
      </w:r>
      <w:r>
        <w:rPr>
          <w:i/>
        </w:rPr>
        <w:t>Anopheles</w:t>
      </w:r>
      <w:r>
        <w:t xml:space="preserve"> mosquitos in open swamps and rice growing areas</w:t>
      </w:r>
      <w:r w:rsidR="00F97D41">
        <w:t>, biting at night</w:t>
      </w:r>
      <w:r>
        <w:t>.</w:t>
      </w:r>
      <w:r w:rsidR="00F97D41">
        <w:t xml:space="preserve"> Appear to only infect humans; natural animal infections are rare and lab animals don’t retain infection.</w:t>
      </w:r>
    </w:p>
    <w:p w:rsidR="0004666C" w:rsidRDefault="0004666C" w:rsidP="00B364DC">
      <w:pPr>
        <w:pStyle w:val="ListParagraph"/>
        <w:numPr>
          <w:ilvl w:val="0"/>
          <w:numId w:val="1"/>
        </w:numPr>
      </w:pPr>
      <w:r>
        <w:t>Nocturnal subperiodicity, where microfilariae are always present in blood, and density peaks between noon and 8PM.</w:t>
      </w:r>
    </w:p>
    <w:p w:rsidR="00F97D41" w:rsidRDefault="00F97D41" w:rsidP="00B364DC">
      <w:pPr>
        <w:pStyle w:val="ListParagraph"/>
        <w:numPr>
          <w:ilvl w:val="1"/>
          <w:numId w:val="1"/>
        </w:numPr>
      </w:pPr>
      <w:r>
        <w:t xml:space="preserve">Transmitted by </w:t>
      </w:r>
      <w:r>
        <w:rPr>
          <w:i/>
        </w:rPr>
        <w:t>Mansonia</w:t>
      </w:r>
      <w:r>
        <w:t xml:space="preserve"> in forest swamps, biting at any time of day. Zoonotic infections are common, and cats, civit cats, dogs, monkeys, slow lorises, and hamsters have been infected in lab.</w:t>
      </w:r>
    </w:p>
    <w:p w:rsidR="00F97D41" w:rsidRDefault="00F97D41" w:rsidP="00B364DC">
      <w:r>
        <w:t>Hundreds to thousands of mosquito bites likely required before infection, as a bite only transmits a few L3, and a small % ever reach maturity in human. Means visitors are unlikely to ever be infected, only locals.</w:t>
      </w:r>
    </w:p>
    <w:p w:rsidR="00912356" w:rsidRDefault="00912356" w:rsidP="00B364DC"/>
    <w:p w:rsidR="00912356" w:rsidRDefault="00912356" w:rsidP="00536D70">
      <w:pPr>
        <w:pStyle w:val="Heading3"/>
      </w:pPr>
      <w:bookmarkStart w:id="5" w:name="_Toc476562535"/>
      <w:r>
        <w:t>Lymphatic filariasis</w:t>
      </w:r>
      <w:bookmarkEnd w:id="5"/>
    </w:p>
    <w:p w:rsidR="00536D70" w:rsidRDefault="00536D70" w:rsidP="00B364DC">
      <w:r>
        <w:t>Affects 120 million people</w:t>
      </w:r>
      <w:r w:rsidR="00803173">
        <w:t xml:space="preserve">, a third of whom show disfigurement. </w:t>
      </w:r>
    </w:p>
    <w:p w:rsidR="00A21444" w:rsidRDefault="00912356" w:rsidP="00B364DC">
      <w:r>
        <w:t>Infection and swelling of the lymph system. Appears to take many years to develop, and symptoms include:</w:t>
      </w:r>
    </w:p>
    <w:p w:rsidR="00912356" w:rsidRDefault="00912356" w:rsidP="00B364DC">
      <w:pPr>
        <w:pStyle w:val="ListParagraph"/>
        <w:numPr>
          <w:ilvl w:val="0"/>
          <w:numId w:val="1"/>
        </w:numPr>
      </w:pPr>
      <w:r>
        <w:t>Lymphadenitis, swelling of the lymph nodes.</w:t>
      </w:r>
    </w:p>
    <w:p w:rsidR="00912356" w:rsidRDefault="00912356" w:rsidP="00B364DC">
      <w:pPr>
        <w:pStyle w:val="ListParagraph"/>
        <w:numPr>
          <w:ilvl w:val="0"/>
          <w:numId w:val="1"/>
        </w:numPr>
      </w:pPr>
      <w:r>
        <w:t xml:space="preserve">Lymphangitis, inflammation of the lymphatic vessels. Abscess and ulcers occur more frequently than with </w:t>
      </w:r>
      <w:r w:rsidRPr="00912356">
        <w:rPr>
          <w:i/>
        </w:rPr>
        <w:t>Wuchereria bancrofti</w:t>
      </w:r>
      <w:r>
        <w:t>, and remnants of worms can often be found in the drainage.</w:t>
      </w:r>
    </w:p>
    <w:p w:rsidR="00912356" w:rsidRDefault="00912356" w:rsidP="00B364DC">
      <w:pPr>
        <w:pStyle w:val="ListParagraph"/>
        <w:numPr>
          <w:ilvl w:val="0"/>
          <w:numId w:val="1"/>
        </w:numPr>
      </w:pPr>
      <w:r>
        <w:t xml:space="preserve">Lymphedema or elephantiasis, is enlargement of the limbs caused by repeated lymphangitis. Unlike </w:t>
      </w:r>
      <w:r>
        <w:rPr>
          <w:i/>
        </w:rPr>
        <w:t>W. bancrofti</w:t>
      </w:r>
      <w:r>
        <w:t xml:space="preserve">, Bm rarely affects the genitals. </w:t>
      </w:r>
    </w:p>
    <w:p w:rsidR="00912356" w:rsidRDefault="00912356" w:rsidP="00B364DC">
      <w:pPr>
        <w:pStyle w:val="ListParagraph"/>
        <w:numPr>
          <w:ilvl w:val="0"/>
          <w:numId w:val="1"/>
        </w:numPr>
      </w:pPr>
      <w:r>
        <w:t>Secondary bacterial infections are common, due to the interference with the immune system.</w:t>
      </w:r>
    </w:p>
    <w:p w:rsidR="00912356" w:rsidRDefault="00912356" w:rsidP="00B364DC"/>
    <w:p w:rsidR="00A21444" w:rsidRDefault="00A21444" w:rsidP="00536D70">
      <w:pPr>
        <w:pStyle w:val="Heading3"/>
      </w:pPr>
      <w:bookmarkStart w:id="6" w:name="_Toc476562536"/>
      <w:r>
        <w:t>Genome</w:t>
      </w:r>
      <w:bookmarkEnd w:id="6"/>
    </w:p>
    <w:p w:rsidR="008E0294" w:rsidRDefault="008E0294" w:rsidP="00B364DC">
      <w:r>
        <w:t>First parasite genome to be sequenced?</w:t>
      </w:r>
    </w:p>
    <w:p w:rsidR="00A21444" w:rsidRDefault="00AE26EE" w:rsidP="00B364DC">
      <w:r>
        <w:t xml:space="preserve">TRS strain: </w:t>
      </w:r>
      <w:r w:rsidR="00A21444">
        <w:t xml:space="preserve">95 Mb, 5 chromosomes, published in </w:t>
      </w:r>
      <w:r w:rsidR="001B05C1">
        <w:fldChar w:fldCharType="begin" w:fldLock="1"/>
      </w:r>
      <w:r w:rsidR="00EA19EE">
        <w:instrText>ADDIN CSL_CITATION { "citationItems" : [ { "id" : "ITEM-1", "itemData" : { "DOI" : "10.1126/science.1145406", "ISBN" : "0036-8075", "ISSN" : "1095-9203", "PMID" : "17885136", "abstract" : "Parasitic nematodes that cause elephantiasis and river blindness threaten hundreds of millions of people in the developing world. We have sequenced the approximately 90 megabase (Mb) genome of the human filarial parasite Brugia malayi and predict approximately 11,500 protein coding genes in 71 Mb of robustly assembled sequence. Comparative analysis with the free-living, model nematode Caenorhabditis elegans revealed that, despite these genes having maintained little conservation of local synteny during approximately 350 million years of evolution, they largely remain in linkage on chromosomal units. More than 100 conserved operons were identified. Analysis of the predicted proteome provides evidence for adaptations of B. malayi to niches in its human and vector hosts and insights into the molecular basis of a mutualistic relationship with its Wolbachia endosymbiont. These findings offer a foundation for rational drug design.", "author" : [ { "dropping-particle" : "", "family" : "Ghedin", "given" : "Elodie", "non-dropping-particle" : "", "parse-names" : false, "suffix" : "" }, { "dropping-particle" : "", "family" : "Wang", "given" : "Shiliang", "non-dropping-particle" : "", "parse-names" : false, "suffix" : "" }, { "dropping-particle" : "", "family" : "Spiro", "given" : "David", "non-dropping-particle" : "", "parse-names" : false, "suffix" : "" }, { "dropping-particle" : "", "family" : "Caler", "given" : "Elisabet", "non-dropping-particle" : "", "parse-names" : false, "suffix" : "" }, { "dropping-particle" : "", "family" : "Zhao", "given" : "Qi", "non-dropping-particle" : "", "parse-names" : false, "suffix" : "" }, { "dropping-particle" : "", "family" : "Crabtree", "given" : "Jonathan", "non-dropping-particle" : "", "parse-names" : false, "suffix" : "" }, { "dropping-particle" : "", "family" : "Allen", "given" : "Jonathan E", "non-dropping-particle" : "", "parse-names" : false, "suffix" : "" }, { "dropping-particle" : "", "family" : "Delcher", "given" : "Arthur L", "non-dropping-particle" : "", "parse-names" : false, "suffix" : "" }, { "dropping-particle" : "", "family" : "Guiliano", "given" : "David B", "non-dropping-particle" : "", "parse-names" : false, "suffix" : "" }, { "dropping-particle" : "", "family" : "Miranda-Saavedra", "given" : "Diego", "non-dropping-particle" : "", "parse-names" : false, "suffix" : "" }, { "dropping-particle" : "V", "family" : "Angiuoli", "given" : "Samuel", "non-dropping-particle" : "", "parse-names" : false, "suffix" : "" }, { "dropping-particle" : "", "family" : "Creasy", "given" : "Todd", "non-dropping-particle" : "", "parse-names" : false, "suffix" : "" }, { "dropping-particle" : "", "family" : "Amedeo", "given" : "Paolo", "non-dropping-particle" : "", "parse-names" : false, "suffix" : "" }, { "dropping-particle" : "", "family" : "Haas", "given" : "Brian", "non-dropping-particle" : "", "parse-names" : false, "suffix" : "" }, { "dropping-particle" : "", "family" : "El-Sayed", "given" : "Najib M", "non-dropping-particle" : "", "parse-names" : false, "suffix" : "" }, { "dropping-particle" : "", "family" : "Wortman", "given" : "Jennifer R", "non-dropping-particle" : "", "parse-names" : false, "suffix" : "" }, { "dropping-particle" : "", "family" : "Feldblyum", "given" : "Tamara", "non-dropping-particle" : "", "parse-names" : false, "suffix" : "" }, { "dropping-particle" : "", "family" : "Tallon", "given" : "Luke", "non-dropping-particle" : "", "parse-names" : false, "suffix" : "" }, { "dropping-particle" : "", "family" : "Schatz", "given" : "Michael", "non-dropping-particle" : "", "parse-names" : false, "suffix" : "" }, { "dropping-particle" : "", "family" : "Shumway", "given" : "Martin", "non-dropping-particle" : "", "parse-names" : false, "suffix" : "" }, { "dropping-particle" : "", "family" : "Koo", "given" : "Hean", "non-dropping-particle" : "", "parse-names" : false, "suffix" : "" }, { "dropping-particle" : "", "family" : "Salzberg", "given" : "Steven L", "non-dropping-particle" : "", "parse-names" : false, "suffix" : "" }, { "dropping-particle" : "", "family" : "Schobel", "given" : "Seth", "non-dropping-particle" : "", "parse-names" : false, "suffix" : "" }, { "dropping-particle" : "", "family" : "Pertea", "given" : "Mihaela", "non-dropping-particle" : "", "parse-names" : false, "suffix" : "" }, { "dropping-particle" : "", "family" : "Pop", "given" : "Mihai", "non-dropping-particle" : "", "parse-names" : false, "suffix" : "" }, { "dropping-particle" : "", "family" : "White", "given" : "Owen", "non-dropping-particle" : "", "parse-names" : false, "suffix" : "" }, { "dropping-particle" : "", "family" : "Barton", "given" : "Geoffrey J", "non-dropping-particle" : "", "parse-names" : false, "suffix" : "" }, { "dropping-particle" : "", "family" : "Carlow", "given" : "Clotilde K S", "non-dropping-particle" : "", "parse-names" : false, "suffix" : "" }, { "dropping-particle" : "", "family" : "Crawford", "given" : "Michael J", "non-dropping-particle" : "", "parse-names" : false, "suffix" : "" }, { "dropping-particle" : "", "family" : "Daub", "given" : "Jennifer", "non-dropping-particle" : "", "parse-names" : false, "suffix" : "" }, { "dropping-particle" : "", "family" : "Dimmic", "given" : "Matthew W", "non-dropping-particle" : "", "parse-names" : false, "suffix" : "" }, { "dropping-particle" : "", "family" : "Estes", "given" : "Chris F", "non-dropping-particle" : "", "parse-names" : false, "suffix" : "" }, { "dropping-particle" : "", "family" : "Foster", "given" : "Jeremy M", "non-dropping-particle" : "", "parse-names" : false, "suffix" : "" }, { "dropping-particle" : "", "family" : "Ganatra", "given" : "Mehul", "non-dropping-particle" : "", "parse-names" : false, "suffix" : "" }, { "dropping-particle" : "", "family" : "Gregory", "given" : "William F", "non-dropping-particle" : "", "parse-names" : false, "suffix" : "" }, { "dropping-particle" : "", "family" : "Johnson", "given" : "Nicholas M", "non-dropping-particle" : "", "parse-names" : false, "suffix" : "" }, { "dropping-particle" : "", "family" : "Jin", "given" : "Jinming", "non-dropping-particle" : "", "parse-names" : false, "suffix" : "" }, { "dropping-particle" : "", "family" : "Komuniecki", "given" : "Richard", "non-dropping-particle" : "", "parse-names" : false, "suffix" : "" }, { "dropping-particle" : "", "family" : "Korf", "given" : "Ian", "non-dropping-particle" : "", "parse-names" : false, "suffix" : "" }, { "dropping-particle" : "", "family" : "Kumar", "given" : "Sanjay", "non-dropping-particle" : "", "parse-names" : false, "suffix" : "" }, { "dropping-particle" : "", "family" : "Laney", "given" : "Sandra", "non-dropping-particle" : "", "parse-names" : false, "suffix" : "" }, { "dropping-particle" : "", "family" : "Li", "given" : "Ben-Wen", "non-dropping-particle" : "", "parse-names" : false, "suffix" : "" }, { "dropping-particle" : "", "family" : "Li", "given" : "Wen", "non-dropping-particle" : "", "parse-names" : false, "suffix" : "" }, { "dropping-particle" : "", "family" : "Lindblom", "given" : "Tim H", "non-dropping-particle" : "", "parse-names" : false, "suffix" : "" }, { "dropping-particle" : "", "family" : "Lustigman", "given" : "Sara", "non-dropping-particle" : "", "parse-names" : false, "suffix" : "" }, { "dropping-particle" : "", "family" : "Ma", "given" : "Dong", "non-dropping-particle" : "", "parse-names" : false, "suffix" : "" }, { "dropping-particle" : "V", "family" : "Maina", "given" : "Claude", "non-dropping-particle" : "", "parse-names" : false, "suffix" : "" }, { "dropping-particle" : "", "family" : "Martin", "given" : "David M a", "non-dropping-particle" : "", "parse-names" : false, "suffix" : "" }, { "dropping-particle" : "", "family" : "McCarter", "given" : "James P", "non-dropping-particle" : "", "parse-names" : false, "suffix" : "" }, { "dropping-particle" : "", "family" : "McReynolds", "given" : "Larry", "non-dropping-particle" : "", "parse-names" : false, "suffix" : "" }, { "dropping-particle" : "", "family" : "Mitreva", "given" : "Makedonka", "non-dropping-particle" : "", "parse-names" : false, "suffix" : "" }, { "dropping-particle" : "", "family" : "Nutman", "given" : "Thomas B", "non-dropping-particle" : "", "parse-names" : false, "suffix" : "" }, { "dropping-particle" : "", "family" : "Parkinson", "given" : "John", "non-dropping-particle" : "", "parse-names" : false, "suffix" : "" }, { "dropping-particle" : "", "family" : "Peregr\u00edn-Alvarez", "given" : "Jos\u00e9 M", "non-dropping-particle" : "", "parse-names" : false, "suffix" : "" }, { "dropping-particle" : "", "family" : "Poole", "given" : "Catherine", "non-dropping-particle" : "", "parse-names" : false, "suffix" : "" }, { "dropping-particle" : "", "family" : "Ren", "given" : "Qinghu", "non-dropping-particle" : "", "parse-names" : false, "suffix" : "" }, { "dropping-particle" : "", "family" : "Saunders", "given" : "Lori", "non-dropping-particle" : "", "parse-names" : false, "suffix" : "" }, { "dropping-particle" : "", "family" : "Sluder", "given" : "Ann E", "non-dropping-particle" : "", "parse-names" : false, "suffix" : "" }, { "dropping-particle" : "", "family" : "Smith", "given" : "Katherine", "non-dropping-particle" : "", "parse-names" : false, "suffix" : "" }, { "dropping-particle" : "", "family" : "Stanke", "given" : "Mario", "non-dropping-particle" : "", "parse-names" : false, "suffix" : "" }, { "dropping-particle" : "", "family" : "Unnasch", "given" : "Thomas R", "non-dropping-particle" : "", "parse-names" : false, "suffix" : "" }, { "dropping-particle" : "", "family" : "Ware", "given" : "Jenna", "non-dropping-particle" : "", "parse-names" : false, "suffix" : "" }, { "dropping-particle" : "", "family" : "Wei", "given" : "Aguan D", "non-dropping-particle" : "", "parse-names" : false, "suffix" : "" }, { "dropping-particle" : "", "family" : "Weil", "given" : "Gary", "non-dropping-particle" : "", "parse-names" : false, "suffix" : "" }, { "dropping-particle" : "", "family" : "Williams", "given" : "Deryck J", "non-dropping-particle" : "", "parse-names" : false, "suffix" : "" }, { "dropping-particle" : "", "family" : "Zhang", "given" : "Yinhua", "non-dropping-particle" : "", "parse-names" : false, "suffix" : "" }, { "dropping-particle" : "", "family" : "Williams", "given" : "Steven a", "non-dropping-particle" : "", "parse-names" : false, "suffix" : "" }, { "dropping-particle" : "", "family" : "Fraser-Liggett", "given" : "Claire", "non-dropping-particle" : "", "parse-names" : false, "suffix" : "" }, { "dropping-particle" : "", "family" : "Slatko", "given" : "Barton", "non-dropping-particle" : "", "parse-names" : false, "suffix" : "" }, { "dropping-particle" : "", "family" : "Blaxter", "given" : "Mark L", "non-dropping-particle" : "", "parse-names" : false, "suffix" : "" }, { "dropping-particle" : "", "family" : "Scott", "given" : "Alan L", "non-dropping-particle" : "", "parse-names" : false, "suffix" : "" } ], "container-title" : "Science (New York, N.Y.)", "id" : "ITEM-1", "issue" : "5845", "issued" : { "date-parts" : [ [ "2007" ] ] }, "page" : "1756-60", "title" : "Draft genome of the filarial nematode parasite Brugia malayi.", "type" : "article-journal", "volume" : "317" }, "uris" : [ "http://www.mendeley.com/documents/?uuid=78a848e9-769c-4680-806c-3cbfb18920ff" ] } ], "mendeley" : { "formattedCitation" : "(Ghedin &lt;i&gt;et al.&lt;/i&gt;, 2007)", "plainTextFormattedCitation" : "(Ghedin et al., 2007)", "previouslyFormattedCitation" : "(Ghedin &lt;i&gt;et al.&lt;/i&gt;, 2007)" }, "properties" : { "noteIndex" : 0 }, "schema" : "https://github.com/citation-style-language/schema/raw/master/csl-citation.json" }</w:instrText>
      </w:r>
      <w:r w:rsidR="001B05C1">
        <w:fldChar w:fldCharType="separate"/>
      </w:r>
      <w:r w:rsidR="001B05C1" w:rsidRPr="001B05C1">
        <w:rPr>
          <w:noProof/>
        </w:rPr>
        <w:t xml:space="preserve">(Ghedin </w:t>
      </w:r>
      <w:r w:rsidR="001B05C1" w:rsidRPr="001B05C1">
        <w:rPr>
          <w:i/>
          <w:noProof/>
        </w:rPr>
        <w:t>et al.</w:t>
      </w:r>
      <w:r w:rsidR="001B05C1" w:rsidRPr="001B05C1">
        <w:rPr>
          <w:noProof/>
        </w:rPr>
        <w:t>, 2007)</w:t>
      </w:r>
      <w:r w:rsidR="001B05C1">
        <w:fldChar w:fldCharType="end"/>
      </w:r>
      <w:r w:rsidR="00A21444">
        <w:t>.</w:t>
      </w:r>
    </w:p>
    <w:p w:rsidR="001B05C1" w:rsidRDefault="001B05C1" w:rsidP="00B364DC">
      <w:pPr>
        <w:pStyle w:val="ListParagraph"/>
        <w:numPr>
          <w:ilvl w:val="0"/>
          <w:numId w:val="1"/>
        </w:numPr>
      </w:pPr>
      <w:r>
        <w:t>N50 93.8 kb, 11,515 proteins</w:t>
      </w:r>
      <w:r w:rsidR="00B50FCA">
        <w:t xml:space="preserve"> found</w:t>
      </w:r>
      <w:r>
        <w:t xml:space="preserve"> (17.8% of genome)</w:t>
      </w:r>
      <w:r w:rsidR="00B50FCA">
        <w:t>; estimated to be ~16,000</w:t>
      </w:r>
      <w:r w:rsidR="00EB33C4">
        <w:t xml:space="preserve"> proteins</w:t>
      </w:r>
      <w:r w:rsidR="00B50FCA">
        <w:t xml:space="preserve"> in total.</w:t>
      </w:r>
    </w:p>
    <w:p w:rsidR="00EB33C4" w:rsidRDefault="00EB33C4" w:rsidP="00B364DC">
      <w:pPr>
        <w:pStyle w:val="ListParagraph"/>
        <w:numPr>
          <w:ilvl w:val="0"/>
          <w:numId w:val="1"/>
        </w:numPr>
      </w:pPr>
      <w:r>
        <w:t xml:space="preserve">X/Y sex </w:t>
      </w:r>
      <w:r w:rsidR="00AF1E69">
        <w:t>chromosome.</w:t>
      </w:r>
    </w:p>
    <w:p w:rsidR="001B05C1" w:rsidRDefault="001B05C1" w:rsidP="00B364DC">
      <w:pPr>
        <w:pStyle w:val="ListParagraph"/>
        <w:numPr>
          <w:ilvl w:val="0"/>
          <w:numId w:val="1"/>
        </w:numPr>
      </w:pPr>
      <w:r>
        <w:t>9x coverage, originally 8180 contigs, 15% repeat content, 30.5% GC.</w:t>
      </w:r>
    </w:p>
    <w:p w:rsidR="00AF1E69" w:rsidRDefault="00AF1E69" w:rsidP="00B364DC">
      <w:r>
        <w:t xml:space="preserve">Long-range gene linkage between Bm and </w:t>
      </w:r>
      <w:r>
        <w:rPr>
          <w:i/>
        </w:rPr>
        <w:t>C. elegans</w:t>
      </w:r>
      <w:r>
        <w:t xml:space="preserve"> is generally conserved, but local gene order isn’t.</w:t>
      </w:r>
    </w:p>
    <w:p w:rsidR="00AF1E69" w:rsidRDefault="00AF1E69" w:rsidP="00B364DC">
      <w:r>
        <w:t>Median of 4 introns per gene (5 in elegans), median exon size is about the same, and median intron length is 3x larger (217 vs 68).</w:t>
      </w:r>
    </w:p>
    <w:p w:rsidR="007319FB" w:rsidRDefault="007319FB" w:rsidP="00B364DC">
      <w:r>
        <w:t>50% of genes have clear orthologs in elegans; 48% average pair-wise identity.</w:t>
      </w:r>
    </w:p>
    <w:p w:rsidR="00755DB7" w:rsidRPr="00536D70" w:rsidRDefault="00755DB7" w:rsidP="00B364DC">
      <w:r>
        <w:lastRenderedPageBreak/>
        <w:t>Appear to be missing 9 of 10</w:t>
      </w:r>
      <w:r w:rsidR="00536D70">
        <w:t xml:space="preserve"> enzymes required to synthesize inosine monophosphate from phosphoribosyl pyrophosphate (purine synthesis); the pathway is intact in wBm </w:t>
      </w:r>
      <w:r w:rsidR="00536D70">
        <w:fldChar w:fldCharType="begin" w:fldLock="1"/>
      </w:r>
      <w:r w:rsidR="00B73529">
        <w:instrText>ADDIN CSL_CITATION { "citationItems" : [ { "id" : "ITEM-1", "itemData" : { "DOI" : "10.1016/j.parint.2008.09.003", "ISBN" : "1383-5769 (Print)", "ISSN" : "13835769", "PMID" : "18952001", "abstract" : "Filarial nematode parasites, the causative agents of elephantiasis and river blindness, undermine the livelihoods of over one hundred million people in the developing world. Recently, the Filarial Genome Project reported the draft sequence of the ~ 95??Mb genome of the human filarial parasite Brugia malayi - the first parasitic nematode genome to be sequenced. Comparative genome analysis with the prevailing model nematode Caenorhabditis elegans revealed similarities and differences in genome structure and organization that will prove useful as additional nematode genomes are completed. The Brugia genome provides the first opportunity to comprehensively compare the full gene repertoire of a free-living nematode species and one that has evolved as a human pathogen. The Brugia genome also provides an opportunity to gain insight into genetic basis for mutualism, as Brugia, like a majority of filarial species, harbors an endosybiotic bacterium (Wolbachia). The goal of this review is to provide an overview of the results of genomic analysis and how these observations provide new insights into the biology of filarial species. ?? 2008 Elsevier Ireland Ltd. All rights reserved.", "author" : [ { "dropping-particle" : "", "family" : "Scott", "given" : "Alan L.", "non-dropping-particle" : "", "parse-names" : false, "suffix" : "" }, { "dropping-particle" : "", "family" : "Ghedin", "given" : "Elodie", "non-dropping-particle" : "", "parse-names" : false, "suffix" : "" } ], "container-title" : "Parasitology International", "id" : "ITEM-1", "issue" : "1", "issued" : { "date-parts" : [ [ "2009" ] ] }, "page" : "6-11", "title" : "The genome of Brugia malayi - All worms are not created equal", "type" : "article", "volume" : "58" }, "uris" : [ "http://www.mendeley.com/documents/?uuid=4c0ab547-dd40-461a-b23c-b642c8efa71c" ] } ], "mendeley" : { "formattedCitation" : "(Scott and Ghedin, 2009)", "plainTextFormattedCitation" : "(Scott and Ghedin, 2009)", "previouslyFormattedCitation" : "(Scott and Ghedin, 2009)" }, "properties" : { "noteIndex" : 0 }, "schema" : "https://github.com/citation-style-language/schema/raw/master/csl-citation.json" }</w:instrText>
      </w:r>
      <w:r w:rsidR="00536D70">
        <w:fldChar w:fldCharType="separate"/>
      </w:r>
      <w:r w:rsidR="00536D70" w:rsidRPr="00536D70">
        <w:rPr>
          <w:noProof/>
        </w:rPr>
        <w:t>(Scott and Ghedin, 2009)</w:t>
      </w:r>
      <w:r w:rsidR="00536D70">
        <w:fldChar w:fldCharType="end"/>
      </w:r>
      <w:r w:rsidR="00536D70">
        <w:t xml:space="preserve">. Similar with heme biosynthesis, and </w:t>
      </w:r>
      <w:r w:rsidR="00536D70">
        <w:rPr>
          <w:i/>
        </w:rPr>
        <w:t>de novo</w:t>
      </w:r>
      <w:r w:rsidR="00536D70">
        <w:t xml:space="preserve"> riboflavin biosynthesis.</w:t>
      </w:r>
    </w:p>
    <w:p w:rsidR="0004666C" w:rsidRDefault="0004666C" w:rsidP="00B364DC"/>
    <w:p w:rsidR="00E170FC" w:rsidRPr="00AF1E69" w:rsidRDefault="00E170FC" w:rsidP="00B364DC">
      <w:pPr>
        <w:pStyle w:val="Heading2"/>
      </w:pPr>
      <w:bookmarkStart w:id="7" w:name="_Toc476562537"/>
      <w:r w:rsidRPr="00AF1E69">
        <w:t>Onchocerca volvulus</w:t>
      </w:r>
      <w:bookmarkEnd w:id="7"/>
    </w:p>
    <w:p w:rsidR="00E170FC" w:rsidRDefault="001F4670" w:rsidP="00B364DC">
      <w:r>
        <w:t xml:space="preserve">Most pathogenic of the filaria </w:t>
      </w:r>
      <w:r>
        <w:fldChar w:fldCharType="begin" w:fldLock="1"/>
      </w:r>
      <w:r w:rsidR="00AD1003">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1F4670">
        <w:rPr>
          <w:noProof/>
        </w:rPr>
        <w:t xml:space="preserve">(Cotton </w:t>
      </w:r>
      <w:r w:rsidRPr="001F4670">
        <w:rPr>
          <w:i/>
          <w:noProof/>
        </w:rPr>
        <w:t>et al.</w:t>
      </w:r>
      <w:r w:rsidRPr="001F4670">
        <w:rPr>
          <w:noProof/>
        </w:rPr>
        <w:t>, 2016)</w:t>
      </w:r>
      <w:r>
        <w:fldChar w:fldCharType="end"/>
      </w:r>
      <w:r>
        <w:t>.</w:t>
      </w:r>
    </w:p>
    <w:p w:rsidR="001F4670" w:rsidRDefault="001F4670" w:rsidP="00B364DC"/>
    <w:p w:rsidR="00803173" w:rsidRDefault="00803173" w:rsidP="00803173">
      <w:pPr>
        <w:pStyle w:val="Heading3"/>
      </w:pPr>
      <w:bookmarkStart w:id="8" w:name="_Toc476562538"/>
      <w:r>
        <w:t>Life cycle</w:t>
      </w:r>
      <w:bookmarkEnd w:id="8"/>
    </w:p>
    <w:p w:rsidR="00803173" w:rsidRDefault="00803173" w:rsidP="00B364DC"/>
    <w:p w:rsidR="00803173" w:rsidRDefault="00803173" w:rsidP="00B364DC"/>
    <w:p w:rsidR="00803173" w:rsidRDefault="00803173" w:rsidP="00803173">
      <w:pPr>
        <w:pStyle w:val="Heading3"/>
      </w:pPr>
      <w:bookmarkStart w:id="9" w:name="_Toc476562539"/>
      <w:r>
        <w:t>Prevalence and range</w:t>
      </w:r>
      <w:bookmarkEnd w:id="9"/>
    </w:p>
    <w:p w:rsidR="00803173" w:rsidRDefault="00D8624F" w:rsidP="00B364DC">
      <w:r>
        <w:t>Control largely relies on mass drug administration</w:t>
      </w:r>
      <w:r w:rsidR="00AD1003">
        <w:t xml:space="preserve"> of ivermectin</w:t>
      </w:r>
      <w:r>
        <w:t>.</w:t>
      </w:r>
    </w:p>
    <w:p w:rsidR="004E6C4F" w:rsidRDefault="004E6C4F" w:rsidP="00AD1003">
      <w:pPr>
        <w:pStyle w:val="ListParagraph"/>
        <w:numPr>
          <w:ilvl w:val="0"/>
          <w:numId w:val="1"/>
        </w:numPr>
      </w:pPr>
      <w:r>
        <w:t>Has successfully eradicated the disease from several countries.</w:t>
      </w:r>
    </w:p>
    <w:p w:rsidR="00AD1003" w:rsidRDefault="00AD1003" w:rsidP="00AD1003">
      <w:pPr>
        <w:pStyle w:val="ListParagraph"/>
        <w:numPr>
          <w:ilvl w:val="0"/>
          <w:numId w:val="1"/>
        </w:numPr>
      </w:pPr>
      <w:r>
        <w:t xml:space="preserve">Can’t be used when </w:t>
      </w:r>
      <w:r>
        <w:rPr>
          <w:i/>
        </w:rPr>
        <w:t>Loa loa</w:t>
      </w:r>
      <w:r>
        <w:t xml:space="preserve"> is co-endemic, due to the possibility of </w:t>
      </w:r>
      <w:r w:rsidR="004E6C4F">
        <w:t>irreversible and severe neurological adverse effects, including death.</w:t>
      </w:r>
    </w:p>
    <w:p w:rsidR="00803173" w:rsidRDefault="00803173" w:rsidP="00B364DC"/>
    <w:p w:rsidR="00803173" w:rsidRDefault="00803173" w:rsidP="00803173">
      <w:pPr>
        <w:pStyle w:val="Heading3"/>
      </w:pPr>
      <w:bookmarkStart w:id="10" w:name="_Toc476562540"/>
      <w:r>
        <w:t>Onchocerciasis</w:t>
      </w:r>
      <w:bookmarkEnd w:id="10"/>
    </w:p>
    <w:p w:rsidR="00803173" w:rsidRDefault="006F015A" w:rsidP="00B364DC">
      <w:r>
        <w:t>Affects 18 million people, of whom 500,000 have visual impairment and 270,000 are blind.</w:t>
      </w:r>
      <w:r w:rsidR="00AD1003">
        <w:t xml:space="preserve"> Or, 17 million people, 1.2 million with vision impairment or blindness </w:t>
      </w:r>
      <w:r w:rsidR="00AD1003">
        <w:fldChar w:fldCharType="begin" w:fldLock="1"/>
      </w:r>
      <w:r w:rsidR="002323B5">
        <w:instrText>ADDIN CSL_CITATION { "citationItems" : [ { "id" : "ITEM-1", "itemData" : { "DOI" : "10.1371/journal.pntd.0002865", "ISBN" : "1935-2735", "ISSN" : "1935-2735", "PMID" : "25058013", "abstract" : "Non-communicable diseases dominate the public health arena in China, yet neglected tropical diseases (NTDs) are still widespread and create a substantial burden. We review the geographical distribution, prevalence, and epidemic characteristics of NTDs identified in China caused by helminths, protozoa, bacteria, and viruses. Lymphatic filariasis was eliminated in 2007, but schistosomiasis still affects up to 5% of local village residents in some endemic counties with around 300 000 people infected. China harbours more than 90% of the world's burden of alveolar echinococcosis and food-borne zoonoses are emerging. In 2010, the overall prevalence of soil-transmitted helminth infections caused by Ascaris lumbricoides, Trichuris trichiura, and hookworm was 11\u00b74%, with 6\u00b78% of these infections caused by A lumbricoides. Corresponding figures for food-borne trematodiasis, echinococcosis, and cysticercosis are more than 5%. Dengue, leishmaniasis, leprosy, rabies, and trachoma exist in many areas and should not be overlooked. Transmission of vector-borne diseases can be interrupted; nevertheless, epidemics occur in remote areas, creating a challenge for surveillance and control. Rigorous surveillance, followed by immediate and integrated response packages tailored to specific social and ecological systems, is essential for progress towards the elimination of NTDs in China. \u00a9 2014 Elsevier Ltd. All rights reserved.", "author" : [ { "dropping-particle" : "", "family" : "Hotez", "given" : "Peter J.", "non-dropping-particle" : "", "parse-names" : false, "suffix" : "" }, { "dropping-particle" : "", "family" : "Alvarado", "given" : "Miriam", "non-dropping-particle" : "", "parse-names" : false, "suffix" : "" }, { "dropping-particle" : "", "family" : "Bas\u00e1\u00f1ez", "given" : "Mar\u00eda-Gloria", "non-dropping-particle" : "", "parse-names" : false, "suffix" : "" }, { "dropping-particle" : "", "family" : "Bolliger", "given" : "Ian", "non-dropping-particle" : "", "parse-names" : false, "suffix" : "" }, { "dropping-particle" : "", "family" : "Bourne", "given" : "Rupert", "non-dropping-particle" : "", "parse-names" : false, "suffix" : "" }, { "dropping-particle" : "", "family" : "Boussinesq", "given" : "Michel", "non-dropping-particle" : "", "parse-names" : false, "suffix" : "" }, { "dropping-particle" : "", "family" : "Brooker", "given" : "Simon J.", "non-dropping-particle" : "", "parse-names" : false, "suffix" : "" }, { "dropping-particle" : "", "family" : "Brown", "given" : "Ami Shah", "non-dropping-particle" : "", "parse-names" : false, "suffix" : "" }, { "dropping-particle" : "", "family" : "Buckle", "given" : "Geoffrey", "non-dropping-particle" : "", "parse-names" : false, "suffix" : "" }, { "dropping-particle" : "", "family" : "Budke", "given" : "Christine M.", "non-dropping-particle" : "", "parse-names" : false, "suffix" : "" }, { "dropping-particle" : "", "family" : "Carabin", "given" : "H\u00e9l\u00e8ne", "non-dropping-particle" : "", "parse-names" : false, "suffix" : "" }, { "dropping-particle" : "", "family" : "Coffeng", "given" : "Luc E.", "non-dropping-particle" : "", "parse-names" : false, "suffix" : "" }, { "dropping-particle" : "", "family" : "F\u00e8vre", "given" : "Eric M.", "non-dropping-particle" : "", "parse-names" : false, "suffix" : "" }, { "dropping-particle" : "", "family" : "F\u00fcrst", "given" : "Thomas", "non-dropping-particle" : "", "parse-names" : false, "suffix" : "" }, { "dropping-particle" : "", "family" : "Halasa", "given" : "Yara A.", "non-dropping-particle" : "", "parse-names" : false, "suffix" : "" }, { "dropping-particle" : "", "family" : "Jasrasaria", "given" : "Rashmi", "non-dropping-particle" : "", "parse-names" : false, "suffix" : "" }, { "dropping-particle" : "", "family" : "Johns", "given" : "Nicole E.", "non-dropping-particle" : "", "parse-names" : false, "suffix" : "" }, { "dropping-particle" : "", "family" : "Keiser", "given" : "Jennifer", "non-dropping-particle" : "", "parse-names" : false, "suffix" : "" }, { "dropping-particle" : "", "family" : "King", "given" : "Charles H.", "non-dropping-particle" : "", "parse-names" : false, "suffix" : "" }, { "dropping-particle" : "", "family" : "Lozano", "given" : "Rafael", "non-dropping-particle" : "", "parse-names" : false, "suffix" : "" }, { "dropping-particle" : "", "family" : "Murdoch", "given" : "Michele E.", "non-dropping-particle" : "", "parse-names" : false, "suffix" : "" }, { "dropping-particle" : "", "family" : "O'Hanlon", "given" : "Simon", "non-dropping-particle" : "", "parse-names" : false, "suffix" : "" }, { "dropping-particle" : "", "family" : "Pion", "given" : "S\u00e9bastien D. S.", "non-dropping-particle" : "", "parse-names" : false, "suffix" : "" }, { "dropping-particle" : "", "family" : "Pullan", "given" : "Rachel L.", "non-dropping-particle" : "", "parse-names" : false, "suffix" : "" }, { "dropping-particle" : "", "family" : "Ramaiah", "given" : "Kapa D.", "non-dropping-particle" : "", "parse-names" : false, "suffix" : "" }, { "dropping-particle" : "", "family" : "Roberts", "given" : "Thomas", "non-dropping-particle" : "", "parse-names" : false, "suffix" : "" }, { "dropping-particle" : "", "family" : "Shepard", "given" : "Donald S.", "non-dropping-particle" : "", "parse-names" : false, "suffix" : "" }, { "dropping-particle" : "", "family" : "Smith", "given" : "Jennifer L.", "non-dropping-particle" : "", "parse-names" : false, "suffix" : "" }, { "dropping-particle" : "", "family" : "Stolk", "given" : "Wilma A.", "non-dropping-particle" : "", "parse-names" : false, "suffix" : "" }, { "dropping-particle" : "", "family" : "Undurraga", "given" : "Eduardo A.", "non-dropping-particle" : "", "parse-names" : false, "suffix" : "" }, { "dropping-particle" : "", "family" : "Utzinger", "given" : "J\u00fcrg", "non-dropping-particle" : "", "parse-names" : false, "suffix" : "" }, { "dropping-particle" : "", "family" : "Wang", "given" : "Mengru", "non-dropping-particle" : "", "parse-names" : false, "suffix" : "" }, { "dropping-particle" : "", "family" : "Murray", "given" : "Christopher J. L.", "non-dropping-particle" : "", "parse-names" : false, "suffix" : "" }, { "dropping-particle" : "", "family" : "Naghavi", "given" : "Mohsen", "non-dropping-particle" : "", "parse-names" : false, "suffix" : "" } ], "container-title" : "PLoS Neglected Tropical Diseases", "id" : "ITEM-1", "issue" : "7", "issued" : { "date-parts" : [ [ "2014" ] ] }, "page" : "e2865", "title" : "The Global Burden of Disease Study 2010: Interpretation and Implications for the Neglected Tropical Diseases", "type" : "article-journal", "volume" : "8" }, "uris" : [ "http://www.mendeley.com/documents/?uuid=18c3be29-e59d-4611-aa8e-528aa49ea195" ] } ], "mendeley" : { "formattedCitation" : "(Hotez &lt;i&gt;et al.&lt;/i&gt;, 2014)", "plainTextFormattedCitation" : "(Hotez et al., 2014)", "previouslyFormattedCitation" : "(Hotez &lt;i&gt;et al.&lt;/i&gt;, 2014)" }, "properties" : { "noteIndex" : 0 }, "schema" : "https://github.com/citation-style-language/schema/raw/master/csl-citation.json" }</w:instrText>
      </w:r>
      <w:r w:rsidR="00AD1003">
        <w:fldChar w:fldCharType="separate"/>
      </w:r>
      <w:r w:rsidR="00AD1003" w:rsidRPr="00AD1003">
        <w:rPr>
          <w:noProof/>
        </w:rPr>
        <w:t xml:space="preserve">(Hotez </w:t>
      </w:r>
      <w:r w:rsidR="00AD1003" w:rsidRPr="00AD1003">
        <w:rPr>
          <w:i/>
          <w:noProof/>
        </w:rPr>
        <w:t>et al.</w:t>
      </w:r>
      <w:r w:rsidR="00AD1003" w:rsidRPr="00AD1003">
        <w:rPr>
          <w:noProof/>
        </w:rPr>
        <w:t>, 2014)</w:t>
      </w:r>
      <w:r w:rsidR="00AD1003">
        <w:fldChar w:fldCharType="end"/>
      </w:r>
      <w:r w:rsidR="00AD1003">
        <w:t>.</w:t>
      </w:r>
    </w:p>
    <w:p w:rsidR="00AD1003" w:rsidRDefault="00AD1003" w:rsidP="00B364DC">
      <w:r>
        <w:t xml:space="preserve">L1/microfilariae are produced by fertile females within onchocercomata (nodules), which migrate to the skin or other organs. Here they induce inflammatory reactions that are responsible for the pathologies. </w:t>
      </w:r>
    </w:p>
    <w:p w:rsidR="00803173" w:rsidRDefault="00803173" w:rsidP="00B364DC"/>
    <w:p w:rsidR="00803173" w:rsidRDefault="00803173" w:rsidP="00803173">
      <w:pPr>
        <w:pStyle w:val="Heading3"/>
      </w:pPr>
      <w:bookmarkStart w:id="11" w:name="_Toc476562541"/>
      <w:r>
        <w:t>Genome</w:t>
      </w:r>
      <w:bookmarkEnd w:id="11"/>
    </w:p>
    <w:p w:rsidR="00803173" w:rsidRDefault="001F4670" w:rsidP="00B364DC">
      <w:r>
        <w:t>Very high quality</w:t>
      </w:r>
      <w:r w:rsidR="004E6C4F">
        <w:t>; at chromosome quality (including a sex chromosome)</w:t>
      </w:r>
      <w:r>
        <w:t xml:space="preserve"> </w:t>
      </w:r>
      <w:r>
        <w:fldChar w:fldCharType="begin" w:fldLock="1"/>
      </w:r>
      <w:r>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1F4670">
        <w:rPr>
          <w:noProof/>
        </w:rPr>
        <w:t xml:space="preserve">(Cotton </w:t>
      </w:r>
      <w:r w:rsidRPr="001F4670">
        <w:rPr>
          <w:i/>
          <w:noProof/>
        </w:rPr>
        <w:t>et al.</w:t>
      </w:r>
      <w:r w:rsidRPr="001F4670">
        <w:rPr>
          <w:noProof/>
        </w:rPr>
        <w:t>, 2016)</w:t>
      </w:r>
      <w:r>
        <w:fldChar w:fldCharType="end"/>
      </w:r>
      <w:r w:rsidR="004E6C4F">
        <w:t>.</w:t>
      </w:r>
    </w:p>
    <w:p w:rsidR="00526921" w:rsidRDefault="004E6C4F" w:rsidP="004E4E9E">
      <w:pPr>
        <w:pStyle w:val="ListParagraph"/>
        <w:numPr>
          <w:ilvl w:val="0"/>
          <w:numId w:val="1"/>
        </w:numPr>
      </w:pPr>
      <w:r>
        <w:t>Also include</w:t>
      </w:r>
      <w:r w:rsidR="004E4E9E">
        <w:t xml:space="preserve">s and assembly of its Wolbachia. Version used in the genome paper is a little different from that available on GenBank. Find the modified version at </w:t>
      </w:r>
      <w:hyperlink r:id="rId7" w:history="1">
        <w:r w:rsidR="004E4E9E" w:rsidRPr="006F6DBD">
          <w:rPr>
            <w:rStyle w:val="Hyperlink"/>
          </w:rPr>
          <w:t>ftp://ftp.sanger.ac.uk/pub/project/pathogens/Onchocerca/volvulus/</w:t>
        </w:r>
      </w:hyperlink>
      <w:r w:rsidR="004E4E9E">
        <w:t xml:space="preserve"> </w:t>
      </w:r>
    </w:p>
    <w:p w:rsidR="004E6C4F" w:rsidRDefault="00526921" w:rsidP="00526921">
      <w:r>
        <w:t>Also has RNAseq from 8 life stages: nodular microfilariae, skin microfilariae, L2, L3, L3D1, L3D3, adult male, and adult female.</w:t>
      </w:r>
    </w:p>
    <w:p w:rsidR="004E4E9E" w:rsidRDefault="004E4E9E" w:rsidP="004E4E9E">
      <w:pPr>
        <w:pStyle w:val="ListParagraph"/>
        <w:numPr>
          <w:ilvl w:val="0"/>
          <w:numId w:val="1"/>
        </w:numPr>
      </w:pPr>
      <w:r>
        <w:t>NCBI BioProject PRJEB2965.</w:t>
      </w:r>
    </w:p>
    <w:p w:rsidR="00E170FC" w:rsidRDefault="004A1AFF" w:rsidP="00B364DC">
      <w:r>
        <w:t>97 Mb nuclear genome,</w:t>
      </w:r>
      <w:r w:rsidR="0011302D">
        <w:t xml:space="preserve"> 3 autosomal and 2 sex chromosomes.</w:t>
      </w:r>
    </w:p>
    <w:p w:rsidR="00154605" w:rsidRDefault="00154605" w:rsidP="002E1FE2">
      <w:pPr>
        <w:pStyle w:val="ListParagraph"/>
        <w:numPr>
          <w:ilvl w:val="0"/>
          <w:numId w:val="1"/>
        </w:numPr>
      </w:pPr>
      <w:r>
        <w:t xml:space="preserve">N50 25.5 Mb; </w:t>
      </w:r>
    </w:p>
    <w:p w:rsidR="002E1FE2" w:rsidRDefault="002E1FE2" w:rsidP="002E1FE2">
      <w:pPr>
        <w:pStyle w:val="ListParagraph"/>
        <w:numPr>
          <w:ilvl w:val="0"/>
          <w:numId w:val="1"/>
        </w:numPr>
      </w:pPr>
      <w:r>
        <w:t>94% of the assembled genome is found on 4 huge scaffolds (3 autosomal + X); the Y chromosome is quite small (4.4 Mb; 3.2 Mb of which is shared between X and Y).</w:t>
      </w:r>
    </w:p>
    <w:p w:rsidR="00154605" w:rsidRDefault="00154605" w:rsidP="002E1FE2">
      <w:pPr>
        <w:pStyle w:val="ListParagraph"/>
        <w:numPr>
          <w:ilvl w:val="0"/>
          <w:numId w:val="1"/>
        </w:numPr>
      </w:pPr>
      <w:r>
        <w:t>6 genes missing from CEGMA, 5 of them also missing in filaria; likely only 1 actually missing.</w:t>
      </w:r>
    </w:p>
    <w:p w:rsidR="002E1FE2" w:rsidRDefault="002E1FE2" w:rsidP="002E1FE2">
      <w:pPr>
        <w:pStyle w:val="ListParagraph"/>
        <w:numPr>
          <w:ilvl w:val="0"/>
          <w:numId w:val="1"/>
        </w:numPr>
      </w:pPr>
      <w:r>
        <w:t>Moderate synteny to elegans at a very high level; Ov chrm 1 is mostly Ce chrms 1+X, Ov 2 is Ce 3, Ov 3 is Ce 2, and Ov X is Ce 4+5 (with some Ce X).</w:t>
      </w:r>
    </w:p>
    <w:p w:rsidR="00747E56" w:rsidRDefault="00154605" w:rsidP="00747E56">
      <w:r>
        <w:lastRenderedPageBreak/>
        <w:t>12,143 protein-coding genes predicted.</w:t>
      </w:r>
    </w:p>
    <w:p w:rsidR="00154605" w:rsidRDefault="00154605" w:rsidP="00154605">
      <w:pPr>
        <w:pStyle w:val="ListParagraph"/>
        <w:numPr>
          <w:ilvl w:val="0"/>
          <w:numId w:val="1"/>
        </w:numPr>
      </w:pPr>
      <w:r>
        <w:t>1,173 (9%) without orthologs.</w:t>
      </w:r>
    </w:p>
    <w:p w:rsidR="00154605" w:rsidRDefault="00154605" w:rsidP="00154605">
      <w:r>
        <w:t xml:space="preserve">NOTE: there is a genome assembly for the very closely related </w:t>
      </w:r>
      <w:r>
        <w:rPr>
          <w:i/>
        </w:rPr>
        <w:t>Onchocerca ochengi</w:t>
      </w:r>
      <w:r>
        <w:t>, though it’s draft quality (N50 16 kb)</w:t>
      </w:r>
    </w:p>
    <w:p w:rsidR="002323B5" w:rsidRDefault="002323B5" w:rsidP="00154605"/>
    <w:p w:rsidR="002323B5" w:rsidRDefault="002323B5" w:rsidP="002323B5">
      <w:pPr>
        <w:pStyle w:val="Heading3"/>
      </w:pPr>
      <w:bookmarkStart w:id="12" w:name="_Toc476562542"/>
      <w:r>
        <w:t>Metabolic reconstruction</w:t>
      </w:r>
      <w:bookmarkEnd w:id="12"/>
    </w:p>
    <w:p w:rsidR="002323B5" w:rsidRDefault="002323B5" w:rsidP="00154605">
      <w:r>
        <w:t xml:space="preserve">Done in </w:t>
      </w:r>
      <w:r>
        <w:fldChar w:fldCharType="begin" w:fldLock="1"/>
      </w:r>
      <w:r w:rsidR="00C93DBF">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2323B5">
        <w:rPr>
          <w:noProof/>
        </w:rPr>
        <w:t xml:space="preserve">(Cotton </w:t>
      </w:r>
      <w:r w:rsidRPr="002323B5">
        <w:rPr>
          <w:i/>
          <w:noProof/>
        </w:rPr>
        <w:t>et al.</w:t>
      </w:r>
      <w:r w:rsidRPr="002323B5">
        <w:rPr>
          <w:noProof/>
        </w:rPr>
        <w:t>, 2016)</w:t>
      </w:r>
      <w:r>
        <w:fldChar w:fldCharType="end"/>
      </w:r>
      <w:r>
        <w:t>.</w:t>
      </w:r>
    </w:p>
    <w:p w:rsidR="002323B5" w:rsidRDefault="002323B5" w:rsidP="002323B5">
      <w:pPr>
        <w:pStyle w:val="ListParagraph"/>
        <w:numPr>
          <w:ilvl w:val="0"/>
          <w:numId w:val="1"/>
        </w:numPr>
      </w:pPr>
      <w:r>
        <w:t xml:space="preserve">767 reactions (378 distinct enzymes) in Ov, 648 reactions (301 enzymes) in </w:t>
      </w:r>
      <w:r>
        <w:rPr>
          <w:i/>
        </w:rPr>
        <w:t>Loa loa</w:t>
      </w:r>
      <w:r>
        <w:t>; share a core set of 648 reactions. 100 of 139 of the additional Ov reactions are provided by Wolbachia.</w:t>
      </w:r>
    </w:p>
    <w:p w:rsidR="002323B5" w:rsidRDefault="00512CF2" w:rsidP="00512CF2">
      <w:r>
        <w:t xml:space="preserve">FBA predicted 71 essential reactions, 112 in </w:t>
      </w:r>
      <w:r>
        <w:rPr>
          <w:i/>
        </w:rPr>
        <w:t xml:space="preserve">Loa loa </w:t>
      </w:r>
      <w:r>
        <w:t>(70 shared).</w:t>
      </w:r>
    </w:p>
    <w:p w:rsidR="00512CF2" w:rsidRDefault="00512CF2" w:rsidP="00512CF2">
      <w:pPr>
        <w:pStyle w:val="ListParagraph"/>
        <w:numPr>
          <w:ilvl w:val="0"/>
          <w:numId w:val="1"/>
        </w:numPr>
      </w:pPr>
      <w:r>
        <w:t>Wolbachia appears to provide contributions to fatty acid metabolism, haem synthesis, and nucleotide metabolism. Also, conversion of aspartate to lysine. NAD kinase (EC 2.7.1.23) is predicted as essential to both parasites, but uniquely provided by Wolbachia.</w:t>
      </w:r>
    </w:p>
    <w:p w:rsidR="00512CF2" w:rsidRDefault="00512CF2" w:rsidP="00512CF2">
      <w:r>
        <w:t xml:space="preserve">wOv provides an alternate pathway for purine metabolism, it may provide a source of inosine monophosphate. Ov has another enzyme missing in </w:t>
      </w:r>
      <w:r>
        <w:rPr>
          <w:i/>
        </w:rPr>
        <w:t>Loa loa</w:t>
      </w:r>
      <w:r>
        <w:t xml:space="preserve"> which could provide a mechanism to selectively target Ov over </w:t>
      </w:r>
      <w:r>
        <w:rPr>
          <w:i/>
        </w:rPr>
        <w:t>Loa loa</w:t>
      </w:r>
      <w:r>
        <w:t>; especially testable as inhibitors of purine-nucleoside phosphorylase (EC 2.4.2.1) already exist.</w:t>
      </w:r>
    </w:p>
    <w:p w:rsidR="00CD35A7" w:rsidRPr="00512CF2" w:rsidRDefault="00CD35A7" w:rsidP="00512CF2">
      <w:r>
        <w:t>Did not model wOv as a separate compartment with transport reactions between them; would be more accurate, but we may not have the information about the existence of those reactions.</w:t>
      </w:r>
    </w:p>
    <w:p w:rsidR="004A1AFF" w:rsidRDefault="004A1AFF" w:rsidP="00B364DC"/>
    <w:p w:rsidR="00E170FC" w:rsidRDefault="00E170FC" w:rsidP="00B364DC">
      <w:pPr>
        <w:pStyle w:val="Heading2"/>
      </w:pPr>
      <w:bookmarkStart w:id="13" w:name="_Toc476562543"/>
      <w:r>
        <w:t>Wolbachia</w:t>
      </w:r>
      <w:bookmarkEnd w:id="13"/>
    </w:p>
    <w:p w:rsidR="00B73529" w:rsidRDefault="00B73529" w:rsidP="00B73529">
      <w:r>
        <w:t xml:space="preserve">First observed by </w:t>
      </w:r>
      <w:r>
        <w:fldChar w:fldCharType="begin" w:fldLock="1"/>
      </w:r>
      <w:r w:rsidR="001B1CE7">
        <w:instrText>ADDIN CSL_CITATION { "citationItems" : [ { "id" : "ITEM-1", "itemData" : { "DOI" : "10.1016/0035-9203(75)90110-8", "ISSN" : "00359203", "PMID" : "1228988", "abstract" : "Unusual bodies have been described in the hypodermal tissues of larval Dirofilaria immitis and Brugia pahangi. Ultrastructural evidence indicates that these bodies are probably Gram-negative micro-organisms. It appears that the presence of large numbers of these bodies in an early embryo may affect development adversely. Their importance at later stages of development of filariae is not known. \u00a9 1975.", "author" : [ { "dropping-particle" : "", "family" : "Mclaren", "given" : "Diane J.", "non-dropping-particle" : "", "parse-names" : false, "suffix" : "" }, { "dropping-particle" : "", "family" : "Worms", "given" : "M. J.", "non-dropping-particle" : "", "parse-names" : false, "suffix" : "" }, { "dropping-particle" : "", "family" : "Laurence", "given" : "B. R.", "non-dropping-particle" : "", "parse-names" : false, "suffix" : "" }, { "dropping-particle" : "", "family" : "Simpson", "given" : "M. G.", "non-dropping-particle" : "", "parse-names" : false, "suffix" : "" } ], "container-title" : "Transactions of the Royal Society of Tropical Medicine and Hygiene", "id" : "ITEM-1", "issue" : "5-6", "issued" : { "date-parts" : [ [ "1975" ] ] }, "page" : "509-514", "title" : "Micro-organisms in filarial larvae (Nematoda)", "type" : "article-journal", "volume" : "69" }, "uris" : [ "http://www.mendeley.com/documents/?uuid=1086e8aa-d2c8-45bf-ae90-fa6a015abe24" ] } ], "mendeley" : { "formattedCitation" : "(Mclaren &lt;i&gt;et al.&lt;/i&gt;, 1975)", "plainTextFormattedCitation" : "(Mclaren et al., 1975)", "previouslyFormattedCitation" : "(Mclaren &lt;i&gt;et al.&lt;/i&gt;, 1975)" }, "properties" : { "noteIndex" : 0 }, "schema" : "https://github.com/citation-style-language/schema/raw/master/csl-citation.json" }</w:instrText>
      </w:r>
      <w:r>
        <w:fldChar w:fldCharType="separate"/>
      </w:r>
      <w:r w:rsidRPr="00B73529">
        <w:rPr>
          <w:noProof/>
        </w:rPr>
        <w:t xml:space="preserve">(Mclaren </w:t>
      </w:r>
      <w:r w:rsidRPr="00B73529">
        <w:rPr>
          <w:i/>
          <w:noProof/>
        </w:rPr>
        <w:t>et al.</w:t>
      </w:r>
      <w:r w:rsidRPr="00B73529">
        <w:rPr>
          <w:noProof/>
        </w:rPr>
        <w:t>, 1975)</w:t>
      </w:r>
      <w:r>
        <w:fldChar w:fldCharType="end"/>
      </w:r>
      <w:r>
        <w:t>.</w:t>
      </w:r>
      <w:r w:rsidR="00C9766E">
        <w:t xml:space="preserve"> Present in the vast majority of filarial nematodes. If a population has them, they’re present in every individual. Suggests they are vital.</w:t>
      </w:r>
    </w:p>
    <w:p w:rsidR="00C9766E" w:rsidRDefault="00C9766E" w:rsidP="00B73529">
      <w:r>
        <w:t>Found in lateral chords, and located in oocytes, but not male reproductive tract.</w:t>
      </w:r>
    </w:p>
    <w:p w:rsidR="00C9766E" w:rsidRDefault="00C9766E" w:rsidP="00B73529">
      <w:r>
        <w:t xml:space="preserve">Mainly tetracycline and doxycycline, but also rifampicin and azithromycin, show inhibitory effects on filarial development. Drastically reduces </w:t>
      </w:r>
      <w:r>
        <w:rPr>
          <w:i/>
        </w:rPr>
        <w:t>Wolbachia</w:t>
      </w:r>
      <w:r>
        <w:t xml:space="preserve"> numbers, removes from some tissues like female reproductive tract.</w:t>
      </w:r>
    </w:p>
    <w:p w:rsidR="00C9766E" w:rsidRDefault="00C9766E" w:rsidP="00C9766E">
      <w:pPr>
        <w:pStyle w:val="ListParagraph"/>
        <w:numPr>
          <w:ilvl w:val="0"/>
          <w:numId w:val="1"/>
        </w:numPr>
      </w:pPr>
      <w:r>
        <w:t>No antibiotic effects seen on filarial nematodes lacking endosymbionts, nor from most other antibacterials on Bm.</w:t>
      </w:r>
    </w:p>
    <w:p w:rsidR="002C3206" w:rsidRDefault="002C3206" w:rsidP="002C3206">
      <w:r>
        <w:t xml:space="preserve">The endosymbionts are separated into 6 supergroups based on 16S rRNA, the Wolbachia surface protein, and ftsZ phylogenies. </w:t>
      </w:r>
    </w:p>
    <w:p w:rsidR="002C3206" w:rsidRDefault="002C3206" w:rsidP="002C3206">
      <w:pPr>
        <w:pStyle w:val="ListParagraph"/>
        <w:numPr>
          <w:ilvl w:val="0"/>
          <w:numId w:val="1"/>
        </w:numPr>
      </w:pPr>
      <w:r>
        <w:t xml:space="preserve">Four supergroups contain Wolbachia from arthropods, supergroup C has those from Ov and </w:t>
      </w:r>
      <w:r>
        <w:rPr>
          <w:i/>
        </w:rPr>
        <w:t>Dirofilaria immitis</w:t>
      </w:r>
      <w:r>
        <w:t xml:space="preserve">, and supergroup D has those from Bm, W. bancrofti, and Litomosoides sigmodontis. </w:t>
      </w:r>
    </w:p>
    <w:p w:rsidR="002C3206" w:rsidRDefault="002C3206" w:rsidP="002C3206">
      <w:r>
        <w:t xml:space="preserve">Closest relatives appear to be the Order Rickettsiales, including </w:t>
      </w:r>
      <w:r>
        <w:rPr>
          <w:i/>
        </w:rPr>
        <w:t>Rickettsia</w:t>
      </w:r>
      <w:r>
        <w:t xml:space="preserve"> and others, all parasites of mammals that require arthropod vectors for transmission.</w:t>
      </w:r>
    </w:p>
    <w:p w:rsidR="002C3206" w:rsidRPr="002C3206" w:rsidRDefault="002C3206" w:rsidP="002C3206">
      <w:r>
        <w:t>Up to 70% of all insects may harbour Wolbachia.</w:t>
      </w:r>
    </w:p>
    <w:p w:rsidR="002C3206" w:rsidRPr="00C9766E" w:rsidRDefault="002C3206" w:rsidP="002C3206"/>
    <w:p w:rsidR="00E170FC" w:rsidRDefault="00E170FC" w:rsidP="00536D70">
      <w:pPr>
        <w:pStyle w:val="Heading3"/>
      </w:pPr>
      <w:bookmarkStart w:id="14" w:name="_Toc476562544"/>
      <w:r>
        <w:lastRenderedPageBreak/>
        <w:t>Bm species</w:t>
      </w:r>
      <w:bookmarkEnd w:id="14"/>
    </w:p>
    <w:p w:rsidR="00E170FC" w:rsidRDefault="002C3206" w:rsidP="00B364DC">
      <w:r>
        <w:rPr>
          <w:i/>
        </w:rPr>
        <w:t>Wolbachia pipientis</w:t>
      </w:r>
      <w:r>
        <w:t xml:space="preserve"> h</w:t>
      </w:r>
      <w:r w:rsidR="00AF1E69">
        <w:t xml:space="preserve">as a 1 Mb genome </w:t>
      </w:r>
      <w:r w:rsidR="00AF1E69">
        <w:fldChar w:fldCharType="begin" w:fldLock="1"/>
      </w:r>
      <w:r w:rsidR="00536D70">
        <w:instrText>ADDIN CSL_CITATION { "citationItems" : [ { "id" : "ITEM-1", "itemData" : { "DOI" : "10.1371/journal.pbio.0030121", "ISBN" : "1544-9173", "ISSN" : "15449173", "PMID" : "15780005", "abstract" : "Complete genome DNA sequence and analysis is presented for Wolbachia, the obligate alpha-proteobacterial endosymbiont required for fertility and survival of the human filarial parasitic nematode Brugia malayi. Although, quantitatively, the genome is even more degraded than those of closely related Rickettsia species, Wolbachia has retained more intact metabolic pathways. The ability to provide riboflavin, flavin adenine dinucleotide, heme, and nucleotides is likely to be Wolbachia's principal contribution to the mutualistic relationship, whereas the host nematode likely supplies amino acids required for Wolbachia growth. Genome comparison of the Wolbachia endosymbiont of B. malayi (wBm) with the Wolbachia endosymbiont of Drosophila melanogaster (wMel) shows that they share similar metabolic trends, although their genomes show a high degree of genome shuffling. In contrast to wMel, wBm contains no prophage and has a reduced level of repeated DNA. Both Wolbachia have lost a considerable number of membrane biogenesis genes that apparently make them unable to synthesize lipid A, the usual component of proteobacterial membranes. However, differences in their peptidoglycan structures may reflect the mutualistic lifestyle of wBm in contrast to the parasitic lifestyle of wMel. The smaller genome size of wBm, relative to wMel, may reflect the loss of genes required for infecting host cells and avoiding host defense systems. Analysis of this first sequenced endosymbiont genome from a filarial nematode provides insight into endosymbiont evolution and additionally provides new potential targets for elimination of cutaneous and lymphatic human filarial disease.", "author" : [ { "dropping-particle" : "", "family" : "Foster", "given" : "Jeremy", "non-dropping-particle" : "", "parse-names" : false, "suffix" : "" }, { "dropping-particle" : "", "family" : "Ganatra", "given" : "Mehul", "non-dropping-particle" : "", "parse-names" : false, "suffix" : "" }, { "dropping-particle" : "", "family" : "Kamal", "given" : "Ibrahim", "non-dropping-particle" : "", "parse-names" : false, "suffix" : "" }, { "dropping-particle" : "", "family" : "Ware", "given" : "Jennifer", "non-dropping-particle" : "", "parse-names" : false, "suffix" : "" }, { "dropping-particle" : "", "family" : "Makarova", "given" : "Kira", "non-dropping-particle" : "", "parse-names" : false, "suffix" : "" }, { "dropping-particle" : "", "family" : "Ivanova", "given" : "Natalia", "non-dropping-particle" : "", "parse-names" : false, "suffix" : "" }, { "dropping-particle" : "", "family" : "Bhattacharyya", "given" : "Anamitra", "non-dropping-particle" : "", "parse-names" : false, "suffix" : "" }, { "dropping-particle" : "", "family" : "Kapatral", "given" : "Vinayak", "non-dropping-particle" : "", "parse-names" : false, "suffix" : "" }, { "dropping-particle" : "", "family" : "Kumar", "given" : "Sanjay", "non-dropping-particle" : "", "parse-names" : false, "suffix" : "" }, { "dropping-particle" : "", "family" : "Posfai", "given" : "Janos", "non-dropping-particle" : "", "parse-names" : false, "suffix" : "" }, { "dropping-particle" : "", "family" : "Vincze", "given" : "Tamas", "non-dropping-particle" : "", "parse-names" : false, "suffix" : "" }, { "dropping-particle" : "", "family" : "Ingram", "given" : "Jessica", "non-dropping-particle" : "", "parse-names" : false, "suffix" : "" }, { "dropping-particle" : "", "family" : "Moran", "given" : "Laurie", "non-dropping-particle" : "", "parse-names" : false, "suffix" : "" }, { "dropping-particle" : "", "family" : "Lapidus", "given" : "Alla", "non-dropping-particle" : "", "parse-names" : false, "suffix" : "" }, { "dropping-particle" : "", "family" : "Omelchenko", "given" : "Marina", "non-dropping-particle" : "", "parse-names" : false, "suffix" : "" }, { "dropping-particle" : "", "family" : "Kyrpides", "given" : "Nikos", "non-dropping-particle" : "", "parse-names" : false, "suffix" : "" }, { "dropping-particle" : "", "family" : "Ghedin", "given" : "Elodie", "non-dropping-particle" : "", "parse-names" : false, "suffix" : "" }, { "dropping-particle" : "", "family" : "Wang", "given" : "Shiliang", "non-dropping-particle" : "", "parse-names" : false, "suffix" : "" }, { "dropping-particle" : "", "family" : "Goltsman", "given" : "Eugene", "non-dropping-particle" : "", "parse-names" : false, "suffix" : "" }, { "dropping-particle" : "", "family" : "Joukov", "given" : "Victor", "non-dropping-particle" : "", "parse-names" : false, "suffix" : "" }, { "dropping-particle" : "", "family" : "Ostrovskaya", "given" : "Olga", "non-dropping-particle" : "", "parse-names" : false, "suffix" : "" }, { "dropping-particle" : "", "family" : "Tsukerman", "given" : "Kiryl", "non-dropping-particle" : "", "parse-names" : false, "suffix" : "" }, { "dropping-particle" : "", "family" : "Mazur", "given" : "Mikhail", "non-dropping-particle" : "", "parse-names" : false, "suffix" : "" }, { "dropping-particle" : "", "family" : "Comb", "given" : "Donald", "non-dropping-particle" : "", "parse-names" : false, "suffix" : "" }, { "dropping-particle" : "", "family" : "Koonin", "given" : "Eugene", "non-dropping-particle" : "", "parse-names" : false, "suffix" : "" }, { "dropping-particle" : "", "family" : "Slatko", "given" : "Barton", "non-dropping-particle" : "", "parse-names" : false, "suffix" : "" } ], "container-title" : "PLoS Biology", "id" : "ITEM-1", "issue" : "4", "issued" : { "date-parts" : [ [ "2005" ] ] }, "page" : "0599-0614", "title" : "The Wolbachia genome of Brugia malayi: Endosymbiont evolution within a human pathogenic nematode", "type" : "article-journal", "volume" : "3" }, "uris" : [ "http://www.mendeley.com/documents/?uuid=cc87f7b5-be9d-4cb3-ae5a-e559777e4eec" ] } ], "mendeley" : { "formattedCitation" : "(Foster &lt;i&gt;et al.&lt;/i&gt;, 2005)", "plainTextFormattedCitation" : "(Foster et al., 2005)", "previouslyFormattedCitation" : "(Foster &lt;i&gt;et al.&lt;/i&gt;, 2005)" }, "properties" : { "noteIndex" : 0 }, "schema" : "https://github.com/citation-style-language/schema/raw/master/csl-citation.json" }</w:instrText>
      </w:r>
      <w:r w:rsidR="00AF1E69">
        <w:fldChar w:fldCharType="separate"/>
      </w:r>
      <w:r w:rsidR="00AF1E69" w:rsidRPr="00AF1E69">
        <w:rPr>
          <w:noProof/>
        </w:rPr>
        <w:t xml:space="preserve">(Foster </w:t>
      </w:r>
      <w:r w:rsidR="00AF1E69" w:rsidRPr="00AF1E69">
        <w:rPr>
          <w:i/>
          <w:noProof/>
        </w:rPr>
        <w:t>et al.</w:t>
      </w:r>
      <w:r w:rsidR="00AF1E69" w:rsidRPr="00AF1E69">
        <w:rPr>
          <w:noProof/>
        </w:rPr>
        <w:t>, 2005)</w:t>
      </w:r>
      <w:r w:rsidR="00AF1E69">
        <w:fldChar w:fldCharType="end"/>
      </w:r>
      <w:r w:rsidR="00AF1E69">
        <w:t>.</w:t>
      </w:r>
    </w:p>
    <w:p w:rsidR="00D2633E" w:rsidRDefault="00D2633E" w:rsidP="00B364DC">
      <w:r>
        <w:t xml:space="preserve">Unlike </w:t>
      </w:r>
      <w:r>
        <w:rPr>
          <w:i/>
        </w:rPr>
        <w:t>Rickettsia</w:t>
      </w:r>
      <w:r>
        <w:t>, wBm contains genes for synthesis of riboflavin and Flavin adenine dinucleotide. Could be an important sou</w:t>
      </w:r>
      <w:r w:rsidR="00CA0F9F">
        <w:t>rce for the nematode, is Bm appears to lack these genes</w:t>
      </w:r>
      <w:r w:rsidR="0084455F">
        <w:t xml:space="preserve"> </w:t>
      </w:r>
      <w:r w:rsidR="0084455F">
        <w:fldChar w:fldCharType="begin" w:fldLock="1"/>
      </w:r>
      <w:r w:rsidR="00AF12C3">
        <w:instrText>ADDIN CSL_CITATION { "citationItems" : [ { "id" : "ITEM-1", "itemData" : { "DOI" : "10.1371/journal.pbio.0030121", "ISBN" : "1544-9173", "ISSN" : "15449173", "PMID" : "15780005", "abstract" : "Complete genome DNA sequence and analysis is presented for Wolbachia, the obligate alpha-proteobacterial endosymbiont required for fertility and survival of the human filarial parasitic nematode Brugia malayi. Although, quantitatively, the genome is even more degraded than those of closely related Rickettsia species, Wolbachia has retained more intact metabolic pathways. The ability to provide riboflavin, flavin adenine dinucleotide, heme, and nucleotides is likely to be Wolbachia's principal contribution to the mutualistic relationship, whereas the host nematode likely supplies amino acids required for Wolbachia growth. Genome comparison of the Wolbachia endosymbiont of B. malayi (wBm) with the Wolbachia endosymbiont of Drosophila melanogaster (wMel) shows that they share similar metabolic trends, although their genomes show a high degree of genome shuffling. In contrast to wMel, wBm contains no prophage and has a reduced level of repeated DNA. Both Wolbachia have lost a considerable number of membrane biogenesis genes that apparently make them unable to synthesize lipid A, the usual component of proteobacterial membranes. However, differences in their peptidoglycan structures may reflect the mutualistic lifestyle of wBm in contrast to the parasitic lifestyle of wMel. The smaller genome size of wBm, relative to wMel, may reflect the loss of genes required for infecting host cells and avoiding host defense systems. Analysis of this first sequenced endosymbiont genome from a filarial nematode provides insight into endosymbiont evolution and additionally provides new potential targets for elimination of cutaneous and lymphatic human filarial disease.", "author" : [ { "dropping-particle" : "", "family" : "Foster", "given" : "Jeremy", "non-dropping-particle" : "", "parse-names" : false, "suffix" : "" }, { "dropping-particle" : "", "family" : "Ganatra", "given" : "Mehul", "non-dropping-particle" : "", "parse-names" : false, "suffix" : "" }, { "dropping-particle" : "", "family" : "Kamal", "given" : "Ibrahim", "non-dropping-particle" : "", "parse-names" : false, "suffix" : "" }, { "dropping-particle" : "", "family" : "Ware", "given" : "Jennifer", "non-dropping-particle" : "", "parse-names" : false, "suffix" : "" }, { "dropping-particle" : "", "family" : "Makarova", "given" : "Kira", "non-dropping-particle" : "", "parse-names" : false, "suffix" : "" }, { "dropping-particle" : "", "family" : "Ivanova", "given" : "Natalia", "non-dropping-particle" : "", "parse-names" : false, "suffix" : "" }, { "dropping-particle" : "", "family" : "Bhattacharyya", "given" : "Anamitra", "non-dropping-particle" : "", "parse-names" : false, "suffix" : "" }, { "dropping-particle" : "", "family" : "Kapatral", "given" : "Vinayak", "non-dropping-particle" : "", "parse-names" : false, "suffix" : "" }, { "dropping-particle" : "", "family" : "Kumar", "given" : "Sanjay", "non-dropping-particle" : "", "parse-names" : false, "suffix" : "" }, { "dropping-particle" : "", "family" : "Posfai", "given" : "Janos", "non-dropping-particle" : "", "parse-names" : false, "suffix" : "" }, { "dropping-particle" : "", "family" : "Vincze", "given" : "Tamas", "non-dropping-particle" : "", "parse-names" : false, "suffix" : "" }, { "dropping-particle" : "", "family" : "Ingram", "given" : "Jessica", "non-dropping-particle" : "", "parse-names" : false, "suffix" : "" }, { "dropping-particle" : "", "family" : "Moran", "given" : "Laurie", "non-dropping-particle" : "", "parse-names" : false, "suffix" : "" }, { "dropping-particle" : "", "family" : "Lapidus", "given" : "Alla", "non-dropping-particle" : "", "parse-names" : false, "suffix" : "" }, { "dropping-particle" : "", "family" : "Omelchenko", "given" : "Marina", "non-dropping-particle" : "", "parse-names" : false, "suffix" : "" }, { "dropping-particle" : "", "family" : "Kyrpides", "given" : "Nikos", "non-dropping-particle" : "", "parse-names" : false, "suffix" : "" }, { "dropping-particle" : "", "family" : "Ghedin", "given" : "Elodie", "non-dropping-particle" : "", "parse-names" : false, "suffix" : "" }, { "dropping-particle" : "", "family" : "Wang", "given" : "Shiliang", "non-dropping-particle" : "", "parse-names" : false, "suffix" : "" }, { "dropping-particle" : "", "family" : "Goltsman", "given" : "Eugene", "non-dropping-particle" : "", "parse-names" : false, "suffix" : "" }, { "dropping-particle" : "", "family" : "Joukov", "given" : "Victor", "non-dropping-particle" : "", "parse-names" : false, "suffix" : "" }, { "dropping-particle" : "", "family" : "Ostrovskaya", "given" : "Olga", "non-dropping-particle" : "", "parse-names" : false, "suffix" : "" }, { "dropping-particle" : "", "family" : "Tsukerman", "given" : "Kiryl", "non-dropping-particle" : "", "parse-names" : false, "suffix" : "" }, { "dropping-particle" : "", "family" : "Mazur", "given" : "Mikhail", "non-dropping-particle" : "", "parse-names" : false, "suffix" : "" }, { "dropping-particle" : "", "family" : "Comb", "given" : "Donald", "non-dropping-particle" : "", "parse-names" : false, "suffix" : "" }, { "dropping-particle" : "", "family" : "Koonin", "given" : "Eugene", "non-dropping-particle" : "", "parse-names" : false, "suffix" : "" }, { "dropping-particle" : "", "family" : "Slatko", "given" : "Barton", "non-dropping-particle" : "", "parse-names" : false, "suffix" : "" } ], "container-title" : "PLoS Biology", "id" : "ITEM-1", "issue" : "4", "issued" : { "date-parts" : [ [ "2005" ] ] }, "page" : "0599-0614", "title" : "The Wolbachia genome of Brugia malayi: Endosymbiont evolution within a human pathogenic nematode", "type" : "article-journal", "volume" : "3" }, "uris" : [ "http://www.mendeley.com/documents/?uuid=cc87f7b5-be9d-4cb3-ae5a-e559777e4eec" ] } ], "mendeley" : { "formattedCitation" : "(Foster &lt;i&gt;et al.&lt;/i&gt;, 2005)", "plainTextFormattedCitation" : "(Foster et al., 2005)", "previouslyFormattedCitation" : "(Foster &lt;i&gt;et al.&lt;/i&gt;, 2005)" }, "properties" : { "noteIndex" : 0 }, "schema" : "https://github.com/citation-style-language/schema/raw/master/csl-citation.json" }</w:instrText>
      </w:r>
      <w:r w:rsidR="0084455F">
        <w:fldChar w:fldCharType="separate"/>
      </w:r>
      <w:r w:rsidR="0084455F" w:rsidRPr="0084455F">
        <w:rPr>
          <w:noProof/>
        </w:rPr>
        <w:t xml:space="preserve">(Foster </w:t>
      </w:r>
      <w:r w:rsidR="0084455F" w:rsidRPr="0084455F">
        <w:rPr>
          <w:i/>
          <w:noProof/>
        </w:rPr>
        <w:t>et al.</w:t>
      </w:r>
      <w:r w:rsidR="0084455F" w:rsidRPr="0084455F">
        <w:rPr>
          <w:noProof/>
        </w:rPr>
        <w:t>, 2005)</w:t>
      </w:r>
      <w:r w:rsidR="0084455F">
        <w:fldChar w:fldCharType="end"/>
      </w:r>
      <w:r w:rsidR="00CA0F9F">
        <w:t>.</w:t>
      </w:r>
    </w:p>
    <w:p w:rsidR="00435292" w:rsidRPr="00435292" w:rsidRDefault="00435292" w:rsidP="00B364DC">
      <w:r>
        <w:t>wBm may also provide heme to Bm, as the bacteria has all but 1 gene of the synthetic pathway; that missing reaction may be carried out by an unknown form of the missing gene</w:t>
      </w:r>
      <w:r w:rsidR="0021702B">
        <w:t xml:space="preserve"> (protoporphyrinogen oxidase)</w:t>
      </w:r>
      <w:r>
        <w:t xml:space="preserve">, or may be compensated by another gene as in </w:t>
      </w:r>
      <w:r>
        <w:rPr>
          <w:i/>
        </w:rPr>
        <w:t>E. coli</w:t>
      </w:r>
      <w:r>
        <w:t xml:space="preserve">. </w:t>
      </w:r>
    </w:p>
    <w:p w:rsidR="0004666C" w:rsidRDefault="0004666C" w:rsidP="00B364DC"/>
    <w:p w:rsidR="00E170FC" w:rsidRDefault="00E170FC" w:rsidP="00536D70">
      <w:pPr>
        <w:pStyle w:val="Heading3"/>
      </w:pPr>
      <w:bookmarkStart w:id="15" w:name="_Toc476562545"/>
      <w:r>
        <w:t>Ov species</w:t>
      </w:r>
      <w:bookmarkEnd w:id="15"/>
    </w:p>
    <w:p w:rsidR="0056721E" w:rsidRDefault="0056721E" w:rsidP="00B364DC">
      <w:r>
        <w:t xml:space="preserve">956 kb genome. </w:t>
      </w:r>
    </w:p>
    <w:p w:rsidR="00E170FC" w:rsidRDefault="0056721E" w:rsidP="00B364DC">
      <w:r>
        <w:t>Appear to be many cases of HGT to the bacteria, but only 7 larger than 1 kb. Virtually all appear to be fragmented, except for 4 that could be functional. Suggests HGT does not play an important role here.</w:t>
      </w:r>
    </w:p>
    <w:p w:rsidR="0004666C" w:rsidRDefault="0004666C" w:rsidP="00B364DC"/>
    <w:p w:rsidR="00E170FC" w:rsidRDefault="00E170FC" w:rsidP="00536D70">
      <w:pPr>
        <w:pStyle w:val="Heading3"/>
      </w:pPr>
      <w:bookmarkStart w:id="16" w:name="_Toc476562546"/>
      <w:r>
        <w:t>Targeting Wolbachia</w:t>
      </w:r>
      <w:bookmarkEnd w:id="16"/>
    </w:p>
    <w:p w:rsidR="00E170FC" w:rsidRDefault="00E170FC" w:rsidP="00B364DC">
      <w:r>
        <w:t>Has bee</w:t>
      </w:r>
      <w:r w:rsidR="0004666C">
        <w:t>n</w:t>
      </w:r>
      <w:r>
        <w:t xml:space="preserve"> shown to </w:t>
      </w:r>
      <w:r w:rsidR="0004666C">
        <w:t>impede parasite development, fecundity, and survival within humans.</w:t>
      </w:r>
    </w:p>
    <w:p w:rsidR="0004666C" w:rsidRDefault="0004666C" w:rsidP="00B364DC">
      <w:r>
        <w:t>Not currently feasible for mass drug administration.</w:t>
      </w:r>
    </w:p>
    <w:p w:rsidR="0004666C" w:rsidRDefault="0004666C" w:rsidP="00B364DC">
      <w:pPr>
        <w:pStyle w:val="ListParagraph"/>
        <w:numPr>
          <w:ilvl w:val="0"/>
          <w:numId w:val="1"/>
        </w:numPr>
      </w:pPr>
      <w:r>
        <w:t>4-6 weeks of daily supervised treatment, and death of adult worms takes 2 years.</w:t>
      </w:r>
    </w:p>
    <w:p w:rsidR="00A21444" w:rsidRDefault="00A21444" w:rsidP="00B364DC"/>
    <w:p w:rsidR="00A21444" w:rsidRDefault="00A21444" w:rsidP="00B364DC">
      <w:pPr>
        <w:pStyle w:val="Heading2"/>
      </w:pPr>
      <w:bookmarkStart w:id="17" w:name="_Toc476562547"/>
      <w:r>
        <w:t>Human filarial infections</w:t>
      </w:r>
      <w:bookmarkEnd w:id="17"/>
    </w:p>
    <w:p w:rsidR="00B364DC" w:rsidRPr="00B364DC" w:rsidRDefault="00B364DC" w:rsidP="00B364DC">
      <w:r>
        <w:t xml:space="preserve">Human filarial infections are the leading cause of morbidity in the developing world. This includes lymphatic filariasis (Bm and </w:t>
      </w:r>
      <w:r>
        <w:rPr>
          <w:i/>
        </w:rPr>
        <w:t>W. bancrofti</w:t>
      </w:r>
      <w:r>
        <w:t>), river blindness (Ov), and loiasis (</w:t>
      </w:r>
      <w:r>
        <w:rPr>
          <w:i/>
        </w:rPr>
        <w:t>Loa loa</w:t>
      </w:r>
      <w:r>
        <w:t>). Currently 150 million people infected, with 1.3 billion at risk in 58 countries.</w:t>
      </w:r>
    </w:p>
    <w:p w:rsidR="007319FB" w:rsidRDefault="007319FB" w:rsidP="00B364DC">
      <w:r>
        <w:t>4 classes of drug available to treat filarial disease: diethylcarbamazine (may interfere with fatty acid metabolism), BZs (microtubules), avermectins (glutamate-gated Cl channels), and oxytetracycines and other antibacterials.</w:t>
      </w:r>
    </w:p>
    <w:p w:rsidR="007319FB" w:rsidRDefault="007319FB" w:rsidP="00B364DC">
      <w:pPr>
        <w:pStyle w:val="ListParagraph"/>
        <w:numPr>
          <w:ilvl w:val="0"/>
          <w:numId w:val="1"/>
        </w:numPr>
      </w:pPr>
      <w:r>
        <w:t>The anthelmintics target microfilariae or L3s.</w:t>
      </w:r>
    </w:p>
    <w:p w:rsidR="00A21444" w:rsidRDefault="00A21444" w:rsidP="00B364DC">
      <w:r>
        <w:t>Ivermectin is a microfilaricide, and doesn’t affect adult worms; Bm lives for 8 years, Ov for 15.</w:t>
      </w:r>
    </w:p>
    <w:p w:rsidR="00A21444" w:rsidRDefault="00A21444" w:rsidP="00B364DC">
      <w:pPr>
        <w:pStyle w:val="ListParagraph"/>
        <w:numPr>
          <w:ilvl w:val="0"/>
          <w:numId w:val="1"/>
        </w:numPr>
      </w:pPr>
      <w:r>
        <w:t>Drugs would have to be administered for 30-40 years to eradicate the parasites.</w:t>
      </w:r>
    </w:p>
    <w:p w:rsidR="00A21444" w:rsidRDefault="00A21444" w:rsidP="00B364DC">
      <w:r>
        <w:t xml:space="preserve">11 countries in Central Africa where Ov is co-endemic with </w:t>
      </w:r>
      <w:r>
        <w:rPr>
          <w:i/>
        </w:rPr>
        <w:t>Loa loa</w:t>
      </w:r>
      <w:r>
        <w:t>, targeting the microfilaria can lead to serious adverse events.</w:t>
      </w:r>
    </w:p>
    <w:p w:rsidR="00A21444" w:rsidRDefault="00A21444" w:rsidP="00B364DC">
      <w:pPr>
        <w:pStyle w:val="ListParagraph"/>
        <w:numPr>
          <w:ilvl w:val="0"/>
          <w:numId w:val="1"/>
        </w:numPr>
      </w:pPr>
      <w:r>
        <w:t>Neurological symptoms or death.</w:t>
      </w:r>
    </w:p>
    <w:p w:rsidR="0004666C" w:rsidRDefault="0004666C" w:rsidP="00B364DC"/>
    <w:p w:rsidR="009A0465" w:rsidRDefault="009A0465" w:rsidP="009A0465">
      <w:pPr>
        <w:pStyle w:val="Heading1"/>
      </w:pPr>
      <w:bookmarkStart w:id="18" w:name="_Toc476562548"/>
      <w:r>
        <w:t>Metabolism</w:t>
      </w:r>
      <w:bookmarkEnd w:id="18"/>
    </w:p>
    <w:p w:rsidR="006C0B34" w:rsidRDefault="006C0B34" w:rsidP="009A0465">
      <w:pPr>
        <w:pStyle w:val="Heading2"/>
      </w:pPr>
      <w:bookmarkStart w:id="19" w:name="_Toc476562549"/>
      <w:r>
        <w:t>Energy production</w:t>
      </w:r>
      <w:bookmarkEnd w:id="19"/>
    </w:p>
    <w:p w:rsidR="006C0B34" w:rsidRDefault="006C0B34" w:rsidP="006C0B34">
      <w:r>
        <w:t>TCA cycle:</w:t>
      </w:r>
    </w:p>
    <w:p w:rsidR="006C0B34" w:rsidRDefault="0079448B" w:rsidP="006C0B34">
      <w:pPr>
        <w:pStyle w:val="ListParagraph"/>
        <w:numPr>
          <w:ilvl w:val="0"/>
          <w:numId w:val="1"/>
        </w:numPr>
      </w:pPr>
      <w:r>
        <w:lastRenderedPageBreak/>
        <w:t>R00709/R00267: 1 NADH/NADPH. From isocitrate to 2-oxoglutarate.</w:t>
      </w:r>
    </w:p>
    <w:p w:rsidR="0079448B" w:rsidRDefault="0079448B" w:rsidP="006C0B34">
      <w:pPr>
        <w:pStyle w:val="ListParagraph"/>
        <w:numPr>
          <w:ilvl w:val="0"/>
          <w:numId w:val="1"/>
        </w:numPr>
      </w:pPr>
      <w:r>
        <w:t>R07618: 1 NADH. From 2-oxoglutarate to succinyl-CoA</w:t>
      </w:r>
    </w:p>
    <w:p w:rsidR="0079448B" w:rsidRDefault="0079448B" w:rsidP="006C0B34">
      <w:pPr>
        <w:pStyle w:val="ListParagraph"/>
        <w:numPr>
          <w:ilvl w:val="0"/>
          <w:numId w:val="1"/>
        </w:numPr>
      </w:pPr>
      <w:r>
        <w:t>R00405: 1ATP. Succinyl-CoA to succinate.</w:t>
      </w:r>
    </w:p>
    <w:p w:rsidR="0079448B" w:rsidRDefault="0079448B" w:rsidP="0079448B">
      <w:pPr>
        <w:pStyle w:val="ListParagraph"/>
        <w:numPr>
          <w:ilvl w:val="1"/>
          <w:numId w:val="1"/>
        </w:numPr>
      </w:pPr>
      <w:r>
        <w:t xml:space="preserve">R00432 produces GTP instead. </w:t>
      </w:r>
      <w:r w:rsidR="00A57077">
        <w:t>Found i</w:t>
      </w:r>
      <w:r>
        <w:t>n elegans, not filaria.</w:t>
      </w:r>
    </w:p>
    <w:p w:rsidR="0079448B" w:rsidRDefault="0079448B" w:rsidP="0079448B">
      <w:pPr>
        <w:pStyle w:val="ListParagraph"/>
        <w:numPr>
          <w:ilvl w:val="0"/>
          <w:numId w:val="1"/>
        </w:numPr>
      </w:pPr>
      <w:r>
        <w:t xml:space="preserve">R02164: </w:t>
      </w:r>
      <w:r w:rsidR="00A57077">
        <w:t xml:space="preserve">1 </w:t>
      </w:r>
      <w:r w:rsidR="00C45C2C">
        <w:t>ubiquinol</w:t>
      </w:r>
      <w:r w:rsidR="00A57077">
        <w:t xml:space="preserve"> (</w:t>
      </w:r>
      <w:r w:rsidR="00C45C2C">
        <w:t>UQH2</w:t>
      </w:r>
      <w:r w:rsidR="00A57077">
        <w:t>). From succinate to fumarate.</w:t>
      </w:r>
    </w:p>
    <w:p w:rsidR="005829C5" w:rsidRDefault="00D574AB" w:rsidP="005829C5">
      <w:pPr>
        <w:pStyle w:val="ListParagraph"/>
        <w:numPr>
          <w:ilvl w:val="0"/>
          <w:numId w:val="1"/>
        </w:numPr>
      </w:pPr>
      <w:r>
        <w:t>R00342: 1 NADH. From malate to oxaloacetate.</w:t>
      </w:r>
    </w:p>
    <w:p w:rsidR="00B848FB" w:rsidRDefault="00497A3C" w:rsidP="005829C5">
      <w:pPr>
        <w:pStyle w:val="ListParagraph"/>
        <w:numPr>
          <w:ilvl w:val="0"/>
          <w:numId w:val="1"/>
        </w:numPr>
      </w:pPr>
      <w:r>
        <w:t>2-oxoglutamate + aspartate can be produced from oxaloacetate + glutamate (R00355)</w:t>
      </w:r>
      <w:r w:rsidR="002B7A35">
        <w:t>, but it produces no energy</w:t>
      </w:r>
      <w:r>
        <w:t>.</w:t>
      </w:r>
    </w:p>
    <w:p w:rsidR="00C45C2C" w:rsidRDefault="00C45C2C" w:rsidP="00C45C2C">
      <w:r>
        <w:t>Oxidative phosphorylation:</w:t>
      </w:r>
    </w:p>
    <w:p w:rsidR="00C45C2C" w:rsidRDefault="00C45C2C" w:rsidP="00C45C2C">
      <w:pPr>
        <w:pStyle w:val="ListParagraph"/>
        <w:numPr>
          <w:ilvl w:val="0"/>
          <w:numId w:val="1"/>
        </w:numPr>
      </w:pPr>
      <w:r>
        <w:t>Complex I oxidizes NADH to NAD, pumps 4 protons across the membrane, and reduces a ubiquinone to ubiquinol in the mitochondrial membrane.</w:t>
      </w:r>
      <w:r w:rsidR="006F0154">
        <w:t xml:space="preserve"> The generation of ubiquinol also takes up two protons from inside the mitochrondrion. </w:t>
      </w:r>
    </w:p>
    <w:p w:rsidR="00C45C2C" w:rsidRDefault="00C45C2C" w:rsidP="00C45C2C">
      <w:pPr>
        <w:pStyle w:val="ListParagraph"/>
        <w:numPr>
          <w:ilvl w:val="0"/>
          <w:numId w:val="1"/>
        </w:numPr>
      </w:pPr>
      <w:r>
        <w:t>Complex II converts succinate to fumarate and reduces a ubiquinone.</w:t>
      </w:r>
    </w:p>
    <w:p w:rsidR="00C45C2C" w:rsidRDefault="00C45C2C" w:rsidP="00C45C2C">
      <w:pPr>
        <w:pStyle w:val="ListParagraph"/>
        <w:numPr>
          <w:ilvl w:val="1"/>
          <w:numId w:val="1"/>
        </w:numPr>
      </w:pPr>
      <w:r>
        <w:rPr>
          <w:i/>
        </w:rPr>
        <w:t>A. suum</w:t>
      </w:r>
      <w:r>
        <w:t xml:space="preserve"> possesses a paralog that runs in reverse, allowing anaerobic oxidative phosphorylation with fu</w:t>
      </w:r>
      <w:r w:rsidR="00572632">
        <w:t xml:space="preserve">marate as the electron acceptor </w:t>
      </w:r>
      <w:r w:rsidR="00572632">
        <w:fldChar w:fldCharType="begin" w:fldLock="1"/>
      </w:r>
      <w:r w:rsidR="00C01A3F">
        <w:instrText>ADDIN CSL_CITATION { "citationItems" : [ { "id" : "ITEM-1", "itemData" : { "DOI" : "10.1093/jb/mvs051", "ISBN" : "1756-2651 (Electronic)\\n0021-924X (Linking)", "ISSN" : "0021924X", "PMID" : "22577165", "abstract" : "In the anaerobic respiratory chain of the parasitic nematode Ascaris suum, complex II couples the reduction of fumarate to the oxidation of rhodoquinol, a reverse reaction catalyzed by mammalian complex II. In this study, the first structure of anaerobic complex II of mitochondria was determined. The structure, composed of four subunits and five co-factors, is similar to that of aerobic complex II, except for an extra peptide found in the smallest anchor subunit of the A. suum enzyme. We discuss herein the structure-function relationship of the enzyme and the critical role of the low redox potential of rhodoquinol in the fumarate reduction of A. suum complex II.", "author" : [ { "dropping-particle" : "", "family" : "Shimizu", "given" : "Hironari", "non-dropping-particle" : "", "parse-names" : false, "suffix" : "" }, { "dropping-particle" : "", "family" : "Osanai", "given" : "Arihiro", "non-dropping-particle" : "", "parse-names" : false, "suffix" : "" }, { "dropping-particle" : "", "family" : "Sakamoto", "given" : "Kimitoshi", "non-dropping-particle" : "", "parse-names" : false, "suffix" : "" }, { "dropping-particle" : "", "family" : "Inaoka", "given" : "Daniel Ken", "non-dropping-particle" : "", "parse-names" : false, "suffix" : "" }, { "dropping-particle" : "", "family" : "Shiba", "given" : "Tomoo", "non-dropping-particle" : "", "parse-names" : false, "suffix" : "" }, { "dropping-particle" : "", "family" : "Harada", "given" : "Shigeharu", "non-dropping-particle" : "", "parse-names" : false, "suffix" : "" }, { "dropping-particle" : "", "family" : "Kita", "given" : "Kiyoshi", "non-dropping-particle" : "", "parse-names" : false, "suffix" : "" } ], "container-title" : "Journal of Biochemistry", "id" : "ITEM-1", "issue" : "6", "issued" : { "date-parts" : [ [ "2012" ] ] }, "page" : "589-592", "title" : "Crystal structure of mitochondrial quinol-fumarate reductase from the parasitic nematode Ascaris suum", "type" : "article-journal", "volume" : "151" }, "uris" : [ "http://www.mendeley.com/documents/?uuid=20fc94c7-a5a5-47f0-8fca-1c8e5fbf0de1" ] } ], "mendeley" : { "formattedCitation" : "(Shimizu &lt;i&gt;et al.&lt;/i&gt;, 2012)", "plainTextFormattedCitation" : "(Shimizu et al., 2012)", "previouslyFormattedCitation" : "(Shimizu &lt;i&gt;et al.&lt;/i&gt;, 2012)" }, "properties" : { "noteIndex" : 0 }, "schema" : "https://github.com/citation-style-language/schema/raw/master/csl-citation.json" }</w:instrText>
      </w:r>
      <w:r w:rsidR="00572632">
        <w:fldChar w:fldCharType="separate"/>
      </w:r>
      <w:r w:rsidR="00572632" w:rsidRPr="00572632">
        <w:rPr>
          <w:noProof/>
        </w:rPr>
        <w:t xml:space="preserve">(Shimizu </w:t>
      </w:r>
      <w:r w:rsidR="00572632" w:rsidRPr="00572632">
        <w:rPr>
          <w:i/>
          <w:noProof/>
        </w:rPr>
        <w:t>et al.</w:t>
      </w:r>
      <w:r w:rsidR="00572632" w:rsidRPr="00572632">
        <w:rPr>
          <w:noProof/>
        </w:rPr>
        <w:t>, 2012)</w:t>
      </w:r>
      <w:r w:rsidR="00572632">
        <w:fldChar w:fldCharType="end"/>
      </w:r>
      <w:r w:rsidR="00572632">
        <w:t>.</w:t>
      </w:r>
      <w:r w:rsidR="006F0154">
        <w:t xml:space="preserve"> I believe this works by regenerating ubiquinone, allowing Complex I to pump protons</w:t>
      </w:r>
      <w:r w:rsidR="007D7D7E">
        <w:t xml:space="preserve"> (a reverse of R02164)</w:t>
      </w:r>
      <w:r w:rsidR="006F0154">
        <w:t>.</w:t>
      </w:r>
    </w:p>
    <w:p w:rsidR="00C45C2C" w:rsidRDefault="006F0154" w:rsidP="00C45C2C">
      <w:pPr>
        <w:pStyle w:val="ListParagraph"/>
        <w:numPr>
          <w:ilvl w:val="0"/>
          <w:numId w:val="1"/>
        </w:numPr>
      </w:pPr>
      <w:r>
        <w:t>Complex III oxidizes ubiquinol, pumping 2 protons across the membrane, and reduces a cytochrome c.</w:t>
      </w:r>
    </w:p>
    <w:p w:rsidR="00C45C2C" w:rsidRDefault="00C45C2C" w:rsidP="00C45C2C">
      <w:pPr>
        <w:pStyle w:val="ListParagraph"/>
        <w:numPr>
          <w:ilvl w:val="0"/>
          <w:numId w:val="1"/>
        </w:numPr>
      </w:pPr>
      <w:r>
        <w:t>Complex IV</w:t>
      </w:r>
      <w:r w:rsidR="0063158B">
        <w:t xml:space="preserve"> oxidizes cytochrome c, reduces oxygen to water, and pumps 4 protons.</w:t>
      </w:r>
    </w:p>
    <w:p w:rsidR="0063158B" w:rsidRDefault="00707E4F" w:rsidP="00C45C2C">
      <w:pPr>
        <w:pStyle w:val="ListParagraph"/>
        <w:numPr>
          <w:ilvl w:val="0"/>
          <w:numId w:val="1"/>
        </w:numPr>
      </w:pPr>
      <w:r>
        <w:t>Complex V</w:t>
      </w:r>
      <w:r w:rsidR="0063158B">
        <w:t xml:space="preserve"> </w:t>
      </w:r>
      <w:r>
        <w:t xml:space="preserve">(the </w:t>
      </w:r>
      <w:r w:rsidR="0063158B">
        <w:t>ATPase</w:t>
      </w:r>
      <w:r>
        <w:t>)</w:t>
      </w:r>
      <w:r w:rsidR="0063158B">
        <w:t xml:space="preserve"> is driven by the proton gradient and generates ATP</w:t>
      </w:r>
      <w:r>
        <w:t xml:space="preserve"> from the passage of 4 protons</w:t>
      </w:r>
      <w:r w:rsidR="0063158B">
        <w:t>.</w:t>
      </w:r>
    </w:p>
    <w:p w:rsidR="00997111" w:rsidRDefault="00997111" w:rsidP="00C45C2C">
      <w:pPr>
        <w:pStyle w:val="ListParagraph"/>
        <w:numPr>
          <w:ilvl w:val="0"/>
          <w:numId w:val="1"/>
        </w:numPr>
      </w:pPr>
      <w:r>
        <w:t>The outer mitochondrial membrane is porous to large and small ions, and freely traversed by uncharged molecules through voltage-dependent anion channels</w:t>
      </w:r>
      <w:r w:rsidR="00C01A3F">
        <w:t xml:space="preserve"> </w:t>
      </w:r>
      <w:r w:rsidR="00C01A3F">
        <w:fldChar w:fldCharType="begin" w:fldLock="1"/>
      </w:r>
      <w:r w:rsidR="003156B2">
        <w:instrText>ADDIN CSL_CITATION { "citationItems" : [ { "id" : "ITEM-1", "itemData" : { "DOI" : "10.1186/s12915-015-0201-x", "ISSN" : "1741-7007 (Electronic)", "PMID" : "26515107", "abstract" : "Biological energy conversion in mitochondria is carried out by the membrane protein complexes of the respiratory chain and the mitochondrial ATP synthase in the inner membrane cristae. Recent advances in electron cryomicroscopy have made possible new insights into the structural and functional arrangement of these complexes in the membrane, and how they change with age. This review places these advances in the context of what is already known, and discusses the fundamental questions that remain open but can now be approached. ELECTRONIC SUPPLEMENTARY MATERIAL: The online version of this article (doi:10.1186/s12915-015-0201-x) contains supplementary material, which is available to authorized users. ", "author" : [ { "dropping-particle" : "", "family" : "K\u00fchlbrandt", "given" : "Werner", "non-dropping-particle" : "", "parse-names" : false, "suffix" : "" } ], "container-title" : "BMC Biology", "id" : "ITEM-1", "issued" : { "date-parts" : [ [ "2015" ] ] }, "language" : "eng", "publisher-place" : "London", "title" : "Structure and function of mitochondrial membrane protein complexes", "type" : "article", "volume" : "13" }, "uris" : [ "http://www.mendeley.com/documents/?uuid=381cbad1-5619-42e0-9a98-164a0598fc65" ] } ], "mendeley" : { "formattedCitation" : "(K\u00fchlbrandt, 2015)", "plainTextFormattedCitation" : "(K\u00fchlbrandt, 2015)", "previouslyFormattedCitation" : "(K\u00fchlbrandt, 2015)" }, "properties" : { "noteIndex" : 0 }, "schema" : "https://github.com/citation-style-language/schema/raw/master/csl-citation.json" }</w:instrText>
      </w:r>
      <w:r w:rsidR="00C01A3F">
        <w:fldChar w:fldCharType="separate"/>
      </w:r>
      <w:r w:rsidR="00C01A3F" w:rsidRPr="00C01A3F">
        <w:rPr>
          <w:noProof/>
        </w:rPr>
        <w:t>(Kühlbrandt, 2015)</w:t>
      </w:r>
      <w:r w:rsidR="00C01A3F">
        <w:fldChar w:fldCharType="end"/>
      </w:r>
      <w:r>
        <w:t>. So the proton-motive force is generated only across the inner membrane.</w:t>
      </w:r>
    </w:p>
    <w:p w:rsidR="0079448B" w:rsidRPr="006C0B34" w:rsidRDefault="0079448B" w:rsidP="0079448B"/>
    <w:p w:rsidR="009A0465" w:rsidRDefault="009A0465" w:rsidP="009A0465">
      <w:pPr>
        <w:pStyle w:val="Heading2"/>
      </w:pPr>
      <w:bookmarkStart w:id="20" w:name="_Toc476562550"/>
      <w:r>
        <w:t>Redox</w:t>
      </w:r>
      <w:bookmarkEnd w:id="20"/>
    </w:p>
    <w:p w:rsidR="009A0465" w:rsidRDefault="009A0465" w:rsidP="00B364DC">
      <w:r>
        <w:t xml:space="preserve">NADPH and NADH are both important redox cofactors in the cell. NADPH </w:t>
      </w:r>
      <w:r w:rsidRPr="009A0465">
        <w:t xml:space="preserve">chiefly operates in anabolic reactions, donating </w:t>
      </w:r>
      <w:r>
        <w:t>its</w:t>
      </w:r>
      <w:r w:rsidRPr="009A0465">
        <w:t xml:space="preserve"> electrons to energy-rich biological molecules.</w:t>
      </w:r>
      <w:r>
        <w:t xml:space="preserve"> NADH is an intermediate in catabolic reactions such as ATP generation from food. </w:t>
      </w:r>
    </w:p>
    <w:p w:rsidR="009A0465" w:rsidRDefault="009A0465" w:rsidP="009A0465">
      <w:pPr>
        <w:pStyle w:val="ListParagraph"/>
        <w:numPr>
          <w:ilvl w:val="0"/>
          <w:numId w:val="1"/>
        </w:numPr>
      </w:pPr>
      <w:r>
        <w:t>The phosphate doesn’t affect the functionality, but allows enzymes to differentiate the molecules, and they are regulated independently.</w:t>
      </w:r>
    </w:p>
    <w:p w:rsidR="009A0465" w:rsidRDefault="009A0465" w:rsidP="009A0465">
      <w:pPr>
        <w:pStyle w:val="ListParagraph"/>
        <w:numPr>
          <w:ilvl w:val="0"/>
          <w:numId w:val="1"/>
        </w:numPr>
      </w:pPr>
      <w:r>
        <w:t>The ratio of NAD+ to NADH is kept high, while the ratio of NADP+ to NADPH is kept low. This means there is plenty of NAD+ to act as an oxidizing agent, and plenty of NADPH to act as a reducing agent.</w:t>
      </w:r>
    </w:p>
    <w:p w:rsidR="009A0465" w:rsidRDefault="009A0465" w:rsidP="009A0465"/>
    <w:p w:rsidR="00CC67DF" w:rsidRDefault="00CC67DF" w:rsidP="00CC67DF">
      <w:pPr>
        <w:pStyle w:val="Heading2"/>
      </w:pPr>
      <w:bookmarkStart w:id="21" w:name="_Toc476562551"/>
      <w:r>
        <w:t>Common irreversible reactions</w:t>
      </w:r>
      <w:r w:rsidR="00611A48">
        <w:t xml:space="preserve"> (product)</w:t>
      </w:r>
      <w:bookmarkEnd w:id="21"/>
    </w:p>
    <w:p w:rsidR="00611A48" w:rsidRDefault="00611A48" w:rsidP="009A0465">
      <w:r>
        <w:t>In TCA:</w:t>
      </w:r>
    </w:p>
    <w:p w:rsidR="00CC67DF" w:rsidRDefault="00611A48" w:rsidP="00611A48">
      <w:pPr>
        <w:pStyle w:val="ListParagraph"/>
        <w:numPr>
          <w:ilvl w:val="0"/>
          <w:numId w:val="1"/>
        </w:numPr>
      </w:pPr>
      <w:r>
        <w:t xml:space="preserve">351 (158), 267 &amp; 709 &amp; 268 (26), </w:t>
      </w:r>
      <w:r w:rsidR="004F2170">
        <w:t>621 (</w:t>
      </w:r>
      <w:r w:rsidR="0011752C">
        <w:t>5381)</w:t>
      </w:r>
    </w:p>
    <w:p w:rsidR="009A0465" w:rsidRDefault="009A0465" w:rsidP="009A0465"/>
    <w:p w:rsidR="00DB3C4F" w:rsidRDefault="00DB3C4F" w:rsidP="009A0465">
      <w:pPr>
        <w:pStyle w:val="Heading1"/>
      </w:pPr>
      <w:bookmarkStart w:id="22" w:name="_Toc476562552"/>
      <w:r>
        <w:lastRenderedPageBreak/>
        <w:t>Metabolic network reconstruction</w:t>
      </w:r>
      <w:bookmarkEnd w:id="22"/>
    </w:p>
    <w:p w:rsidR="00DB3C4F" w:rsidRDefault="009F6C6D" w:rsidP="00B364DC">
      <w:r>
        <w:t xml:space="preserve">Reviewed in </w:t>
      </w:r>
      <w:r>
        <w:fldChar w:fldCharType="begin" w:fldLock="1"/>
      </w:r>
      <w:r w:rsidR="00F34CD8">
        <w:instrText>ADDIN CSL_CITATION { "citationItems" : [ { "id" : "ITEM-1", "itemData" : { "DOI" : "10.1038/nrg1769", "ISBN" : "1471-0056", "ISSN" : "1471-0056", "PMID" : "16418748", "abstract" : "Our information about the gene content of organisms continues to grow as more genomes are sequenced and gene products are characterized. Sequence-based annotation efforts have led to a list of cellular components, which can be thought of as a one-dimensional annotation. With growing information about component interactions, facilitated by the advancement of various high-throughput technologies, systemic, or two-dimensional, annotations can be generated. Knowledge about the physical arrangement of chromosomes will lead to a three-dimensional spatial annotation of the genome and a fourth dimension of annotation will arise from the study of changes in genome sequences that occur during adaptive evolution. Here we discuss all four levels of genome annotation, with specific emphasis on two-dimensional annotation methods.", "author" : [ { "dropping-particle" : "", "family" : "Reed", "given" : "Jennifer L", "non-dropping-particle" : "", "parse-names" : false, "suffix" : "" }, { "dropping-particle" : "", "family" : "Famili", "given" : "Iman", "non-dropping-particle" : "", "parse-names" : false, "suffix" : "" }, { "dropping-particle" : "", "family" : "Thiele", "given" : "Ines", "non-dropping-particle" : "", "parse-names" : false, "suffix" : "" }, { "dropping-particle" : "", "family" : "Palsson", "given" : "Bernhard O", "non-dropping-particle" : "", "parse-names" : false, "suffix" : "" } ], "container-title" : "Nature reviews Genetics", "id" : "ITEM-1", "issue" : "2", "issued" : { "date-parts" : [ [ "2006" ] ] }, "page" : "130-141", "title" : "Towards multidimensional genome annotation", "type" : "article-journal", "volume" : "7" }, "uris" : [ "http://www.mendeley.com/documents/?uuid=6898a155-f3b7-4083-9c7a-939af17b5cf4" ] } ], "mendeley" : { "formattedCitation" : "(Reed &lt;i&gt;et al.&lt;/i&gt;, 2006)", "plainTextFormattedCitation" : "(Reed et al., 2006)", "previouslyFormattedCitation" : "(Reed &lt;i&gt;et al.&lt;/i&gt;, 2006)" }, "properties" : { "noteIndex" : 0 }, "schema" : "https://github.com/citation-style-language/schema/raw/master/csl-citation.json" }</w:instrText>
      </w:r>
      <w:r>
        <w:fldChar w:fldCharType="separate"/>
      </w:r>
      <w:r w:rsidRPr="009F6C6D">
        <w:rPr>
          <w:noProof/>
        </w:rPr>
        <w:t xml:space="preserve">(Reed </w:t>
      </w:r>
      <w:r w:rsidRPr="009F6C6D">
        <w:rPr>
          <w:i/>
          <w:noProof/>
        </w:rPr>
        <w:t>et al.</w:t>
      </w:r>
      <w:r w:rsidRPr="009F6C6D">
        <w:rPr>
          <w:noProof/>
        </w:rPr>
        <w:t>, 2006)</w:t>
      </w:r>
      <w:r>
        <w:fldChar w:fldCharType="end"/>
      </w:r>
      <w:r>
        <w:t>.</w:t>
      </w:r>
    </w:p>
    <w:p w:rsidR="006D5C0E" w:rsidRDefault="00A15A20" w:rsidP="00B364DC">
      <w:r>
        <w:t xml:space="preserve">In </w:t>
      </w:r>
      <w:r>
        <w:fldChar w:fldCharType="begin" w:fldLock="1"/>
      </w:r>
      <w:r>
        <w:instrText>ADDIN CSL_CITATION { "citationItems" : [ { "id" : "ITEM-1", "itemData" : { "DOI" : "10.1016/j.cels.2016.04.017", "ISSN" : "24054712", "PMID" : "27211858", "abstract" : "We present a genome-scale model of Caenorhabditis elegans metabolism along with the public database ElegCyc (http://elegcyc.bioinf.uni-jena.de:1100), which represents a reference for metabolic pathways in the worm and allows for the visualization as well as analysis of omics datasets. Our model reflects the metabolic peculiarities of C. elegans that make it distinct from other higher eukaryotes and mammals, including mice and humans. We experimentally verify one of these peculiarities by showing that the lifespan-extending effect of L-tryptophan supplementation is dose dependent (hormetic). Finally, we show the utility of our model for analyzing omics datasets through predicting changes in amino acid concentrations after genetic perturbations and analyzing metabolic changes during normal aging as well as during two distinct, reactive oxygen species (ROS)-related lifespan-extending treatments. Our analyses reveal a notable similarity in metabolic adaptation between distinct lifespan-extending interventions and point to key pathways affecting lifespan in nematodes.", "author" : [ { "dropping-particle" : "", "family" : "Gebauer", "given" : "Juliane", "non-dropping-particle" : "", "parse-names" : false, "suffix" : "" }, { "dropping-particle" : "", "family" : "Gentsch", "given" : "Christoph", "non-dropping-particle" : "", "parse-names" : false, "suffix" : "" }, { "dropping-particle" : "", "family" : "Mansfeld", "given" : "Johannes", "non-dropping-particle" : "", "parse-names" : false, "suffix" : "" }, { "dropping-particle" : "", "family" : "Schmei\u00dfer", "given" : "Kathrin", "non-dropping-particle" : "", "parse-names" : false, "suffix" : "" }, { "dropping-particle" : "", "family" : "Waschina", "given" : "Silvio", "non-dropping-particle" : "", "parse-names" : false, "suffix" : "" }, { "dropping-particle" : "", "family" : "Brandes", "given" : "Susanne", "non-dropping-particle" : "", "parse-names" : false, "suffix" : "" }, { "dropping-particle" : "", "family" : "Klimmasch", "given" : "Lukas", "non-dropping-particle" : "", "parse-names" : false, "suffix" : "" }, { "dropping-particle" : "", "family" : "Zamboni", "given" : "Nicola", "non-dropping-particle" : "", "parse-names" : false, "suffix" : "" }, { "dropping-particle" : "", "family" : "Zarse", "given" : "Kim", "non-dropping-particle" : "", "parse-names" : false, "suffix" : "" }, { "dropping-particle" : "", "family" : "Schuster", "given" : "Stefan", "non-dropping-particle" : "", "parse-names" : false, "suffix" : "" }, { "dropping-particle" : "", "family" : "Ristow", "given" : "Michael", "non-dropping-particle" : "", "parse-names" : false, "suffix" : "" }, { "dropping-particle" : "", "family" : "Sch\u00e4uble", "given" : "Sascha", "non-dropping-particle" : "", "parse-names" : false, "suffix" : "" }, { "dropping-particle" : "", "family" : "Kaleta", "given" : "Christoph", "non-dropping-particle" : "", "parse-names" : false, "suffix" : "" } ], "container-title" : "Cell Systems", "id" : "ITEM-1", "issue" : "5", "issued" : { "date-parts" : [ [ "2016" ] ] }, "page" : "312-322", "title" : "A Genome-Scale Database and Reconstruction of Caenorhabditis elegans Metabolism", "type" : "article-journal", "volume" : "2" }, "uris" : [ "http://www.mendeley.com/documents/?uuid=e1dcedc9-9868-4506-8fb7-19cda2de30b1" ] } ], "mendeley" : { "formattedCitation" : "(Gebauer &lt;i&gt;et al.&lt;/i&gt;, 2016)", "plainTextFormattedCitation" : "(Gebauer et al., 2016)", "previouslyFormattedCitation" : "(Gebauer &lt;i&gt;et al.&lt;/i&gt;, 2016)" }, "properties" : { "noteIndex" : 0 }, "schema" : "https://github.com/citation-style-language/schema/raw/master/csl-citation.json" }</w:instrText>
      </w:r>
      <w:r>
        <w:fldChar w:fldCharType="separate"/>
      </w:r>
      <w:r w:rsidRPr="00A15A20">
        <w:rPr>
          <w:noProof/>
        </w:rPr>
        <w:t xml:space="preserve">(Gebauer </w:t>
      </w:r>
      <w:r w:rsidRPr="00A15A20">
        <w:rPr>
          <w:i/>
          <w:noProof/>
        </w:rPr>
        <w:t>et al.</w:t>
      </w:r>
      <w:r w:rsidRPr="00A15A20">
        <w:rPr>
          <w:noProof/>
        </w:rPr>
        <w:t>, 2016)</w:t>
      </w:r>
      <w:r>
        <w:fldChar w:fldCharType="end"/>
      </w:r>
      <w:r>
        <w:t xml:space="preserve"> they generated a metabolic network for </w:t>
      </w:r>
      <w:r>
        <w:rPr>
          <w:i/>
        </w:rPr>
        <w:t>C. elegans</w:t>
      </w:r>
      <w:r>
        <w:t xml:space="preserve"> by:</w:t>
      </w:r>
    </w:p>
    <w:p w:rsidR="00A15A20" w:rsidRDefault="00A15A20" w:rsidP="00A15A20">
      <w:pPr>
        <w:pStyle w:val="ListParagraph"/>
        <w:numPr>
          <w:ilvl w:val="0"/>
          <w:numId w:val="1"/>
        </w:numPr>
      </w:pPr>
      <w:r>
        <w:t xml:space="preserve">Used Pathologic </w:t>
      </w:r>
      <w:r>
        <w:fldChar w:fldCharType="begin" w:fldLock="1"/>
      </w:r>
      <w:r>
        <w:instrText>ADDIN CSL_CITATION { "citationItems" : [ { "id" : "ITEM-1", "itemData" : { "DOI" : "10.1186/1471-2105-11-15", "ISBN" : "1471-2105 (Electronic)\\r1471-2105 (Linking)", "ISSN" : "1471-2105", "PMID" : "20064214", "abstract" : "BACKGROUND: A key challenge in systems biology is the reconstruction of an organism's metabolic network from its genome sequence. One strategy for addressing this problem is to predict which metabolic pathways, from a reference database of known pathways, are present in the organism, based on the annotated genome of the organism.\\n\\nRESULTS: To quantitatively validate methods for pathway prediction, we developed a large \"gold standard\" dataset of 5,610 pathway instances known to be present or absent in curated metabolic pathway databases for six organisms. We defined a collection of 123 pathway features, whose information content we evaluated with respect to the gold standard. Feature data were used as input to an extensive collection of machine learning (ML) methods, including na\u00efve Bayes, decision trees, and logistic regression, together with feature selection and ensemble methods. We compared the ML methods to the previous PathoLogic algorithm for pathway prediction using the gold standard dataset. We found that ML-based prediction methods can match the performance of the PathoLogic algorithm. PathoLogic achieved an accuracy of 91% and an F-measure of 0.786. The ML-based prediction methods achieved accuracy as high as 91.2% and F-measure as high as 0.787. The ML-based methods output a probability for each predicted pathway, whereas PathoLogic does not, which provides more information to the user and facilitates filtering of predicted pathways.\\n\\nCONCLUSIONS: ML methods for pathway prediction perform as well as existing methods, and have qualitative advantages in terms of extensibility, tunability, and explainability. More advanced prediction methods and/or more sophisticated input features may improve the performance of ML methods. However, pathway prediction performance appears to be limited largely by the ability to correctly match enzymes to the reactions they catalyze based on genome annotations.", "author" : [ { "dropping-particle" : "", "family" : "Dale", "given" : "Joseph M", "non-dropping-particle" : "", "parse-names" : false, "suffix" : "" }, { "dropping-particle" : "", "family" : "Popescu", "given" : "Liviu", "non-dropping-particle" : "", "parse-names" : false, "suffix" : "" }, { "dropping-particle" : "", "family" : "Karp", "given" : "Peter D", "non-dropping-particle" : "", "parse-names" : false, "suffix" : "" } ], "container-title" : "BMC bioinformatics", "id" : "ITEM-1", "issue" : "1", "issued" : { "date-parts" : [ [ "2010" ] ] }, "page" : "15", "title" : "Machine learning methods for metabolic pathway prediction.", "type" : "article-journal", "volume" : "11" }, "uris" : [ "http://www.mendeley.com/documents/?uuid=648122eb-c8a4-4928-ae09-b46fc004fe4b" ] } ], "mendeley" : { "formattedCitation" : "(Dale &lt;i&gt;et al.&lt;/i&gt;, 2010)", "plainTextFormattedCitation" : "(Dale et al., 2010)", "previouslyFormattedCitation" : "(Dale &lt;i&gt;et al.&lt;/i&gt;, 2010)" }, "properties" : { "noteIndex" : 0 }, "schema" : "https://github.com/citation-style-language/schema/raw/master/csl-citation.json" }</w:instrText>
      </w:r>
      <w:r>
        <w:fldChar w:fldCharType="separate"/>
      </w:r>
      <w:r w:rsidRPr="00A15A20">
        <w:rPr>
          <w:noProof/>
        </w:rPr>
        <w:t xml:space="preserve">(Dale </w:t>
      </w:r>
      <w:r w:rsidRPr="00A15A20">
        <w:rPr>
          <w:i/>
          <w:noProof/>
        </w:rPr>
        <w:t>et al.</w:t>
      </w:r>
      <w:r w:rsidRPr="00A15A20">
        <w:rPr>
          <w:noProof/>
        </w:rPr>
        <w:t>, 2010)</w:t>
      </w:r>
      <w:r>
        <w:fldChar w:fldCharType="end"/>
      </w:r>
      <w:r>
        <w:t xml:space="preserve"> on the elegans genome, which gave them 218 reactions.</w:t>
      </w:r>
    </w:p>
    <w:p w:rsidR="00A15A20" w:rsidRDefault="00A15A20" w:rsidP="00A15A20">
      <w:pPr>
        <w:pStyle w:val="ListParagraph"/>
        <w:numPr>
          <w:ilvl w:val="0"/>
          <w:numId w:val="1"/>
        </w:numPr>
      </w:pPr>
      <w:r>
        <w:t xml:space="preserve">Then BLAST the elegans genome against metabolic models from yeast and </w:t>
      </w:r>
      <w:r>
        <w:rPr>
          <w:i/>
        </w:rPr>
        <w:t>E. coli</w:t>
      </w:r>
      <w:r>
        <w:t>, which increased it to 481.</w:t>
      </w:r>
    </w:p>
    <w:p w:rsidR="00A15A20" w:rsidRPr="00A15A20" w:rsidRDefault="00A15A20" w:rsidP="00A15A20">
      <w:pPr>
        <w:pStyle w:val="ListParagraph"/>
        <w:numPr>
          <w:ilvl w:val="0"/>
          <w:numId w:val="1"/>
        </w:numPr>
      </w:pPr>
      <w:r>
        <w:t xml:space="preserve">They then compared the elegans genome to the human network Recon 2 </w:t>
      </w:r>
      <w:r>
        <w:fldChar w:fldCharType="begin" w:fldLock="1"/>
      </w:r>
      <w:r w:rsidR="00572632">
        <w:instrText>ADDIN CSL_CITATION { "citationItems" : [ { "id" : "ITEM-1", "itemData" : { "DOI" : "10.1038/nbt.2488", "ISBN" : "1546-1696 (Electronic)\\r1087-0156 (Linking)", "ISSN" : "1546-1696", "PMID" : "23455439", "abstract" : "Multiple models of human metabolism have been reconstructed, but each represents only a subset of our knowledge. Here we describe Recon 2, a community-driven, consensus 'metabolic reconstruction', which is the most comprehensive representation of human metabolism that is applicable to computational modeling. Compared with its predecessors, the reconstruction has improved topological and functional features, including \u223c2\u00d7 more reactions and \u223c1.7\u00d7 more unique metabolites. Using Recon 2 we predicted changes in metabolite biomarkers for 49 inborn errors of metabolism with 77% accuracy when compared to experimental data. Mapping metabolomic data and drug information onto Recon 2 demonstrates its potential for integrating and analyzing diverse data types. Using protein expression data, we automatically generated a compendium of 65 cell type-specific models, providing a basis for manual curation or investigation of cell-specific metabolic properties. Recon 2 will facilitate many future biomedical studies and is freely available at http://humanmetabolism.org/.", "author" : [ { "dropping-particle" : "", "family" : "Thiele", "given" : "Ines", "non-dropping-particle" : "", "parse-names" : false, "suffix" : "" }, { "dropping-particle" : "", "family" : "Swainston", "given" : "Neil", "non-dropping-particle" : "", "parse-names" : false, "suffix" : "" }, { "dropping-particle" : "", "family" : "Fleming", "given" : "Ronan M T", "non-dropping-particle" : "", "parse-names" : false, "suffix" : "" }, { "dropping-particle" : "", "family" : "Hoppe", "given" : "Andreas", "non-dropping-particle" : "", "parse-names" : false, "suffix" : "" }, { "dropping-particle" : "", "family" : "Sahoo", "given" : "Swagatika", "non-dropping-particle" : "", "parse-names" : false, "suffix" : "" }, { "dropping-particle" : "", "family" : "Aurich", "given" : "Maike K", "non-dropping-particle" : "", "parse-names" : false, "suffix" : "" }, { "dropping-particle" : "", "family" : "Haraldsdottir", "given" : "Hulda", "non-dropping-particle" : "", "parse-names" : false, "suffix" : "" }, { "dropping-particle" : "", "family" : "Mo", "given" : "Monica L", "non-dropping-particle" : "", "parse-names" : false, "suffix" : "" }, { "dropping-particle" : "", "family" : "Rolfsson", "given" : "Ottar", "non-dropping-particle" : "", "parse-names" : false, "suffix" : "" }, { "dropping-particle" : "", "family" : "Stobbe", "given" : "Miranda D", "non-dropping-particle" : "", "parse-names" : false, "suffix" : "" }, { "dropping-particle" : "", "family" : "Thorleifsson", "given" : "Stefan G", "non-dropping-particle" : "", "parse-names" : false, "suffix" : "" }, { "dropping-particle" : "", "family" : "Agren", "given" : "Rasmus", "non-dropping-particle" : "", "parse-names" : false, "suffix" : "" }, { "dropping-particle" : "", "family" : "B\u00f6lling", "given" : "Christian", "non-dropping-particle" : "", "parse-names" : false, "suffix" : "" }, { "dropping-particle" : "", "family" : "Bordel", "given" : "Sergio", "non-dropping-particle" : "", "parse-names" : false, "suffix" : "" }, { "dropping-particle" : "", "family" : "Chavali", "given" : "Arvind K", "non-dropping-particle" : "", "parse-names" : false, "suffix" : "" }, { "dropping-particle" : "", "family" : "Dobson", "given" : "Paul", "non-dropping-particle" : "", "parse-names" : false, "suffix" : "" }, { "dropping-particle" : "", "family" : "Dunn", "given" : "Warwick B", "non-dropping-particle" : "", "parse-names" : false, "suffix" : "" }, { "dropping-particle" : "", "family" : "Endler", "given" : "Lukas", "non-dropping-particle" : "", "parse-names" : false, "suffix" : "" }, { "dropping-particle" : "", "family" : "Hala", "given" : "David", "non-dropping-particle" : "", "parse-names" : false, "suffix" : "" }, { "dropping-particle" : "", "family" : "Hucka", "given" : "Michael", "non-dropping-particle" : "", "parse-names" : false, "suffix" : "" }, { "dropping-particle" : "", "family" : "Hull", "given" : "Duncan", "non-dropping-particle" : "", "parse-names" : false, "suffix" : "" }, { "dropping-particle" : "", "family" : "Jameson", "given" : "Daniel", "non-dropping-particle" : "", "parse-names" : false, "suffix" : "" }, { "dropping-particle" : "", "family" : "Jamshidi", "given" : "Neema", "non-dropping-particle" : "", "parse-names" : false, "suffix" : "" }, { "dropping-particle" : "", "family" : "Jonsson", "given" : "Jon J", "non-dropping-particle" : "", "parse-names" : false, "suffix" : "" }, { "dropping-particle" : "", "family" : "Juty", "given" : "Nick", "non-dropping-particle" : "", "parse-names" : false, "suffix" : "" }, { "dropping-particle" : "", "family" : "Keating", "given" : "Sarah", "non-dropping-particle" : "", "parse-names" : false, "suffix" : "" }, { "dropping-particle" : "", "family" : "Nookaew", "given" : "Intawat", "non-dropping-particle" : "", "parse-names" : false, "suffix" : "" }, { "dropping-particle" : "", "family" : "Nov\u00e8re", "given" : "Nicolas", "non-dropping-particle" : "Le", "parse-names" : false, "suffix" : "" }, { "dropping-particle" : "", "family" : "Malys", "given" : "Naglis", "non-dropping-particle" : "", "parse-names" : false, "suffix" : "" }, { "dropping-particle" : "", "family" : "Mazein", "given" : "Alexander", "non-dropping-particle" : "", "parse-names" : false, "suffix" : "" }, { "dropping-particle" : "", "family" : "Papin", "given" : "Jason A", "non-dropping-particle" : "", "parse-names" : false, "suffix" : "" }, { "dropping-particle" : "", "family" : "Price", "given" : "Nathan D", "non-dropping-particle" : "", "parse-names" : false, "suffix" : "" }, { "dropping-particle" : "", "family" : "Selkov", "given" : "Evgeni", "non-dropping-particle" : "", "parse-names" : false, "suffix" : "" }, { "dropping-particle" : "", "family" : "Sigurdsson", "given" : "Martin I", "non-dropping-particle" : "", "parse-names" : false, "suffix" : "" }, { "dropping-particle" : "", "family" : "Simeonidis", "given" : "Evangelos", "non-dropping-particle" : "", "parse-names" : false, "suffix" : "" }, { "dropping-particle" : "", "family" : "Sonnenschein", "given" : "Nikolaus", "non-dropping-particle" : "", "parse-names" : false, "suffix" : "" }, { "dropping-particle" : "", "family" : "Smallbone", "given" : "Kieran", "non-dropping-particle" : "", "parse-names" : false, "suffix" : "" }, { "dropping-particle" : "", "family" : "Sorokin", "given" : "Anatoly", "non-dropping-particle" : "", "parse-names" : false, "suffix" : "" }, { "dropping-particle" : "", "family" : "Beek", "given" : "Johannes H G M", "non-dropping-particle" : "van", "parse-names" : false, "suffix" : "" }, { "dropping-particle" : "", "family" : "Weichart", "given" : "Dieter", "non-dropping-particle" : "", "parse-names" : false, "suffix" : "" }, { "dropping-particle" : "", "family" : "Goryanin", "given" : "Igor", "non-dropping-particle" : "", "parse-names" : false, "suffix" : "" }, { "dropping-particle" : "", "family" : "Nielsen", "given" : "Jens", "non-dropping-particle" : "", "parse-names" : false, "suffix" : "" }, { "dropping-particle" : "V", "family" : "Westerhoff", "given" : "Hans", "non-dropping-particle" : "", "parse-names" : false, "suffix" : "" }, { "dropping-particle" : "", "family" : "Kell", "given" : "Douglas B", "non-dropping-particle" : "", "parse-names" : false, "suffix" : "" }, { "dropping-particle" : "", "family" : "Mendes", "given" : "Pedro", "non-dropping-particle" : "", "parse-names" : false, "suffix" : "" }, { "dropping-particle" : "", "family" : "Palsson", "given" : "Bernhard \u00d8", "non-dropping-particle" : "", "parse-names" : false, "suffix" : "" } ], "container-title" : "Nature biotechnology", "id" : "ITEM-1", "issue" : "5", "issued" : { "date-parts" : [ [ "2013" ] ] }, "page" : "419-25", "title" : "A community-driven global reconstruction of human metabolism.", "type" : "article-journal", "volume" : "31" }, "uris" : [ "http://www.mendeley.com/documents/?uuid=538660b0-c4da-48c7-950d-fae8458ea4ad" ] } ], "mendeley" : { "formattedCitation" : "(Thiele &lt;i&gt;et al.&lt;/i&gt;, 2013)", "plainTextFormattedCitation" : "(Thiele et al., 2013)", "previouslyFormattedCitation" : "(Thiele &lt;i&gt;et al.&lt;/i&gt;, 2013)" }, "properties" : { "noteIndex" : 0 }, "schema" : "https://github.com/citation-style-language/schema/raw/master/csl-citation.json" }</w:instrText>
      </w:r>
      <w:r>
        <w:fldChar w:fldCharType="separate"/>
      </w:r>
      <w:r w:rsidRPr="00A15A20">
        <w:rPr>
          <w:noProof/>
        </w:rPr>
        <w:t xml:space="preserve">(Thiele </w:t>
      </w:r>
      <w:r w:rsidRPr="00A15A20">
        <w:rPr>
          <w:i/>
          <w:noProof/>
        </w:rPr>
        <w:t>et al.</w:t>
      </w:r>
      <w:r w:rsidRPr="00A15A20">
        <w:rPr>
          <w:noProof/>
        </w:rPr>
        <w:t>, 2013)</w:t>
      </w:r>
      <w:r>
        <w:fldChar w:fldCharType="end"/>
      </w:r>
      <w:r>
        <w:t>, and accepted reactions only if they were described in WormBase or KEGG; this increased the network to 1914 reactions.</w:t>
      </w:r>
    </w:p>
    <w:p w:rsidR="00DB3C4F" w:rsidRDefault="00DB3C4F" w:rsidP="00B364DC"/>
    <w:p w:rsidR="0004666C" w:rsidRDefault="0004666C" w:rsidP="00B364DC">
      <w:pPr>
        <w:pStyle w:val="Heading2"/>
      </w:pPr>
      <w:bookmarkStart w:id="23" w:name="_Toc476562553"/>
      <w:r>
        <w:t>Flux balance analysis</w:t>
      </w:r>
      <w:bookmarkEnd w:id="23"/>
    </w:p>
    <w:p w:rsidR="00F34CD8" w:rsidRDefault="009452ED" w:rsidP="00B364DC">
      <w:r>
        <w:t>In general, can have interaction- or constraint-based models; FBA is the latter. It is an</w:t>
      </w:r>
      <w:r w:rsidR="00F34CD8">
        <w:t xml:space="preserve"> approach to analyze a metabolic network</w:t>
      </w:r>
      <w:r w:rsidR="003459CD">
        <w:t>, using linear optimization to determine the steady-state reaction flux distribution by maximizing some objective function, commonly ATP production or growth</w:t>
      </w:r>
      <w:r w:rsidR="00F34CD8">
        <w:t xml:space="preserve">. Described in </w:t>
      </w:r>
      <w:r w:rsidR="00F34CD8">
        <w:fldChar w:fldCharType="begin" w:fldLock="1"/>
      </w:r>
      <w:r w:rsidR="003A0DA9">
        <w:instrText>ADDIN CSL_CITATION { "citationItems" : [ { "id" : "ITEM-1", "itemData" : { "DOI" : "10.1093/bib/bbp011", "ISBN" : "9180229328", "ISSN" : "14675463", "PMID" : "19287049", "abstract" : "Systems level modelling and simulations of biological processes are proving to be invaluable in obtaining a quantitative and dynamic perspective of various aspects of cellular function. In particular, constraint-based analyses of metabolic networks have gained considerable popularity for simulating cellular metabolism, of which flux balance analysis (FBA), is most widely used. Unlike mechanistic simulations that depend on accurate kinetic data, which are scarcely available, FBA is based on the principle of conservation of mass in a network, which utilizes the stoichiometric matrix and a biologically relevant objective function to identify optimal reaction flux distributions. FBA has been used to analyse genome-scale reconstructions of several organisms; it has also been used to analyse the effect of perturbations, such as gene deletions or drug inhibitions in silico. This article reviews the usefulness of FBA as a tool for gaining biological insights, advances in methodology enabling integration of regulatory information and thermodynamic constraints, and finally addresses the challenges that lie ahead. Various use scenarios and biological insights obtained from FBA, and applications in fields such metabolic engineering and drug target identification, are also discussed. Genome-scale constraint-based models have an immense potential for building and testing hypotheses, as well as to guide experimentation.", "author" : [ { "dropping-particle" : "", "family" : "Raman", "given" : "Karthik", "non-dropping-particle" : "", "parse-names" : false, "suffix" : "" }, { "dropping-particle" : "", "family" : "Chandra", "given" : "Nagasuma", "non-dropping-particle" : "", "parse-names" : false, "suffix" : "" } ], "container-title" : "Briefings in Bioinformatics", "id" : "ITEM-1", "issue" : "4", "issued" : { "date-parts" : [ [ "2009" ] ] }, "page" : "435-449", "title" : "Flux balance analysis of biological systems: Applications and challenges", "type" : "article", "volume" : "10" }, "uris" : [ "http://www.mendeley.com/documents/?uuid=b003873e-7952-4759-9b9f-12eb9b105693" ] } ], "mendeley" : { "formattedCitation" : "(Raman and Chandra, 2009)", "plainTextFormattedCitation" : "(Raman and Chandra, 2009)", "previouslyFormattedCitation" : "(Raman and Chandra, 2009)" }, "properties" : { "noteIndex" : 0 }, "schema" : "https://github.com/citation-style-language/schema/raw/master/csl-citation.json" }</w:instrText>
      </w:r>
      <w:r w:rsidR="00F34CD8">
        <w:fldChar w:fldCharType="separate"/>
      </w:r>
      <w:r w:rsidR="00F34CD8" w:rsidRPr="00F34CD8">
        <w:rPr>
          <w:noProof/>
        </w:rPr>
        <w:t>(Raman and Chandra, 2009)</w:t>
      </w:r>
      <w:r w:rsidR="00F34CD8">
        <w:fldChar w:fldCharType="end"/>
      </w:r>
      <w:r w:rsidR="00F34CD8">
        <w:t>.</w:t>
      </w:r>
    </w:p>
    <w:p w:rsidR="0004666C" w:rsidRDefault="00A77DBC" w:rsidP="00B364DC">
      <w:r>
        <w:t>Widely used approa</w:t>
      </w:r>
      <w:r w:rsidR="001B1CE7">
        <w:t xml:space="preserve">ch to study biological networks, calculating the flow of metabolites through an organism’s metabolic network. The steps are outlined below </w:t>
      </w:r>
      <w:r w:rsidR="001B1CE7">
        <w:fldChar w:fldCharType="begin" w:fldLock="1"/>
      </w:r>
      <w:r w:rsidR="007F4F16">
        <w:instrText>ADDIN CSL_CITATION { "citationItems" : [ { "id" : "ITEM-1", "itemData" : { "DOI" : "10.1038/nbt.1614", "ISBN" : "1087-0156", "ISSN" : "1546-1696", "PMID" : "20212490", "abstract" : "Flux balance analysis is a mathematical approach for analyzing the flow of metabolites through a metabolic network. This primer covers the theoretical basis of the approach, several practical examples and a software toolbox for performing the calculations.", "author" : [ { "dropping-particle" : "", "family" : "Orth", "given" : "Jeffrey D.", "non-dropping-particle" : "", "parse-names" : false, "suffix" : "" }, { "dropping-particle" : "", "family" : "Thiele", "given" : "Ines", "non-dropping-particle" : "", "parse-names" : false, "suffix" : "" }, { "dropping-particle" : "", "family" : "Palsson", "given" : "Bernhard \u00d8.", "non-dropping-particle" : "", "parse-names" : false, "suffix" : "" } ], "container-title" : "Nature biotechnology", "id" : "ITEM-1", "issue" : "3", "issued" : { "date-parts" : [ [ "2010" ] ] }, "page" : "245-248", "title" : "What is Flux Balance Analysis ?", "type" : "article-journal", "volume" : "28" }, "uris" : [ "http://www.mendeley.com/documents/?uuid=d1906318-a169-4811-b321-911fb6d385ef" ] } ], "mendeley" : { "formattedCitation" : "(Orth &lt;i&gt;et al.&lt;/i&gt;, 2010)", "plainTextFormattedCitation" : "(Orth et al., 2010)", "previouslyFormattedCitation" : "(Orth &lt;i&gt;et al.&lt;/i&gt;, 2010)" }, "properties" : { "noteIndex" : 0 }, "schema" : "https://github.com/citation-style-language/schema/raw/master/csl-citation.json" }</w:instrText>
      </w:r>
      <w:r w:rsidR="001B1CE7">
        <w:fldChar w:fldCharType="separate"/>
      </w:r>
      <w:r w:rsidR="001B1CE7" w:rsidRPr="001B1CE7">
        <w:rPr>
          <w:noProof/>
        </w:rPr>
        <w:t xml:space="preserve">(Orth </w:t>
      </w:r>
      <w:r w:rsidR="001B1CE7" w:rsidRPr="001B1CE7">
        <w:rPr>
          <w:i/>
          <w:noProof/>
        </w:rPr>
        <w:t>et al.</w:t>
      </w:r>
      <w:r w:rsidR="001B1CE7" w:rsidRPr="001B1CE7">
        <w:rPr>
          <w:noProof/>
        </w:rPr>
        <w:t>, 2010)</w:t>
      </w:r>
      <w:r w:rsidR="001B1CE7">
        <w:fldChar w:fldCharType="end"/>
      </w:r>
      <w:r w:rsidR="001B1CE7">
        <w:t>:</w:t>
      </w:r>
    </w:p>
    <w:p w:rsidR="001B1CE7" w:rsidRDefault="001B1CE7" w:rsidP="00B364DC">
      <w:r>
        <w:rPr>
          <w:noProof/>
          <w:lang w:eastAsia="en-CA"/>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4667250" cy="4762500"/>
            <wp:effectExtent l="0" t="0" r="0" b="0"/>
            <wp:wrapTopAndBottom/>
            <wp:docPr id="3" name="Picture 3" descr="An external file that holds a picture, illustration, etc.&#10;Object name is nihms299330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ternal file that holds a picture, illustration, etc.&#10;Object name is nihms299330f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4762500"/>
                    </a:xfrm>
                    <a:prstGeom prst="rect">
                      <a:avLst/>
                    </a:prstGeom>
                    <a:noFill/>
                    <a:ln>
                      <a:noFill/>
                    </a:ln>
                  </pic:spPr>
                </pic:pic>
              </a:graphicData>
            </a:graphic>
          </wp:anchor>
        </w:drawing>
      </w:r>
    </w:p>
    <w:p w:rsidR="001B1CE7" w:rsidRDefault="001B1CE7" w:rsidP="001B1CE7">
      <w:pPr>
        <w:pStyle w:val="ListParagraph"/>
        <w:numPr>
          <w:ilvl w:val="0"/>
          <w:numId w:val="1"/>
        </w:numPr>
      </w:pPr>
      <w:r>
        <w:t>S is a m*n matrix, where m is the number of compounds and n the number of reactions in the network.</w:t>
      </w:r>
    </w:p>
    <w:p w:rsidR="001B1CE7" w:rsidRDefault="00AC649C" w:rsidP="001B1CE7">
      <w:pPr>
        <w:pStyle w:val="ListParagraph"/>
        <w:numPr>
          <w:ilvl w:val="0"/>
          <w:numId w:val="1"/>
        </w:numPr>
      </w:pPr>
      <w:r>
        <w:t>Each row in S describes the productions and uses of a single compound, and each column is one reaction. A -1 indicates that compound is being used, while a 2 would indicate 2 molecules are being produced. The empty cells contain 0.</w:t>
      </w:r>
    </w:p>
    <w:p w:rsidR="00AC649C" w:rsidRDefault="00AC649C" w:rsidP="001B1CE7">
      <w:pPr>
        <w:pStyle w:val="ListParagraph"/>
        <w:numPr>
          <w:ilvl w:val="0"/>
          <w:numId w:val="1"/>
        </w:numPr>
      </w:pPr>
      <w:r>
        <w:t>The vector v represents the flux through all of the reactions in the network (it has length n).</w:t>
      </w:r>
    </w:p>
    <w:p w:rsidR="00AC649C" w:rsidRDefault="00AC649C" w:rsidP="00AC649C">
      <w:r>
        <w:t xml:space="preserve">The FBA model assumes the mass in equals the mass out: </w:t>
      </w:r>
      <m:oMath>
        <m:r>
          <w:rPr>
            <w:rFonts w:ascii="Cambria Math" w:hAnsi="Cambria Math"/>
          </w:rPr>
          <m:t>S⋅v=0</m:t>
        </m:r>
      </m:oMath>
      <w:r>
        <w:rPr>
          <w:rFonts w:eastAsiaTheme="minorEastAsia"/>
        </w:rPr>
        <w:t>. However,</w:t>
      </w:r>
      <w:r>
        <w:t xml:space="preserve"> any realistic system will have n&gt;m, so there will be no unique solution to the system; any v in the null space of S satisfies it.</w:t>
      </w:r>
    </w:p>
    <w:p w:rsidR="00AC649C" w:rsidRDefault="00AC649C" w:rsidP="00AC649C">
      <w:pPr>
        <w:pStyle w:val="ListParagraph"/>
        <w:numPr>
          <w:ilvl w:val="0"/>
          <w:numId w:val="1"/>
        </w:numPr>
      </w:pPr>
      <w:r>
        <w:t xml:space="preserve">There is information gained in analyzing S, but </w:t>
      </w:r>
      <w:r w:rsidR="00231239">
        <w:t>more detail analyses can be performed if</w:t>
      </w:r>
      <w:r>
        <w:t xml:space="preserve"> an objective function Z is defined. It could be maximize ATP production, or to maximize the growth rate (the biomass produced).</w:t>
      </w:r>
      <w:r w:rsidR="00231239">
        <w:t xml:space="preserve"> 11 linear and non- objective functions are reviewed in </w:t>
      </w:r>
      <w:r w:rsidR="00231239">
        <w:fldChar w:fldCharType="begin" w:fldLock="1"/>
      </w:r>
      <w:r w:rsidR="000741C0">
        <w:instrText>ADDIN CSL_CITATION { "citationItems" : [ { "id" : "ITEM-1", "itemData" : { "DOI" : "10.1038/msb4100162", "ISBN" : "1744-4292 (Electronic)", "ISSN" : "1744-4292", "PMID" : "17625511", "abstract" : "To which extent can optimality principles describe the operation of metabolic networks? By explicitly considering experimental errors and in silico alternate optima in flux balance analysis, we systematically evaluate the capacity of 11 objective functions combined with eight adjustable constraints to predict (13)C-determined in vivo fluxes in Escherichia coli under six environmental conditions. While no single objective describes the flux states under all conditions, we identified two sets of objectives for biologically meaningful predictions without the need for further, potentially artificial constraints. Unlimited growth on glucose in oxygen or nitrate respiring batch cultures is best described by nonlinear maximization of the ATP yield per flux unit. Under nutrient scarcity in continuous cultures, in contrast, linear maximization of the overall ATP or biomass yields achieved the highest predictive accuracy. Since these particular objectives predict the system behavior without preconditioning of the network structure, the identified optimality principles reflect, to some extent, the evolutionary selection of metabolic network regulation that realizes the various flux states.", "author" : [ { "dropping-particle" : "", "family" : "Schuetz", "given" : "Robert", "non-dropping-particle" : "", "parse-names" : false, "suffix" : "" }, { "dropping-particle" : "", "family" : "Kuepfer", "given" : "Lars", "non-dropping-particle" : "", "parse-names" : false, "suffix" : "" }, { "dropping-particle" : "", "family" : "Sauer", "given" : "Uwe", "non-dropping-particle" : "", "parse-names" : false, "suffix" : "" } ], "container-title" : "Molecular systems biology", "id" : "ITEM-1", "issued" : { "date-parts" : [ [ "2007" ] ] }, "page" : "119", "title" : "Systematic evaluation of objective functions for predicting intracellular fluxes in Escherichia coli.", "type" : "article-journal", "volume" : "3" }, "uris" : [ "http://www.mendeley.com/documents/?uuid=70a1d8c7-008f-4b45-a214-980df6576eb8" ] } ], "mendeley" : { "formattedCitation" : "(Schuetz &lt;i&gt;et al.&lt;/i&gt;, 2007)", "plainTextFormattedCitation" : "(Schuetz et al., 2007)", "previouslyFormattedCitation" : "(Schuetz &lt;i&gt;et al.&lt;/i&gt;, 2007)" }, "properties" : { "noteIndex" : 0 }, "schema" : "https://github.com/citation-style-language/schema/raw/master/csl-citation.json" }</w:instrText>
      </w:r>
      <w:r w:rsidR="00231239">
        <w:fldChar w:fldCharType="separate"/>
      </w:r>
      <w:r w:rsidR="00231239" w:rsidRPr="00231239">
        <w:rPr>
          <w:noProof/>
        </w:rPr>
        <w:t xml:space="preserve">(Schuetz </w:t>
      </w:r>
      <w:r w:rsidR="00231239" w:rsidRPr="00231239">
        <w:rPr>
          <w:i/>
          <w:noProof/>
        </w:rPr>
        <w:t>et al.</w:t>
      </w:r>
      <w:r w:rsidR="00231239" w:rsidRPr="00231239">
        <w:rPr>
          <w:noProof/>
        </w:rPr>
        <w:t>, 2007)</w:t>
      </w:r>
      <w:r w:rsidR="00231239">
        <w:fldChar w:fldCharType="end"/>
      </w:r>
      <w:r w:rsidR="00231239">
        <w:t>.</w:t>
      </w:r>
    </w:p>
    <w:p w:rsidR="00CF45DC" w:rsidRDefault="00CF45DC" w:rsidP="00AC649C">
      <w:pPr>
        <w:pStyle w:val="ListParagraph"/>
        <w:numPr>
          <w:ilvl w:val="0"/>
          <w:numId w:val="1"/>
        </w:numPr>
      </w:pPr>
      <w:r>
        <w:t>If growth is being modelled, reactions that produce amino acids, nucleotides, lipids, etc are weighted strongly, and the the reaction is scaled so that the flux through it is equal to the exponential growth rate of the organism.</w:t>
      </w:r>
    </w:p>
    <w:p w:rsidR="00072066" w:rsidRDefault="00072066" w:rsidP="00AC649C">
      <w:pPr>
        <w:pStyle w:val="ListParagraph"/>
        <w:numPr>
          <w:ilvl w:val="0"/>
          <w:numId w:val="1"/>
        </w:numPr>
      </w:pPr>
      <w:r>
        <w:t>The vector c is used in this definition, a vector of weights, indicating how much each reaction contributes to the objective function.</w:t>
      </w:r>
    </w:p>
    <w:p w:rsidR="00072066" w:rsidRDefault="00CF45DC" w:rsidP="00AC649C">
      <w:pPr>
        <w:pStyle w:val="ListParagraph"/>
        <w:numPr>
          <w:ilvl w:val="0"/>
          <w:numId w:val="1"/>
        </w:numPr>
      </w:pPr>
      <w:r>
        <w:lastRenderedPageBreak/>
        <w:t>Constraints to the system are incorporated in two ways, as entries in S indicating production and use of metabolites, and as inequalities on the variables during the linear programming step.</w:t>
      </w:r>
      <w:r w:rsidR="003A0DA9">
        <w:t xml:space="preserve"> Reviewed in </w:t>
      </w:r>
      <w:r w:rsidR="003A0DA9">
        <w:fldChar w:fldCharType="begin" w:fldLock="1"/>
      </w:r>
      <w:r w:rsidR="00231239">
        <w:instrText>ADDIN CSL_CITATION { "citationItems" : [ { "id" : "ITEM-1", "itemData" : { "DOI" : "10.1038/nrmicro1023", "ISBN" : "1740-1526", "ISSN" : "1740-1526", "PMID" : "15494745", "abstract" : "Microbial cells operate under governing constraints that limit their range of possible functions. With the availability of annotated genome sequences, it has become possible to reconstruct genome-scale biochemical reaction networks for microorganisms. The imposition of governing constraints on a reconstructed biochemical network leads to the definition of achievable cellular functions. In recent years, a substantial and growing toolbox of computational analysis methods has been developed to study the characteristics and capabilities of microorganisms using a constraint-based reconstruction and analysis (COBRA) approach. This approach provides a biochemically and genetically consistent framework for the generation of hypotheses and the testing of functions of microbial cells.", "author" : [ { "dropping-particle" : "", "family" : "Price", "given" : "Nathan D", "non-dropping-particle" : "", "parse-names" : false, "suffix" : "" }, { "dropping-particle" : "", "family" : "Reed", "given" : "Jennifer L", "non-dropping-particle" : "", "parse-names" : false, "suffix" : "" }, { "dropping-particle" : "", "family" : "Palsson", "given" : "Bernhard \u00d8", "non-dropping-particle" : "", "parse-names" : false, "suffix" : "" } ], "container-title" : "Nature Reviews Microbiology", "id" : "ITEM-1", "issue" : "11", "issued" : { "date-parts" : [ [ "2004" ] ] }, "page" : "886-897", "title" : "Genome-scale models of microbial cells: evaluating the consequences of constraints", "type" : "article-journal", "volume" : "2" }, "uris" : [ "http://www.mendeley.com/documents/?uuid=038817f1-13b7-42d1-8616-01bf96885165" ] } ], "mendeley" : { "formattedCitation" : "(Price &lt;i&gt;et al.&lt;/i&gt;, 2004)", "plainTextFormattedCitation" : "(Price et al., 2004)", "previouslyFormattedCitation" : "(Price &lt;i&gt;et al.&lt;/i&gt;, 2004)" }, "properties" : { "noteIndex" : 0 }, "schema" : "https://github.com/citation-style-language/schema/raw/master/csl-citation.json" }</w:instrText>
      </w:r>
      <w:r w:rsidR="003A0DA9">
        <w:fldChar w:fldCharType="separate"/>
      </w:r>
      <w:r w:rsidR="003A0DA9" w:rsidRPr="003A0DA9">
        <w:rPr>
          <w:noProof/>
        </w:rPr>
        <w:t xml:space="preserve">(Price </w:t>
      </w:r>
      <w:r w:rsidR="003A0DA9" w:rsidRPr="003A0DA9">
        <w:rPr>
          <w:i/>
          <w:noProof/>
        </w:rPr>
        <w:t>et al.</w:t>
      </w:r>
      <w:r w:rsidR="003A0DA9" w:rsidRPr="003A0DA9">
        <w:rPr>
          <w:noProof/>
        </w:rPr>
        <w:t>, 2004)</w:t>
      </w:r>
      <w:r w:rsidR="003A0DA9">
        <w:fldChar w:fldCharType="end"/>
      </w:r>
    </w:p>
    <w:p w:rsidR="00CF45DC" w:rsidRDefault="00CF45DC" w:rsidP="00AC649C">
      <w:pPr>
        <w:pStyle w:val="ListParagraph"/>
        <w:numPr>
          <w:ilvl w:val="0"/>
          <w:numId w:val="1"/>
        </w:numPr>
      </w:pPr>
      <w:r>
        <w:t>The linear programming step can be carried out by many different software packages; the COBRA Toolbox is one such, and is a freely available Matlab package.</w:t>
      </w:r>
    </w:p>
    <w:p w:rsidR="00163FFE" w:rsidRDefault="00163FFE" w:rsidP="00163FFE">
      <w:r>
        <w:t xml:space="preserve">It has been shown that the network topology is the major factor determining the accuracy of an FBA analysis, while the particular biomass optimization equation plays a lesser role </w:t>
      </w:r>
      <w:r>
        <w:fldChar w:fldCharType="begin" w:fldLock="1"/>
      </w:r>
      <w:r w:rsidR="009E446B">
        <w:instrText>ADDIN CSL_CITATION { "citationItems" : [ { "id" : "ITEM-1", "itemData" : { "DOI" : "10.1371/journal.pcbi.1000210", "ISBN" : "1553-7358 (Electronic)\\r1553-734X (Linking)", "ISSN" : "1553-7358 (Electronic) 1553-734X (Linking)", "PMID" : "18974823", "abstract" : "A cornerstone of biotechnology is the use of microorganisms for the efficient production of chemicals and the elimination of harmful waste. Pseudomonas putida is an archetype of such microbes due to its metabolic versatility, stress resistance, amenability to genetic modifications, and vast potential for environmental and industrial applications. To address both the elucidation of the metabolic wiring in P. putida and its uses in biocatalysis, in particular for the production of non-growth-related biochemicals, we developed and present here a genome-scale constraint-based model of the metabolism of P. putida KT2440. Network reconstruction and flux balance analysis (FBA) enabled definition of the structure of the metabolic network, identification of knowledge gaps, and pin-pointing of essential metabolic functions, facilitating thereby the refinement of gene annotations. FBA and flux variability analysis were used to analyze the properties, potential, and limits of the model. These analyses allowed identification, under various conditions, of key features of metabolism such as growth yield, resource distribution, network robustness, and gene essentiality. The model was validated with data from continuous cell cultures, high-throughput phenotyping data, (13)C-measurement of internal flux distributions, and specifically generated knock-out mutants. Auxotrophy was correctly predicted in 75% of the cases. These systematic analyses revealed that the metabolic network structure is the main factor determining the accuracy of predictions, whereas biomass composition has negligible influence. Finally, we drew on the model to devise metabolic engineering strategies to improve production of polyhydroxyalkanoates, a class of biotechnologically useful compounds whose synthesis is not coupled to cell survival. The solidly validated model yields valuable insights into genotype-phenotype relationships and provides a sound framework to explore this versatile bacterium and to capitalize on its vast biotechnological potential.", "author" : [ { "dropping-particle" : "", "family" : "Puchalka", "given" : "J", "non-dropping-particle" : "", "parse-names" : false, "suffix" : "" }, { "dropping-particle" : "", "family" : "Oberhardt", "given" : "M A", "non-dropping-particle" : "", "parse-names" : false, "suffix" : "" }, { "dropping-particle" : "", "family" : "Godinho", "given" : "M", "non-dropping-particle" : "", "parse-names" : false, "suffix" : "" }, { "dropping-particle" : "", "family" : "Bielecka", "given" : "A", "non-dropping-particle" : "", "parse-names" : false, "suffix" : "" }, { "dropping-particle" : "", "family" : "Regenhardt", "given" : "D", "non-dropping-particle" : "", "parse-names" : false, "suffix" : "" }, { "dropping-particle" : "", "family" : "Timmis", "given" : "K N", "non-dropping-particle" : "", "parse-names" : false, "suffix" : "" }, { "dropping-particle" : "", "family" : "Papin", "given" : "J A", "non-dropping-particle" : "", "parse-names" : false, "suffix" : "" }, { "dropping-particle" : "", "family" : "Martins dos Santos", "given" : "V A", "non-dropping-particle" : "", "parse-names" : false, "suffix" : "" } ], "container-title" : "PLoS Comput Biol", "id" : "ITEM-1", "issue" : "10", "issued" : { "date-parts" : [ [ "2008" ] ] }, "page" : "e1000210", "title" : "Genome-scale reconstruction and analysis of the Pseudomonas putida KT2440 metabolic network facilitates applications in biotechnology", "type" : "article-journal", "volume" : "4" }, "uris" : [ "http://www.mendeley.com/documents/?uuid=e7895307-8fa9-4583-a13b-428a1a7e9c07" ] } ], "mendeley" : { "formattedCitation" : "(Puchalka &lt;i&gt;et al.&lt;/i&gt;, 2008)", "plainTextFormattedCitation" : "(Puchalka et al., 2008)", "previouslyFormattedCitation" : "(Puchalka &lt;i&gt;et al.&lt;/i&gt;, 2008)" }, "properties" : { "noteIndex" : 0 }, "schema" : "https://github.com/citation-style-language/schema/raw/master/csl-citation.json" }</w:instrText>
      </w:r>
      <w:r>
        <w:fldChar w:fldCharType="separate"/>
      </w:r>
      <w:r w:rsidRPr="00163FFE">
        <w:rPr>
          <w:noProof/>
        </w:rPr>
        <w:t xml:space="preserve">(Puchalka </w:t>
      </w:r>
      <w:r w:rsidRPr="00163FFE">
        <w:rPr>
          <w:i/>
          <w:noProof/>
        </w:rPr>
        <w:t>et al.</w:t>
      </w:r>
      <w:r w:rsidRPr="00163FFE">
        <w:rPr>
          <w:noProof/>
        </w:rPr>
        <w:t>, 2008)</w:t>
      </w:r>
      <w:r>
        <w:fldChar w:fldCharType="end"/>
      </w:r>
      <w:r>
        <w:t>.</w:t>
      </w:r>
    </w:p>
    <w:p w:rsidR="00CF45DC" w:rsidRDefault="00CF45DC" w:rsidP="00CF45DC">
      <w:r>
        <w:t>Many varied uses of FBA.</w:t>
      </w:r>
    </w:p>
    <w:p w:rsidR="00CF45DC" w:rsidRDefault="00497D65" w:rsidP="00CF45DC">
      <w:pPr>
        <w:pStyle w:val="ListParagraph"/>
        <w:numPr>
          <w:ilvl w:val="0"/>
          <w:numId w:val="1"/>
        </w:numPr>
      </w:pPr>
      <w:r>
        <w:t xml:space="preserve">To model aerobic growth of </w:t>
      </w:r>
      <w:r>
        <w:rPr>
          <w:i/>
        </w:rPr>
        <w:t>E. coli</w:t>
      </w:r>
      <w:r>
        <w:t>, set oxygen uptake to unrealistically high level, and glucose uptake to something realistic (ex 18.5 mmol gDW</w:t>
      </w:r>
      <w:r w:rsidRPr="00497D65">
        <w:rPr>
          <w:vertAlign w:val="superscript"/>
        </w:rPr>
        <w:t>-1</w:t>
      </w:r>
      <w:r>
        <w:t>hr</w:t>
      </w:r>
      <w:r w:rsidRPr="00497D65">
        <w:rPr>
          <w:vertAlign w:val="superscript"/>
        </w:rPr>
        <w:t>-1</w:t>
      </w:r>
      <w:r>
        <w:t>). This yielded a growth rate of 1.65 /hr.</w:t>
      </w:r>
    </w:p>
    <w:p w:rsidR="00497D65" w:rsidRDefault="00497D65" w:rsidP="00CF45DC">
      <w:pPr>
        <w:pStyle w:val="ListParagraph"/>
        <w:numPr>
          <w:ilvl w:val="0"/>
          <w:numId w:val="1"/>
        </w:numPr>
      </w:pPr>
      <w:r>
        <w:t>To compare to anaerobic growth, just set oxygen uptake to 0 and rerun. Yields rate of 0.47 /hr.</w:t>
      </w:r>
    </w:p>
    <w:p w:rsidR="0098285F" w:rsidRDefault="0098285F" w:rsidP="00CF45DC">
      <w:pPr>
        <w:pStyle w:val="ListParagraph"/>
        <w:numPr>
          <w:ilvl w:val="0"/>
          <w:numId w:val="1"/>
        </w:numPr>
      </w:pPr>
      <w:r>
        <w:t>Can model the effects of a gene deletion by setting the flux of every reaction associated with that gene to 0. Commonly, a gene is considered essential if the resulting flux is &lt;50% of the wild-type.</w:t>
      </w:r>
    </w:p>
    <w:p w:rsidR="00497D65" w:rsidRDefault="00497D65" w:rsidP="00497D65">
      <w:r>
        <w:t>Flux variability analysis is a method to min/max every reaction in a network.</w:t>
      </w:r>
    </w:p>
    <w:p w:rsidR="00497D65" w:rsidRDefault="00497D65" w:rsidP="00497D65">
      <w:pPr>
        <w:pStyle w:val="ListParagraph"/>
        <w:numPr>
          <w:ilvl w:val="0"/>
          <w:numId w:val="1"/>
        </w:numPr>
      </w:pPr>
      <w:r>
        <w:t xml:space="preserve">If there are multiple paths for the network to achieve an optimum, this can identify them. </w:t>
      </w:r>
    </w:p>
    <w:p w:rsidR="00AF394B" w:rsidRDefault="00AF394B" w:rsidP="00497D65">
      <w:pPr>
        <w:pStyle w:val="ListParagraph"/>
        <w:numPr>
          <w:ilvl w:val="0"/>
          <w:numId w:val="1"/>
        </w:numPr>
      </w:pPr>
      <w:r>
        <w:t>Identifies reactions with different min and max fluxes under perturbation; analysis of where these are located on the metabolic map will indicate an alternate pathway.</w:t>
      </w:r>
    </w:p>
    <w:p w:rsidR="00AF394B" w:rsidRDefault="00AF394B" w:rsidP="00AF394B">
      <w:r>
        <w:t>Robustness analysis varies the flux through one reaction, and the impact on the objective function is measured.</w:t>
      </w:r>
    </w:p>
    <w:p w:rsidR="00AD03FB" w:rsidRDefault="00530462" w:rsidP="00AD03FB">
      <w:pPr>
        <w:pStyle w:val="ListParagraph"/>
        <w:numPr>
          <w:ilvl w:val="0"/>
          <w:numId w:val="1"/>
        </w:numPr>
      </w:pPr>
      <w:r>
        <w:t>Ex is to set O2 uptake to a realistic number, then vary glucose uptake from 0 through -20 mmol /gDW /hr. Can then plot growth rate (which is just the f value I believe).</w:t>
      </w:r>
    </w:p>
    <w:p w:rsidR="00530462" w:rsidRDefault="004652A0" w:rsidP="00AD03FB">
      <w:pPr>
        <w:pStyle w:val="ListParagraph"/>
        <w:numPr>
          <w:ilvl w:val="0"/>
          <w:numId w:val="1"/>
        </w:numPr>
      </w:pPr>
      <w:r>
        <w:t>Shows how growth increases rapidly until an inflection point where oxygen uptake becomes the limiting factor; excess glucose is instead shuttled through anaerobic pathways.</w:t>
      </w:r>
    </w:p>
    <w:p w:rsidR="00735F98" w:rsidRDefault="00735F98" w:rsidP="00AF394B">
      <w:r>
        <w:t xml:space="preserve">Objective functions work well for single cells, but the </w:t>
      </w:r>
      <w:r>
        <w:rPr>
          <w:i/>
        </w:rPr>
        <w:t>a priori</w:t>
      </w:r>
      <w:r>
        <w:t xml:space="preserve"> specification introduces bias, which is a problem in multicellular organisms </w:t>
      </w:r>
      <w:r w:rsidR="00AF12C3">
        <w:fldChar w:fldCharType="begin" w:fldLock="1"/>
      </w:r>
      <w:r w:rsidR="00AF12C3">
        <w:instrText>ADDIN CSL_CITATION { "citationItems" : [ { "id" : "ITEM-1", "itemData" : { "DOI" : "10.1101/gr.202648.115", "ISSN" : "15495469", "PMID" : "27197218", "abstract" : "Understanding the control of large-scale metabolic networks is central to biology and medicine. However, existing approaches either require specifying a cellular objective or can only be used for small networks. We introduce new coupling types describing the relations between reaction activities, and develop an efficient computational framework, which does not require any cellular objective for systematic studies of large-scale metabolism. We identify the driver reactions facilitating control of 23 metabolic networks from all kingdoms of life. We find that unicellular organisms require smaller degree of control than multicellular organisms. Driver reactions are under complex cellular regulation in Escherichia coli, indicating their preeminent role in facilitating cellular control. In human cancer cells driver reactions play pivotal roles in malignancy and represent potential therapeutic targets. The developed framework helps us gain insights into regulatory principles of diseases and facilitates design of engineering strategies at the interface of gene regulation, signaling, and metabolism.", "author" : [ { "dropping-particle" : "", "family" : "Basler", "given" : "Georg", "non-dropping-particle" : "", "parse-names" : false, "suffix" : "" }, { "dropping-particle" : "", "family" : "Nikoloski", "given" : "Zoran", "non-dropping-particle" : "", "parse-names" : false, "suffix" : "" }, { "dropping-particle" : "", "family" : "Larhlimi", "given" : "Abdelhalim", "non-dropping-particle" : "", "parse-names" : false, "suffix" : "" }, { "dropping-particle" : "", "family" : "Barab??si", "given" : "Albert L??szl??", "non-dropping-particle" : "", "parse-names" : false, "suffix" : "" }, { "dropping-particle" : "", "family" : "Liu", "given" : "Yang Yu", "non-dropping-particle" : "", "parse-names" : false, "suffix" : "" } ], "container-title" : "Genome Research", "id" : "ITEM-1", "issue" : "7", "issued" : { "date-parts" : [ [ "2016" ] ] }, "page" : "956-968", "title" : "Control of fluxes in metabolic networks", "type" : "article-journal", "volume" : "26" }, "uris" : [ "http://www.mendeley.com/documents/?uuid=8b3eeb91-50df-45af-82ca-b9d971c48192" ] } ], "mendeley" : { "formattedCitation" : "(Basler &lt;i&gt;et al.&lt;/i&gt;, 2016)", "plainTextFormattedCitation" : "(Basler et al., 2016)", "previouslyFormattedCitation" : "(Basler &lt;i&gt;et al.&lt;/i&gt;, 2016)" }, "properties" : { "noteIndex" : 0 }, "schema" : "https://github.com/citation-style-language/schema/raw/master/csl-citation.json" }</w:instrText>
      </w:r>
      <w:r w:rsidR="00AF12C3">
        <w:fldChar w:fldCharType="separate"/>
      </w:r>
      <w:r w:rsidR="00AF12C3" w:rsidRPr="00AF12C3">
        <w:rPr>
          <w:noProof/>
        </w:rPr>
        <w:t xml:space="preserve">(Basler </w:t>
      </w:r>
      <w:r w:rsidR="00AF12C3" w:rsidRPr="00AF12C3">
        <w:rPr>
          <w:i/>
          <w:noProof/>
        </w:rPr>
        <w:t>et al.</w:t>
      </w:r>
      <w:r w:rsidR="00AF12C3" w:rsidRPr="00AF12C3">
        <w:rPr>
          <w:noProof/>
        </w:rPr>
        <w:t>, 2016)</w:t>
      </w:r>
      <w:r w:rsidR="00AF12C3">
        <w:fldChar w:fldCharType="end"/>
      </w:r>
      <w:r>
        <w:t>.</w:t>
      </w:r>
    </w:p>
    <w:p w:rsidR="00800773" w:rsidRDefault="00800773" w:rsidP="00800773">
      <w:r>
        <w:t>The “shadow price” tells us how the governing constraints on the objective function change, and how the base optimal LP changes</w:t>
      </w:r>
      <w:r w:rsidR="00DF006A">
        <w:t xml:space="preserve"> </w:t>
      </w:r>
      <w:r w:rsidR="00DF006A">
        <w:fldChar w:fldCharType="begin" w:fldLock="1"/>
      </w:r>
      <w:r w:rsidR="00A43EE9">
        <w:instrText>ADDIN CSL_CITATION { "citationItems" : [ { "id" : "ITEM-1", "itemData" : { "DOI" : "10.1371/journal.pcbi.1003195", "ISBN" : "1553-7358 (Electronic)\\r1553-734X (Linking)", "ISSN" : "1553734X", "PMID" : "24009492", "abstract" : "Stoichiometric models of metabolism, such as flux balance analysis (FBA), are classically applied to predicting steady state rates - or fluxes - of metabolic reactions in genome-scale metabolic networks. Here we revisit the central assumption of FBA, i.e. that intracellular metabolites are at steady state, and show that deviations from flux balance (i.e. flux imbalances) are informative of some features of in vivo metabolite concentrations. Mathematically, the sensitivity of FBA to these flux imbalances is captured by a native feature of linear optimization, the dual problem, and its corresponding variables, known as shadow prices. First, using recently published data on chemostat growth of Saccharomyces cerevisae under different nutrient limitations, we show that shadow prices anticorrelate with experimentally measured degrees of growth limitation of intracellular metabolites. We next hypothesize that metabolites which are limiting for growth (and thus have very negative shadow price) cannot vary dramatically in an uncontrolled way, and must respond rapidly to perturbations. Using a collection of published datasets monitoring the time-dependent metabolomic response of Escherichia coli to carbon and nitrogen perturbations, we test this hypothesis and find that metabolites with negative shadow price indeed show lower temporal variation following a perturbation than metabolites with zero shadow price. Finally, we illustrate the broader applicability of flux imbalance analysis to other constraint-based methods. In particular, we explore the biological significance of shadow prices in a constraint-based method for integrating gene expression data with a stoichiometric model. In this case, shadow prices point to metabolites that should rise or drop in concentration in order to increase consistency between flux predictions and gene expression data. In general, these results suggest that the sensitivity of metabolic optima to violations of the steady state constraints carries biologically significant information on the processes that control intracellular metabolites in the cell.", "author" : [ { "dropping-particle" : "", "family" : "Reznik", "given" : "Ed", "non-dropping-particle" : "", "parse-names" : false, "suffix" : "" }, { "dropping-particle" : "", "family" : "Mehta", "given" : "Pankaj", "non-dropping-particle" : "", "parse-names" : false, "suffix" : "" }, { "dropping-particle" : "", "family" : "Segr??", "given" : "Daniel", "non-dropping-particle" : "", "parse-names" : false, "suffix" : "" } ], "container-title" : "PLoS Computational Biology", "id" : "ITEM-1", "issue" : "8", "issued" : { "date-parts" : [ [ "2013" ] ] }, "title" : "Flux Imbalance Analysis and the Sensitivity of Cellular Growth to Changes in Metabolite Pools", "type" : "article-journal", "volume" : "9" }, "uris" : [ "http://www.mendeley.com/documents/?uuid=46694073-1313-42d9-934a-748a86098fd4" ] } ], "mendeley" : { "formattedCitation" : "(Reznik &lt;i&gt;et al.&lt;/i&gt;, 2013)", "plainTextFormattedCitation" : "(Reznik et al., 2013)", "previouslyFormattedCitation" : "(Reznik &lt;i&gt;et al.&lt;/i&gt;, 2013)" }, "properties" : { "noteIndex" : 0 }, "schema" : "https://github.com/citation-style-language/schema/raw/master/csl-citation.json" }</w:instrText>
      </w:r>
      <w:r w:rsidR="00DF006A">
        <w:fldChar w:fldCharType="separate"/>
      </w:r>
      <w:r w:rsidR="00DF006A" w:rsidRPr="00DF006A">
        <w:rPr>
          <w:noProof/>
        </w:rPr>
        <w:t xml:space="preserve">(Reznik </w:t>
      </w:r>
      <w:r w:rsidR="00DF006A" w:rsidRPr="00DF006A">
        <w:rPr>
          <w:i/>
          <w:noProof/>
        </w:rPr>
        <w:t>et al.</w:t>
      </w:r>
      <w:r w:rsidR="00DF006A" w:rsidRPr="00DF006A">
        <w:rPr>
          <w:noProof/>
        </w:rPr>
        <w:t>, 2013)</w:t>
      </w:r>
      <w:r w:rsidR="00DF006A">
        <w:fldChar w:fldCharType="end"/>
      </w:r>
      <w:r>
        <w:t>.</w:t>
      </w:r>
    </w:p>
    <w:p w:rsidR="00800773" w:rsidRDefault="00800773" w:rsidP="00800773">
      <w:pPr>
        <w:pStyle w:val="ListParagraph"/>
        <w:numPr>
          <w:ilvl w:val="0"/>
          <w:numId w:val="1"/>
        </w:numPr>
      </w:pPr>
      <w:r>
        <w:t>A negative shadow price (SP) indicates the metabolite has value to the metabolic network. These may be constraining factors for the current model, in that if more was available, more flux would be produced.</w:t>
      </w:r>
      <w:r w:rsidR="00836184">
        <w:t xml:space="preserve"> A reasonable threshold to consider an SP negative might be SP &lt; -0.1.</w:t>
      </w:r>
    </w:p>
    <w:p w:rsidR="00800773" w:rsidRDefault="00800773" w:rsidP="00800773">
      <w:pPr>
        <w:pStyle w:val="ListParagraph"/>
        <w:numPr>
          <w:ilvl w:val="0"/>
          <w:numId w:val="1"/>
        </w:numPr>
      </w:pPr>
      <w:r>
        <w:t>A positive SP indicates that the objective function would improve if less of this was made. It may indicate metabolites that are secreted.</w:t>
      </w:r>
    </w:p>
    <w:p w:rsidR="00800773" w:rsidRDefault="00800773" w:rsidP="00800773">
      <w:pPr>
        <w:pStyle w:val="ListParagraph"/>
        <w:numPr>
          <w:ilvl w:val="0"/>
          <w:numId w:val="1"/>
        </w:numPr>
      </w:pPr>
      <w:r>
        <w:t>An SP of zero indicates it has no value to the cell. May be secreted?</w:t>
      </w:r>
    </w:p>
    <w:p w:rsidR="00956270" w:rsidRDefault="00956270" w:rsidP="00800773">
      <w:pPr>
        <w:pStyle w:val="ListParagraph"/>
        <w:numPr>
          <w:ilvl w:val="0"/>
          <w:numId w:val="1"/>
        </w:numPr>
      </w:pPr>
      <w:r>
        <w:t xml:space="preserve">There is </w:t>
      </w:r>
      <w:r w:rsidR="00842F0C">
        <w:t>little</w:t>
      </w:r>
      <w:r>
        <w:t xml:space="preserve"> </w:t>
      </w:r>
      <w:r w:rsidR="00842F0C">
        <w:t>to suggest</w:t>
      </w:r>
      <w:r>
        <w:t xml:space="preserve"> that the correlation between shadow price and the effect on growth is linear.</w:t>
      </w:r>
    </w:p>
    <w:p w:rsidR="00842F0C" w:rsidRDefault="00842F0C" w:rsidP="00800773">
      <w:pPr>
        <w:pStyle w:val="ListParagraph"/>
        <w:numPr>
          <w:ilvl w:val="0"/>
          <w:numId w:val="1"/>
        </w:numPr>
      </w:pPr>
      <w:r>
        <w:t xml:space="preserve">The Reznik study found the largest SPs when yeast was under phosphate limitation. </w:t>
      </w:r>
    </w:p>
    <w:p w:rsidR="00836184" w:rsidRDefault="00836184" w:rsidP="00800773">
      <w:pPr>
        <w:pStyle w:val="ListParagraph"/>
        <w:numPr>
          <w:ilvl w:val="0"/>
          <w:numId w:val="1"/>
        </w:numPr>
      </w:pPr>
      <w:r>
        <w:t xml:space="preserve">There are exceptions; mtbs with very negative SPs that exhibit high temporal variation in response to perturbation (growth limiting mtbs should have low variation). </w:t>
      </w:r>
    </w:p>
    <w:p w:rsidR="00836184" w:rsidRDefault="00836184" w:rsidP="00836184">
      <w:pPr>
        <w:pStyle w:val="ListParagraph"/>
        <w:numPr>
          <w:ilvl w:val="1"/>
          <w:numId w:val="1"/>
        </w:numPr>
      </w:pPr>
      <w:r>
        <w:t>One was fructose-1-6-P2. However this resulted in a buildup of PEP in the cell, which allows for fast uptake of glucose when it was again added to the media.</w:t>
      </w:r>
    </w:p>
    <w:p w:rsidR="00843DC2" w:rsidRDefault="00843DC2" w:rsidP="00843DC2">
      <w:pPr>
        <w:pStyle w:val="ListParagraph"/>
        <w:numPr>
          <w:ilvl w:val="0"/>
          <w:numId w:val="1"/>
        </w:numPr>
      </w:pPr>
      <w:r>
        <w:t xml:space="preserve">Mtbs with large negative SPs are usually compounds that the cell needs to control strictly. This is often done by allosteric or post-translational modifications, as they are very fast. An idea for </w:t>
      </w:r>
      <w:r>
        <w:lastRenderedPageBreak/>
        <w:t>drug target prioritization is to target the mechanisms a cell uses to stabilize some mtb with a highly negative SP.</w:t>
      </w:r>
    </w:p>
    <w:p w:rsidR="00836184" w:rsidRDefault="00836184" w:rsidP="00836184">
      <w:pPr>
        <w:pStyle w:val="ListParagraph"/>
        <w:numPr>
          <w:ilvl w:val="0"/>
          <w:numId w:val="1"/>
        </w:numPr>
      </w:pPr>
      <w:r>
        <w:t>So if you’re using a model, and modifying available nutrients, a drop in SP for some metabolite indicates that it has become more important to the cell under those conditions.</w:t>
      </w:r>
    </w:p>
    <w:p w:rsidR="00843DC2" w:rsidRDefault="00843DC2" w:rsidP="00836184">
      <w:pPr>
        <w:pStyle w:val="ListParagraph"/>
        <w:numPr>
          <w:ilvl w:val="0"/>
          <w:numId w:val="1"/>
        </w:numPr>
      </w:pPr>
      <w:r>
        <w:t>SPs are defined only over a certain range, as dictated by the structure of the feasible solution space. These ranges capture how large a perturbation can e before the genome-scale optimal flux distribution changes sharply (by moving to a new optimum distinct from the old).</w:t>
      </w:r>
    </w:p>
    <w:p w:rsidR="00841A5F" w:rsidRDefault="00617FA2" w:rsidP="00836184">
      <w:pPr>
        <w:pStyle w:val="ListParagraph"/>
        <w:numPr>
          <w:ilvl w:val="0"/>
          <w:numId w:val="1"/>
        </w:numPr>
      </w:pPr>
      <w:r>
        <w:t>Sometimes a mtb</w:t>
      </w:r>
      <w:r w:rsidR="00841A5F">
        <w:t xml:space="preserve"> with highly negative SP</w:t>
      </w:r>
      <w:r>
        <w:t>, if you allow more into the network, will improve the objective fxn. However, other times it does not. This may be due to dependencies; where the objective function really would improve if we would allow more of some other mtb in. The SPs likely wouldn’t be aware of these dependencies, as they are calculated in the dual problem, and the dual only uses the S matrix, the rxn constraints, and the objective function from the primal. The vector of optimal fluxes itself does not appear.</w:t>
      </w:r>
    </w:p>
    <w:p w:rsidR="001E205B" w:rsidRDefault="00C33621" w:rsidP="00C33621">
      <w:r>
        <w:t>Futile cycles are sets of reactions that result in thermodynamically infeasible fluxes and are a common problem in reconstructions with many transport reactions</w:t>
      </w:r>
      <w:r w:rsidR="001E205B">
        <w:t xml:space="preserve">. </w:t>
      </w:r>
    </w:p>
    <w:p w:rsidR="00C33621" w:rsidRDefault="001E205B" w:rsidP="001E205B">
      <w:pPr>
        <w:pStyle w:val="ListParagraph"/>
        <w:numPr>
          <w:ilvl w:val="0"/>
          <w:numId w:val="1"/>
        </w:numPr>
      </w:pPr>
      <w:r>
        <w:t xml:space="preserve">In </w:t>
      </w:r>
      <w:r>
        <w:fldChar w:fldCharType="begin" w:fldLock="1"/>
      </w:r>
      <w:r w:rsidR="00A15A20">
        <w:instrText>ADDIN CSL_CITATION { "citationItems" : [ { "id" : "ITEM-1", "itemData" : { "DOI" : "10.1038/nbt.3703", "ISSN" : "1546-1696 (Electronic)", "PMID" : "27893703", "abstract" : "Genome-scale metabolic models derived from human gut metagenomic data can be used as a framework to elucidate how microbial communities modulate human metabolism and health. We present AGORA (assembly of gut organisms through reconstruction and analysis), a resource of genome-scale metabolic reconstructions semi-automatically generated for 773 human gut bacteria. Using this resource, we identified a defined growth medium for Bacteroides caccae ATCC 34185. We also showed that interactions among modeled species depend on both the metabolic potential of each species and the nutrients available. AGORA reconstructions can integrate either metagenomic or 16S rRNA sequencing data sets to infer the metabolic diversity of microbial communities. AGORA reconstructions could provide a starting point for the generation of high-quality, manually curated metabolic reconstructions. AGORA is fully compatible with Recon 2, a comprehensive metabolic reconstruction of human metabolism, which will facilitate studies of host-microbiome interactions.", "author" : [ { "dropping-particle" : "", "family" : "Magnusdottir", "given" : "Stefania", "non-dropping-particle" : "", "parse-names" : false, "suffix" : "" }, { "dropping-particle" : "", "family" : "Heinken", "given" : "Almut", "non-dropping-particle" : "", "parse-names" : false, "suffix" : "" }, { "dropping-particle" : "", "family" : "Kutt", "given" : "Laura", "non-dropping-particle" : "", "parse-names" : false, "suffix" : "" }, { "dropping-particle" : "", "family" : "Ravcheev", "given" : "Dmitry A", "non-dropping-particle" : "", "parse-names" : false, "suffix" : "" }, { "dropping-particle" : "", "family" : "Bauer", "given" : "Eugen", "non-dropping-particle" : "", "parse-names" : false, "suffix" : "" }, { "dropping-particle" : "", "family" : "Noronha", "given" : "Alberto", "non-dropping-particle" : "", "parse-names" : false, "suffix" : "" }, { "dropping-particle" : "", "family" : "Greenhalgh", "given" : "Kacy", "non-dropping-particle" : "", "parse-names" : false, "suffix" : "" }, { "dropping-particle" : "", "family" : "Jager", "given" : "Christian", "non-dropping-particle" : "", "parse-names" : false, "suffix" : "" }, { "dropping-particle" : "", "family" : "Baginska", "given" : "Joanna", "non-dropping-particle" : "", "parse-names" : false, "suffix" : "" }, { "dropping-particle" : "", "family" : "Wilmes", "given" : "Paul", "non-dropping-particle" : "", "parse-names" : false, "suffix" : "" }, { "dropping-particle" : "", "family" : "Fleming", "given" : "Ronan M T", "non-dropping-particle" : "", "parse-names" : false, "suffix" : "" }, { "dropping-particle" : "", "family" : "Thiele", "given" : "Ines", "non-dropping-particle" : "", "parse-names" : false, "suffix" : "" } ], "container-title" : "Nature biotechnology", "id" : "ITEM-1", "issue" : "1", "issued" : { "date-parts" : [ [ "2017", "1" ] ] }, "language" : "eng", "page" : "81-89", "publisher-place" : "United States", "title" : "Generation of genome-scale metabolic reconstructions for 773 members of the human gut microbiota.", "type" : "article-journal", "volume" : "35" }, "uris" : [ "http://www.mendeley.com/documents/?uuid=cefc8a91-b39f-4a4c-a4f9-cde4a7737fb1" ] } ], "mendeley" : { "formattedCitation" : "(Magnusdottir &lt;i&gt;et al.&lt;/i&gt;, 2017)", "plainTextFormattedCitation" : "(Magnusdottir et al., 2017)", "previouslyFormattedCitation" : "(Magnusdottir &lt;i&gt;et al.&lt;/i&gt;, 2017)" }, "properties" : { "noteIndex" : 0 }, "schema" : "https://github.com/citation-style-language/schema/raw/master/csl-citation.json" }</w:instrText>
      </w:r>
      <w:r>
        <w:fldChar w:fldCharType="separate"/>
      </w:r>
      <w:r w:rsidRPr="001E205B">
        <w:rPr>
          <w:noProof/>
        </w:rPr>
        <w:t xml:space="preserve">(Magnusdottir </w:t>
      </w:r>
      <w:r w:rsidRPr="001E205B">
        <w:rPr>
          <w:i/>
          <w:noProof/>
        </w:rPr>
        <w:t>et al.</w:t>
      </w:r>
      <w:r w:rsidRPr="001E205B">
        <w:rPr>
          <w:noProof/>
        </w:rPr>
        <w:t>, 2017)</w:t>
      </w:r>
      <w:r>
        <w:fldChar w:fldCharType="end"/>
      </w:r>
      <w:r>
        <w:t xml:space="preserve"> they found unfeasibly high export flux of protons out of the cytosol, which resulted in a biologically implausibly high ATP production (average of 933 in the presence and absence of O2). </w:t>
      </w:r>
    </w:p>
    <w:p w:rsidR="001E205B" w:rsidRDefault="001E205B" w:rsidP="001E205B">
      <w:pPr>
        <w:pStyle w:val="ListParagraph"/>
        <w:numPr>
          <w:ilvl w:val="1"/>
          <w:numId w:val="1"/>
        </w:numPr>
      </w:pPr>
      <w:r>
        <w:t>They identified futile cycles by individually constraining each reaction to 0 flux, and computing the flux through the ATP demand reaction.</w:t>
      </w:r>
    </w:p>
    <w:p w:rsidR="001E205B" w:rsidRDefault="001E205B" w:rsidP="001E205B">
      <w:pPr>
        <w:pStyle w:val="ListParagraph"/>
        <w:numPr>
          <w:ilvl w:val="1"/>
          <w:numId w:val="1"/>
        </w:numPr>
      </w:pPr>
      <w:r>
        <w:t>If such a “deleted” reaction lowered the ATP demand flux, it was manually inspected and replaced by an appropriate irreversible react</w:t>
      </w:r>
      <w:r w:rsidR="004B5EEB">
        <w:t xml:space="preserve">ion. If this change prevented biomass production it was reverted, and they moved on to the next reaction. </w:t>
      </w:r>
    </w:p>
    <w:p w:rsidR="004B5EEB" w:rsidRDefault="004B5EEB" w:rsidP="001E205B">
      <w:pPr>
        <w:pStyle w:val="ListParagraph"/>
        <w:numPr>
          <w:ilvl w:val="1"/>
          <w:numId w:val="1"/>
        </w:numPr>
      </w:pPr>
      <w:r>
        <w:t>After curation ATP production was down to 19 and 38 flux in the presence / absence of O2.</w:t>
      </w:r>
    </w:p>
    <w:p w:rsidR="00617FA2" w:rsidRDefault="00617FA2" w:rsidP="00617FA2"/>
    <w:p w:rsidR="00CE3828" w:rsidRDefault="00CE3828" w:rsidP="00CE3828">
      <w:pPr>
        <w:pStyle w:val="Heading2"/>
      </w:pPr>
      <w:r>
        <w:t>Objective functions</w:t>
      </w:r>
    </w:p>
    <w:p w:rsidR="00CE3828" w:rsidRDefault="00952EFC" w:rsidP="00617FA2">
      <w:r>
        <w:fldChar w:fldCharType="begin" w:fldLock="1"/>
      </w:r>
      <w:r w:rsidR="004E2B80">
        <w:instrText>ADDIN CSL_CITATION { "citationItems" : [ { "id" : "ITEM-1", "itemData" : { "DOI" : "10.1126/science.1216882", "ISBN" : "0036-8075", "ISSN" : "1095-9203", "PMID" : "22556256", "abstract" : "Although the network topology of metabolism is well known, understanding the principles that govern the distribution of fluxes through metabolism lags behind. Experimentally, these fluxes can be measured by (13)C-flux analysis, and there has been a long-standing interest in understanding this functional network operation from an evolutionary perspective. On the basis of (13)C-determined fluxes from nine bacteria and multi-objective optimization theory, we show that metabolism operates close to the Pareto-optimal surface of a three-dimensional space defined by competing objectives. Consistent with flux data from evolved Escherichia coli, we propose that flux states evolve under the trade-off between two principles: optimality under one given condition and minimal adjustment between conditions. These principles form the forces by which evolution shapes metabolic fluxes in microorganisms' environmental context.", "author" : [ { "dropping-particle" : "", "family" : "Schuetz", "given" : "Robert", "non-dropping-particle" : "", "parse-names" : false, "suffix" : "" }, { "dropping-particle" : "", "family" : "Zamboni", "given" : "Nicola", "non-dropping-particle" : "", "parse-names" : false, "suffix" : "" }, { "dropping-particle" : "", "family" : "Zampieri", "given" : "Mattia", "non-dropping-particle" : "", "parse-names" : false, "suffix" : "" }, { "dropping-particle" : "", "family" : "Heinemann", "given" : "Matthias", "non-dropping-particle" : "", "parse-names" : false, "suffix" : "" }, { "dropping-particle" : "", "family" : "Sauer", "given" : "Uwe", "non-dropping-particle" : "", "parse-names" : false, "suffix" : "" } ], "container-title" : "Science", "id" : "ITEM-1", "issue" : "6081", "issued" : { "date-parts" : [ [ "2012" ] ] }, "page" : "601-4", "title" : "Multidimensional optimality of microbial metabolism.", "type" : "article-journal", "volume" : "336" }, "uris" : [ "http://www.mendeley.com/documents/?uuid=801af01d-ee10-4396-9b75-825044843778" ] } ], "mendeley" : { "formattedCitation" : "(Schuetz &lt;i&gt;et al.&lt;/i&gt;, 2012)", "plainTextFormattedCitation" : "(Schuetz et al., 2012)", "previouslyFormattedCitation" : "(Schuetz &lt;i&gt;et al.&lt;/i&gt;, 2012)" }, "properties" : { "noteIndex" : 0 }, "schema" : "https://github.com/citation-style-language/schema/raw/master/csl-citation.json" }</w:instrText>
      </w:r>
      <w:r>
        <w:fldChar w:fldCharType="separate"/>
      </w:r>
      <w:r w:rsidRPr="00952EFC">
        <w:rPr>
          <w:noProof/>
        </w:rPr>
        <w:t xml:space="preserve">(Schuetz </w:t>
      </w:r>
      <w:r w:rsidRPr="00952EFC">
        <w:rPr>
          <w:i/>
          <w:noProof/>
        </w:rPr>
        <w:t>et al.</w:t>
      </w:r>
      <w:r w:rsidRPr="00952EFC">
        <w:rPr>
          <w:noProof/>
        </w:rPr>
        <w:t>, 2012)</w:t>
      </w:r>
      <w:r>
        <w:fldChar w:fldCharType="end"/>
      </w:r>
      <w:r>
        <w:t xml:space="preserve"> compared </w:t>
      </w:r>
      <w:r>
        <w:rPr>
          <w:i/>
        </w:rPr>
        <w:t>E. coli</w:t>
      </w:r>
      <w:r>
        <w:t xml:space="preserve"> FBA results based on many different optimization functions with </w:t>
      </w:r>
      <w:r>
        <w:rPr>
          <w:i/>
        </w:rPr>
        <w:t>in vivo</w:t>
      </w:r>
      <w:r>
        <w:t xml:space="preserve"> data. </w:t>
      </w:r>
    </w:p>
    <w:p w:rsidR="00952EFC" w:rsidRDefault="00952EFC" w:rsidP="00952EFC">
      <w:pPr>
        <w:pStyle w:val="ListParagraph"/>
        <w:numPr>
          <w:ilvl w:val="0"/>
          <w:numId w:val="1"/>
        </w:numPr>
      </w:pPr>
      <w:r>
        <w:t>Found that maximizing biomass, maximizing ATP, and minimizing total summed fluxes most closely matched experimental data.</w:t>
      </w:r>
    </w:p>
    <w:p w:rsidR="004E2B80" w:rsidRPr="00952EFC" w:rsidRDefault="004E2B80" w:rsidP="004E2B80">
      <w:r>
        <w:fldChar w:fldCharType="begin" w:fldLock="1"/>
      </w:r>
      <w:r>
        <w:instrText>ADDIN CSL_CITATION { "citationItems" : [ { "id" : "ITEM-1", "itemData" : { "DOI" : "10.1038/msb4100162", "ISBN" : "1744-4292 (Electronic)", "ISSN" : "1744-4292", "PMID" : "17625511", "abstract" : "To which extent can optimality principles describe the operation of metabolic networks? By explicitly considering experimental errors and in silico alternate optima in flux balance analysis, we systematically evaluate the capacity of 11 objective functions combined with eight adjustable constraints to predict (13)C-determined in vivo fluxes in Escherichia coli under six environmental conditions. While no single objective describes the flux states under all conditions, we identified two sets of objectives for biologically meaningful predictions without the need for further, potentially artificial constraints. Unlimited growth on glucose in oxygen or nitrate respiring batch cultures is best described by nonlinear maximization of the ATP yield per flux unit. Under nutrient scarcity in continuous cultures, in contrast, linear maximization of the overall ATP or biomass yields achieved the highest predictive accuracy. Since these particular objectives predict the system behavior without preconditioning of the network structure, the identified optimality principles reflect, to some extent, the evolutionary selection of metabolic network regulation that realizes the various flux states.", "author" : [ { "dropping-particle" : "", "family" : "Schuetz", "given" : "Robert", "non-dropping-particle" : "", "parse-names" : false, "suffix" : "" }, { "dropping-particle" : "", "family" : "Kuepfer", "given" : "Lars", "non-dropping-particle" : "", "parse-names" : false, "suffix" : "" }, { "dropping-particle" : "", "family" : "Sauer", "given" : "Uwe", "non-dropping-particle" : "", "parse-names" : false, "suffix" : "" } ], "container-title" : "Molecular systems biology", "id" : "ITEM-1", "issued" : { "date-parts" : [ [ "2007" ] ] }, "page" : "119", "title" : "Systematic evaluation of objective functions for predicting intracellular fluxes in Escherichia coli.", "type" : "article-journal", "volume" : "3" }, "uris" : [ "http://www.mendeley.com/documents/?uuid=70a1d8c7-008f-4b45-a214-980df6576eb8" ] } ], "mendeley" : { "formattedCitation" : "(Schuetz &lt;i&gt;et al.&lt;/i&gt;, 2007)", "plainTextFormattedCitation" : "(Schuetz et al., 2007)" }, "properties" : { "noteIndex" : 0 }, "schema" : "https://github.com/citation-style-language/schema/raw/master/csl-citation.json" }</w:instrText>
      </w:r>
      <w:r>
        <w:fldChar w:fldCharType="separate"/>
      </w:r>
      <w:r w:rsidRPr="004E2B80">
        <w:rPr>
          <w:noProof/>
        </w:rPr>
        <w:t xml:space="preserve">(Schuetz </w:t>
      </w:r>
      <w:r w:rsidRPr="004E2B80">
        <w:rPr>
          <w:i/>
          <w:noProof/>
        </w:rPr>
        <w:t>et al.</w:t>
      </w:r>
      <w:r w:rsidRPr="004E2B80">
        <w:rPr>
          <w:noProof/>
        </w:rPr>
        <w:t>, 2007)</w:t>
      </w:r>
      <w:r>
        <w:fldChar w:fldCharType="end"/>
      </w:r>
      <w:r>
        <w:t xml:space="preserve"> found ?</w:t>
      </w:r>
      <w:bookmarkStart w:id="24" w:name="_GoBack"/>
      <w:bookmarkEnd w:id="24"/>
    </w:p>
    <w:p w:rsidR="00CE3828" w:rsidRDefault="00CE3828" w:rsidP="00617FA2"/>
    <w:p w:rsidR="00F636D4" w:rsidRDefault="00F636D4" w:rsidP="004207D2">
      <w:pPr>
        <w:pStyle w:val="Heading2"/>
      </w:pPr>
      <w:bookmarkStart w:id="25" w:name="_Toc476562554"/>
      <w:r>
        <w:t>Compart</w:t>
      </w:r>
      <w:r w:rsidR="004207D2">
        <w:t>mentalization</w:t>
      </w:r>
      <w:bookmarkEnd w:id="25"/>
    </w:p>
    <w:p w:rsidR="004207D2" w:rsidRDefault="00771D4C" w:rsidP="00F636D4">
      <w:r>
        <w:t xml:space="preserve">A fairly large database was put together to look at the metabolic network in humans: </w:t>
      </w:r>
      <w:hyperlink r:id="rId9" w:history="1">
        <w:r w:rsidRPr="00C82357">
          <w:rPr>
            <w:rStyle w:val="Hyperlink"/>
          </w:rPr>
          <w:t>http://www.metabolicatlas.org/</w:t>
        </w:r>
      </w:hyperlink>
      <w:r>
        <w:t>.</w:t>
      </w:r>
    </w:p>
    <w:p w:rsidR="009E12B0" w:rsidRDefault="00771D4C" w:rsidP="009E12B0">
      <w:pPr>
        <w:pStyle w:val="ListParagraph"/>
        <w:numPr>
          <w:ilvl w:val="0"/>
          <w:numId w:val="1"/>
        </w:numPr>
      </w:pPr>
      <w:r>
        <w:t>The Curated Models section contains models for hepatocytes (I believe with compartmentalization), muscle cells,</w:t>
      </w:r>
      <w:r w:rsidR="009E12B0">
        <w:t xml:space="preserve"> and adipocytes.</w:t>
      </w:r>
    </w:p>
    <w:p w:rsidR="009E12B0" w:rsidRDefault="009E12B0" w:rsidP="009E12B0">
      <w:r>
        <w:t xml:space="preserve">The Human Protein Atlas </w:t>
      </w:r>
      <w:r>
        <w:fldChar w:fldCharType="begin" w:fldLock="1"/>
      </w:r>
      <w:r>
        <w:instrText>ADDIN CSL_CITATION { "citationItems" : [ { "id" : "ITEM-1", "itemData" : { "DOI" : "10.1038/nbt1210-1248", "ISBN" : "1546-1696 (Electronic)\\r1087-0156 (Linking)", "ISSN" : "1087-0156", "PMID" : "21139605", "abstract" : "To the Editor: We report on the launch of version 7 of the Human Protein Atlas with subcellular localization data and expression data for all major human tissues and organs. A milestone has been achieved with the inclusion of expression data for &gt;50% of the human protein-coding genes. The main new feature of the release is an attempt towards a knowledge-based portal, including an annotated protein expression feature for protein targets analyzed with two or more antibodies, and the establishment of the main subcellular localization of protein targets.", "author" : [ { "dropping-particle" : "", "family" : "Uhlen", "given" : "Mathias", "non-dropping-particle" : "", "parse-names" : false, "suffix" : "" }, { "dropping-particle" : "", "family" : "Oksvold", "given" : "Per", "non-dropping-particle" : "", "parse-names" : false, "suffix" : "" }, { "dropping-particle" : "", "family" : "Fagerberg", "given" : "Linn", "non-dropping-particle" : "", "parse-names" : false, "suffix" : "" }, { "dropping-particle" : "", "family" : "Lundberg", "given" : "Emma", "non-dropping-particle" : "", "parse-names" : false, "suffix" : "" }, { "dropping-particle" : "", "family" : "Jonasson", "given" : "Kalle", "non-dropping-particle" : "", "parse-names" : false, "suffix" : "" }, { "dropping-particle" : "", "family" : "Forsberg", "given" : "Mattias", "non-dropping-particle" : "", "parse-names" : false, "suffix" : "" }, { "dropping-particle" : "", "family" : "Zwahlen", "given" : "Martin", "non-dropping-particle" : "", "parse-names" : false, "suffix" : "" }, { "dropping-particle" : "", "family" : "Kampf", "given" : "Caroline", "non-dropping-particle" : "", "parse-names" : false, "suffix" : "" }, { "dropping-particle" : "", "family" : "Wester", "given" : "Kenneth", "non-dropping-particle" : "", "parse-names" : false, "suffix" : "" }, { "dropping-particle" : "", "family" : "Hober", "given" : "Sophia", "non-dropping-particle" : "", "parse-names" : false, "suffix" : "" }, { "dropping-particle" : "", "family" : "Wernerus", "given" : "Henrik", "non-dropping-particle" : "", "parse-names" : false, "suffix" : "" }, { "dropping-particle" : "", "family" : "Bj\u00f6rling", "given" : "Lisa", "non-dropping-particle" : "", "parse-names" : false, "suffix" : "" }, { "dropping-particle" : "", "family" : "Ponten", "given" : "Fredrik", "non-dropping-particle" : "", "parse-names" : false, "suffix" : "" } ], "container-title" : "Nature biotechnology", "id" : "ITEM-1", "issue" : "12", "issued" : { "date-parts" : [ [ "2010" ] ] }, "page" : "1248-1250", "title" : "Towards a knowledge-based Human Protein Atlas.", "type" : "article-journal", "volume" : "28" }, "uris" : [ "http://www.mendeley.com/documents/?uuid=519db170-d0d3-4b20-b148-d37f1020f1c0" ] } ], "mendeley" : { "formattedCitation" : "(Uhlen &lt;i&gt;et al.&lt;/i&gt;, 2010)", "plainTextFormattedCitation" : "(Uhlen et al., 2010)", "previouslyFormattedCitation" : "(Uhlen &lt;i&gt;et al.&lt;/i&gt;, 2010)" }, "properties" : { "noteIndex" : 0 }, "schema" : "https://github.com/citation-style-language/schema/raw/master/csl-citation.json" }</w:instrText>
      </w:r>
      <w:r>
        <w:fldChar w:fldCharType="separate"/>
      </w:r>
      <w:r w:rsidRPr="009E12B0">
        <w:rPr>
          <w:noProof/>
        </w:rPr>
        <w:t xml:space="preserve">(Uhlen </w:t>
      </w:r>
      <w:r w:rsidRPr="009E12B0">
        <w:rPr>
          <w:i/>
          <w:noProof/>
        </w:rPr>
        <w:t>et al.</w:t>
      </w:r>
      <w:r w:rsidRPr="009E12B0">
        <w:rPr>
          <w:noProof/>
        </w:rPr>
        <w:t>, 2010)</w:t>
      </w:r>
      <w:r>
        <w:fldChar w:fldCharType="end"/>
      </w:r>
      <w:r>
        <w:t xml:space="preserve"> details the protein expression features of human cells.</w:t>
      </w:r>
    </w:p>
    <w:p w:rsidR="009E12B0" w:rsidRDefault="009E12B0" w:rsidP="009E12B0">
      <w:pPr>
        <w:pStyle w:val="ListParagraph"/>
        <w:numPr>
          <w:ilvl w:val="0"/>
          <w:numId w:val="1"/>
        </w:numPr>
      </w:pPr>
      <w:r>
        <w:t>All biological data.</w:t>
      </w:r>
    </w:p>
    <w:p w:rsidR="009E12B0" w:rsidRDefault="009E12B0" w:rsidP="009E12B0">
      <w:pPr>
        <w:pStyle w:val="ListParagraph"/>
        <w:numPr>
          <w:ilvl w:val="0"/>
          <w:numId w:val="1"/>
        </w:numPr>
      </w:pPr>
      <w:r>
        <w:t>Could very likely use this to compartmentalize other organisms, at least for common organelles (mitochondria, ER, etc).</w:t>
      </w:r>
    </w:p>
    <w:p w:rsidR="009E12B0" w:rsidRDefault="009E12B0" w:rsidP="009E12B0">
      <w:r>
        <w:lastRenderedPageBreak/>
        <w:t xml:space="preserve">The adipocyte model </w:t>
      </w:r>
      <w:r>
        <w:fldChar w:fldCharType="begin" w:fldLock="1"/>
      </w:r>
      <w:r w:rsidR="00DF006A">
        <w:instrText>ADDIN CSL_CITATION { "citationItems" : [ { "id" : "ITEM-1", "itemData" : { "DOI" : "10.1038/msb.2013.5", "ISBN" : "1744-4292 (Electronic)\\r1744-4292 (Linking)", "ISSN" : "1744-4292", "PMID" : "23511207", "abstract" : "We evaluated the presence/absence of proteins encoded by 14 077 genes in adipocytes obtained from different tissue samples using immunohistochemistry. By combining this with previously published adipocyte-specific proteome data, we identified proteins associated with 7340 genes in human adipocytes. This information was used to reconstruct a comprehensive and functional genome-scale metabolic model of adipocyte metabolism. The resulting metabolic model, iAdipocytes1809, enables mechanistic insights into adipocyte metabolism on a genome-wide level, and can serve as a scaffold for integration of omics data to understand the genotype-phenotype relationship in obese subjects. By integrating human transcriptome and fluxome data, we found an increase in the metabolic activity around androsterone, ganglioside GM2 and degradation products of heparan sulfate and keratan sulfate, and a decrease in mitochondrial metabolic activities in obese subjects compared with lean subjects. Our study hereby shows a path to identify new therapeutic targets for treating obesity through combination of high throughput patient data and metabolic modeling.", "author" : [ { "dropping-particle" : "", "family" : "Mardinoglu", "given" : "Adil", "non-dropping-particle" : "", "parse-names" : false, "suffix" : "" }, { "dropping-particle" : "", "family" : "Agren", "given" : "Rasmus", "non-dropping-particle" : "", "parse-names" : false, "suffix" : "" }, { "dropping-particle" : "", "family" : "Kampf", "given" : "Caroline", "non-dropping-particle" : "", "parse-names" : false, "suffix" : "" }, { "dropping-particle" : "", "family" : "Asplund", "given" : "Anna", "non-dropping-particle" : "", "parse-names" : false, "suffix" : "" }, { "dropping-particle" : "", "family" : "Nookaew", "given" : "Intawat", "non-dropping-particle" : "", "parse-names" : false, "suffix" : "" }, { "dropping-particle" : "", "family" : "Jacobson", "given" : "Peter", "non-dropping-particle" : "", "parse-names" : false, "suffix" : "" }, { "dropping-particle" : "", "family" : "Walley", "given" : "Andrew J", "non-dropping-particle" : "", "parse-names" : false, "suffix" : "" }, { "dropping-particle" : "", "family" : "Froguel", "given" : "Philippe", "non-dropping-particle" : "", "parse-names" : false, "suffix" : "" }, { "dropping-particle" : "", "family" : "Carlsson", "given" : "Lena M", "non-dropping-particle" : "", "parse-names" : false, "suffix" : "" }, { "dropping-particle" : "", "family" : "Uhlen", "given" : "Mathias", "non-dropping-particle" : "", "parse-names" : false, "suffix" : "" }, { "dropping-particle" : "", "family" : "Nielsen", "given" : "Jens", "non-dropping-particle" : "", "parse-names" : false, "suffix" : "" } ], "container-title" : "Molecular Systems Biology", "id" : "ITEM-1", "issue" : "1", "issued" : { "date-parts" : [ [ "2013" ] ] }, "page" : "649", "title" : "Integration of clinical data with a genome-scale metabolic model of the human adipocyte.", "type" : "article-journal", "volume" : "9" }, "uris" : [ "http://www.mendeley.com/documents/?uuid=065764ab-f5f5-49c9-b425-693172517763" ] } ], "mendeley" : { "formattedCitation" : "(Mardinoglu &lt;i&gt;et al.&lt;/i&gt;, 2013)", "plainTextFormattedCitation" : "(Mardinoglu et al., 2013)", "previouslyFormattedCitation" : "(Mardinoglu &lt;i&gt;et al.&lt;/i&gt;, 2013)" }, "properties" : { "noteIndex" : 0 }, "schema" : "https://github.com/citation-style-language/schema/raw/master/csl-citation.json" }</w:instrText>
      </w:r>
      <w:r>
        <w:fldChar w:fldCharType="separate"/>
      </w:r>
      <w:r w:rsidRPr="009E12B0">
        <w:rPr>
          <w:noProof/>
        </w:rPr>
        <w:t xml:space="preserve">(Mardinoglu </w:t>
      </w:r>
      <w:r w:rsidRPr="009E12B0">
        <w:rPr>
          <w:i/>
          <w:noProof/>
        </w:rPr>
        <w:t>et al.</w:t>
      </w:r>
      <w:r w:rsidRPr="009E12B0">
        <w:rPr>
          <w:noProof/>
        </w:rPr>
        <w:t>, 2013)</w:t>
      </w:r>
      <w:r>
        <w:fldChar w:fldCharType="end"/>
      </w:r>
      <w:r>
        <w:t xml:space="preserve"> classified enzymes into 8 different compartments: cytosol, nucleus, ER, Golgi, peroxisome, lysosome, mitochondria, and extracellular.</w:t>
      </w:r>
      <w:r w:rsidR="00117B7D">
        <w:t xml:space="preserve"> It is available from metabolicatlas.org</w:t>
      </w:r>
    </w:p>
    <w:p w:rsidR="00117B7D" w:rsidRDefault="00352584" w:rsidP="00C50361">
      <w:pPr>
        <w:pStyle w:val="ListParagraph"/>
        <w:numPr>
          <w:ilvl w:val="0"/>
          <w:numId w:val="1"/>
        </w:numPr>
      </w:pPr>
      <w:r>
        <w:t>Proteins located in the aggresome, centrosome, and cytoskeleton were assigned to the cytoplasm, while those in cell junctions and focal adhesions were assigned to extracellular.</w:t>
      </w:r>
    </w:p>
    <w:p w:rsidR="00771D4C" w:rsidRDefault="00874AFD" w:rsidP="00F636D4">
      <w:r>
        <w:t>Modeling different tissues as different compartments might require the objective function to be a sum of sub-functions, one per tissue.</w:t>
      </w:r>
    </w:p>
    <w:p w:rsidR="0085309D" w:rsidRDefault="0085309D" w:rsidP="0085309D">
      <w:pPr>
        <w:pStyle w:val="ListParagraph"/>
        <w:numPr>
          <w:ilvl w:val="0"/>
          <w:numId w:val="1"/>
        </w:numPr>
      </w:pPr>
      <w:r>
        <w:t xml:space="preserve">Read </w:t>
      </w:r>
      <w:r>
        <w:fldChar w:fldCharType="begin" w:fldLock="1"/>
      </w:r>
      <w:r w:rsidR="001E205B">
        <w:instrText>ADDIN CSL_CITATION { "citationItems" : [ { "id" : "ITEM-1", "itemData" : { "DOI" : "10.1126/science.1216882", "ISBN" : "0036-8075", "ISSN" : "1095-9203", "PMID" : "22556256", "abstract" : "Although the network topology of metabolism is well known, understanding the principles that govern the distribution of fluxes through metabolism lags behind. Experimentally, these fluxes can be measured by (13)C-flux analysis, and there has been a long-standing interest in understanding this functional network operation from an evolutionary perspective. On the basis of (13)C-determined fluxes from nine bacteria and multi-objective optimization theory, we show that metabolism operates close to the Pareto-optimal surface of a three-dimensional space defined by competing objectives. Consistent with flux data from evolved Escherichia coli, we propose that flux states evolve under the trade-off between two principles: optimality under one given condition and minimal adjustment between conditions. These principles form the forces by which evolution shapes metabolic fluxes in microorganisms' environmental context.", "author" : [ { "dropping-particle" : "", "family" : "Schuetz", "given" : "Robert", "non-dropping-particle" : "", "parse-names" : false, "suffix" : "" }, { "dropping-particle" : "", "family" : "Zamboni", "given" : "Nicola", "non-dropping-particle" : "", "parse-names" : false, "suffix" : "" }, { "dropping-particle" : "", "family" : "Zampieri", "given" : "Mattia", "non-dropping-particle" : "", "parse-names" : false, "suffix" : "" }, { "dropping-particle" : "", "family" : "Heinemann", "given" : "Matthias", "non-dropping-particle" : "", "parse-names" : false, "suffix" : "" }, { "dropping-particle" : "", "family" : "Sauer", "given" : "Uwe", "non-dropping-particle" : "", "parse-names" : false, "suffix" : "" } ], "container-title" : "Science", "id" : "ITEM-1", "issue" : "6081", "issued" : { "date-parts" : [ [ "2012" ] ] }, "page" : "601-4", "title" : "Multidimensional optimality of microbial metabolism.", "type" : "article-journal", "volume" : "336" }, "uris" : [ "http://www.mendeley.com/documents/?uuid=801af01d-ee10-4396-9b75-825044843778" ] } ], "mendeley" : { "formattedCitation" : "(Schuetz &lt;i&gt;et al.&lt;/i&gt;, 2012)", "plainTextFormattedCitation" : "(Schuetz et al., 2012)", "previouslyFormattedCitation" : "(Schuetz &lt;i&gt;et al.&lt;/i&gt;, 2012)" }, "properties" : { "noteIndex" : 0 }, "schema" : "https://github.com/citation-style-language/schema/raw/master/csl-citation.json" }</w:instrText>
      </w:r>
      <w:r>
        <w:fldChar w:fldCharType="separate"/>
      </w:r>
      <w:r w:rsidRPr="0085309D">
        <w:rPr>
          <w:noProof/>
        </w:rPr>
        <w:t xml:space="preserve">(Schuetz </w:t>
      </w:r>
      <w:r w:rsidRPr="0085309D">
        <w:rPr>
          <w:i/>
          <w:noProof/>
        </w:rPr>
        <w:t>et al.</w:t>
      </w:r>
      <w:r w:rsidRPr="0085309D">
        <w:rPr>
          <w:noProof/>
        </w:rPr>
        <w:t>, 2012)</w:t>
      </w:r>
      <w:r>
        <w:fldChar w:fldCharType="end"/>
      </w:r>
      <w:r>
        <w:t>; on using multidimensional objective functions.</w:t>
      </w:r>
    </w:p>
    <w:p w:rsidR="00A43EE9" w:rsidRDefault="00A43EE9" w:rsidP="00F636D4"/>
    <w:p w:rsidR="00A43EE9" w:rsidRDefault="00A43EE9" w:rsidP="00A43EE9">
      <w:pPr>
        <w:pStyle w:val="Heading2"/>
      </w:pPr>
      <w:bookmarkStart w:id="26" w:name="_Toc476562555"/>
      <w:r>
        <w:t>Incorporating transcriptomics</w:t>
      </w:r>
      <w:bookmarkEnd w:id="26"/>
    </w:p>
    <w:p w:rsidR="00A43EE9" w:rsidRDefault="00A43EE9" w:rsidP="00F636D4">
      <w:r>
        <w:t xml:space="preserve">GIMME </w:t>
      </w:r>
      <w:r>
        <w:fldChar w:fldCharType="begin" w:fldLock="1"/>
      </w:r>
      <w:r w:rsidR="0085309D">
        <w:instrText>ADDIN CSL_CITATION { "citationItems" : [ { "id" : "ITEM-1", "itemData" : { "abstract" : "Reconstructions of cellular metabolism are publicly available for a variety of different microorganisms and some mammalian genomes. To date, these reconstructions are \"genome-scale\" and strive to include all reactions implied by the genome annotation, as well as those with direct experimental evidence. Clearly, many of the reactions in a genome-scale reconstruction will not be active under particular conditions or in a particular cell type. Methods to tailor these comprehensive genome-scale reconstructions into context-specific networks will aid predictive in silico modeling for a particular situation. We present a method called Gene Inactivity Moderated by Metabolism and Expression (GIMME) to achieve this goal. The GIMME algorithm uses quantitative gene expression data and one or more presupposed metabolic objectives to produce the context-specific reconstruction that is most consistent with the available data. Furthermore, the algorithm provides a quantitative inconsistency score indicating how consistent a set of gene expression data is with a particular metabolic objective. We show that this algorithm produces results consistent with biological experiments and intuition for adaptive evolution of bacteria, rational design of metabolic engineering strains, and human skeletal muscle cells. This work represents progress towards producing constraint-based models of metabolism that are specific to the conditions where the expression profiling data is available", "author" : [ { "dropping-particle" : "", "family" : "Becker", "given" : "S A", "non-dropping-particle" : "", "parse-names" : false, "suffix" : "" }, { "dropping-particle" : "", "family" : "Palsson", "given" : "B O", "non-dropping-particle" : "", "parse-names" : false, "suffix" : "" } ], "container-title" : "PLoS Comput.Biol.", "id" : "ITEM-1", "issue" : "5", "issued" : { "date-parts" : [ [ "2008" ] ] }, "page" : "e1000082", "title" : "Context specific metabolic networks are consistent with experiments", "type" : "article-journal", "volume" : "4" }, "uris" : [ "http://www.mendeley.com/documents/?uuid=f9b09953-a4db-4e09-b7aa-35ac9cd27247" ] } ], "mendeley" : { "formattedCitation" : "(Becker and Palsson, 2008)", "plainTextFormattedCitation" : "(Becker and Palsson, 2008)", "previouslyFormattedCitation" : "(Becker and Palsson, 2008)" }, "properties" : { "noteIndex" : 0 }, "schema" : "https://github.com/citation-style-language/schema/raw/master/csl-citation.json" }</w:instrText>
      </w:r>
      <w:r>
        <w:fldChar w:fldCharType="separate"/>
      </w:r>
      <w:r w:rsidRPr="00A43EE9">
        <w:rPr>
          <w:noProof/>
        </w:rPr>
        <w:t>(Becker and Palsson, 2008)</w:t>
      </w:r>
      <w:r>
        <w:fldChar w:fldCharType="end"/>
      </w:r>
      <w:r>
        <w:t xml:space="preserve"> does stuff.</w:t>
      </w:r>
    </w:p>
    <w:p w:rsidR="00A43EE9" w:rsidRDefault="00A43EE9" w:rsidP="00F636D4">
      <w:r>
        <w:t>TEAM is an extension of GIMME, incorporating temporal expression data.</w:t>
      </w:r>
    </w:p>
    <w:p w:rsidR="00A43EE9" w:rsidRPr="00735F98" w:rsidRDefault="00A43EE9" w:rsidP="00A43EE9">
      <w:pPr>
        <w:pStyle w:val="ListParagraph"/>
        <w:numPr>
          <w:ilvl w:val="0"/>
          <w:numId w:val="1"/>
        </w:numPr>
      </w:pPr>
      <w:r>
        <w:t>Not if also true for GIMME, but here shadow prices have a different interpretation than in standard FBA. Under TEAM, they are defined as the change in the inconcsistency score when the steady state constraint on one metabolite deviates from zero.</w:t>
      </w:r>
      <w:r w:rsidR="006B6DE3">
        <w:t xml:space="preserve"> That means that negative SPs indicate metabolites whose steady-state abundances are decreasing.</w:t>
      </w:r>
    </w:p>
    <w:p w:rsidR="000741C0" w:rsidRDefault="000741C0" w:rsidP="00AF394B"/>
    <w:p w:rsidR="00C93DBF" w:rsidRDefault="00F53AE5" w:rsidP="00C93DBF">
      <w:pPr>
        <w:pStyle w:val="Heading2"/>
      </w:pPr>
      <w:bookmarkStart w:id="27" w:name="_Toc476562556"/>
      <w:r>
        <w:t>Related m</w:t>
      </w:r>
      <w:r w:rsidR="00C93DBF">
        <w:t>ethods</w:t>
      </w:r>
      <w:bookmarkEnd w:id="27"/>
    </w:p>
    <w:p w:rsidR="00CD4FD2" w:rsidRDefault="00CD4FD2" w:rsidP="00CD4FD2">
      <w:r>
        <w:t xml:space="preserve">Many methods described in </w:t>
      </w:r>
      <w:r>
        <w:fldChar w:fldCharType="begin" w:fldLock="1"/>
      </w:r>
      <w:r w:rsidR="00163FFE">
        <w:instrText>ADDIN CSL_CITATION { "citationItems" : [ { "id" : "ITEM-1", "itemData" : { "DOI" : "10.1093/bib/bbp011", "ISBN" : "9180229328", "ISSN" : "14675463", "PMID" : "19287049", "abstract" : "Systems level modelling and simulations of biological processes are proving to be invaluable in obtaining a quantitative and dynamic perspective of various aspects of cellular function. In particular, constraint-based analyses of metabolic networks have gained considerable popularity for simulating cellular metabolism, of which flux balance analysis (FBA), is most widely used. Unlike mechanistic simulations that depend on accurate kinetic data, which are scarcely available, FBA is based on the principle of conservation of mass in a network, which utilizes the stoichiometric matrix and a biologically relevant objective function to identify optimal reaction flux distributions. FBA has been used to analyse genome-scale reconstructions of several organisms; it has also been used to analyse the effect of perturbations, such as gene deletions or drug inhibitions in silico. This article reviews the usefulness of FBA as a tool for gaining biological insights, advances in methodology enabling integration of regulatory information and thermodynamic constraints, and finally addresses the challenges that lie ahead. Various use scenarios and biological insights obtained from FBA, and applications in fields such metabolic engineering and drug target identification, are also discussed. Genome-scale constraint-based models have an immense potential for building and testing hypotheses, as well as to guide experimentation.", "author" : [ { "dropping-particle" : "", "family" : "Raman", "given" : "Karthik", "non-dropping-particle" : "", "parse-names" : false, "suffix" : "" }, { "dropping-particle" : "", "family" : "Chandra", "given" : "Nagasuma", "non-dropping-particle" : "", "parse-names" : false, "suffix" : "" } ], "container-title" : "Briefings in Bioinformatics", "id" : "ITEM-1", "issue" : "4", "issued" : { "date-parts" : [ [ "2009" ] ] }, "page" : "435-449", "title" : "Flux balance analysis of biological systems: Applications and challenges", "type" : "article", "volume" : "10" }, "uris" : [ "http://www.mendeley.com/documents/?uuid=b003873e-7952-4759-9b9f-12eb9b105693" ] } ], "mendeley" : { "formattedCitation" : "(Raman and Chandra, 2009)", "plainTextFormattedCitation" : "(Raman and Chandra, 2009)", "previouslyFormattedCitation" : "(Raman and Chandra, 2009)" }, "properties" : { "noteIndex" : 0 }, "schema" : "https://github.com/citation-style-language/schema/raw/master/csl-citation.json" }</w:instrText>
      </w:r>
      <w:r>
        <w:fldChar w:fldCharType="separate"/>
      </w:r>
      <w:r w:rsidRPr="00CD4FD2">
        <w:rPr>
          <w:noProof/>
        </w:rPr>
        <w:t>(Raman and Chandra, 2009)</w:t>
      </w:r>
      <w:r>
        <w:fldChar w:fldCharType="end"/>
      </w:r>
      <w:r>
        <w:t xml:space="preserve"> and </w:t>
      </w:r>
      <w:r>
        <w:fldChar w:fldCharType="begin" w:fldLock="1"/>
      </w:r>
      <w:r>
        <w:instrText>ADDIN CSL_CITATION { "citationItems" : [ { "id" : "ITEM-1", "itemData" : { "DOI" : "10.1038/nrmicro2737", "ISBN" : "9780470142622", "ISSN" : "1740-1534", "PMID" : "22367118", "abstract" : "Reconstructed microbial metabolic networks facilitate a mechanistic description of the genotype-phenotype relationship through the deployment of constraint-based reconstruction and analysis (COBRA) methods. As reconstructed networks leverage genomic data for insight and phenotype prediction, the development of COBRA methods has accelerated following the advent of whole-genome sequencing. Here, we describe a phylogeny of COBRA methods that has rapidly evolved from the few early methods, such as flux balance analysis and elementary flux mode analysis, into a repertoire of more than 100 methods. These methods have enabled genome-scale analysis of microbial metabolism for numerous basic and applied uses, including antibiotic discovery, metabolic engineering and modelling of microbial community behaviour.", "author" : [ { "dropping-particle" : "", "family" : "Lewis", "given" : "Nathan E", "non-dropping-particle" : "", "parse-names" : false, "suffix" : "" }, { "dropping-particle" : "", "family" : "Nagarajan", "given" : "Harish", "non-dropping-particle" : "", "parse-names" : false, "suffix" : "" }, { "dropping-particle" : "", "family" : "Palsson", "given" : "Bernhard O", "non-dropping-particle" : "", "parse-names" : false, "suffix" : "" } ], "container-title" : "Nature reviews. Microbiology", "id" : "ITEM-1", "issue" : "4", "issued" : { "date-parts" : [ [ "2012" ] ] }, "page" : "291-305", "title" : "Constraining the metabolic genotype-phenotype relationship using a phylogeny of in silico methods.", "type" : "article-journal", "volume" : "10" }, "uris" : [ "http://www.mendeley.com/documents/?uuid=3bda458b-65d0-4e81-a8b9-48de1de16f0b" ] } ], "mendeley" : { "formattedCitation" : "(Lewis &lt;i&gt;et al.&lt;/i&gt;, 2012)", "plainTextFormattedCitation" : "(Lewis et al., 2012)", "previouslyFormattedCitation" : "(Lewis &lt;i&gt;et al.&lt;/i&gt;, 2012)" }, "properties" : { "noteIndex" : 0 }, "schema" : "https://github.com/citation-style-language/schema/raw/master/csl-citation.json" }</w:instrText>
      </w:r>
      <w:r>
        <w:fldChar w:fldCharType="separate"/>
      </w:r>
      <w:r w:rsidRPr="00AF12C3">
        <w:rPr>
          <w:noProof/>
        </w:rPr>
        <w:t xml:space="preserve">(Lewis </w:t>
      </w:r>
      <w:r w:rsidRPr="00AF12C3">
        <w:rPr>
          <w:i/>
          <w:noProof/>
        </w:rPr>
        <w:t>et al.</w:t>
      </w:r>
      <w:r w:rsidRPr="00AF12C3">
        <w:rPr>
          <w:noProof/>
        </w:rPr>
        <w:t>, 2012)</w:t>
      </w:r>
      <w:r>
        <w:fldChar w:fldCharType="end"/>
      </w:r>
      <w:r>
        <w:t>.</w:t>
      </w:r>
    </w:p>
    <w:p w:rsidR="00A00ED8" w:rsidRDefault="00A00ED8" w:rsidP="00CD4FD2">
      <w:r>
        <w:t>Unbiased methods describe all steady-state flux distributions, including reaction sets that function together without belonging to traditional “pathways”.</w:t>
      </w:r>
    </w:p>
    <w:p w:rsidR="00A00ED8" w:rsidRDefault="00A00ED8" w:rsidP="00A00ED8">
      <w:pPr>
        <w:pStyle w:val="ListParagraph"/>
        <w:numPr>
          <w:ilvl w:val="0"/>
          <w:numId w:val="1"/>
        </w:numPr>
      </w:pPr>
      <w:r>
        <w:t>Elementary flux mode analysis</w:t>
      </w:r>
      <w:r w:rsidR="009E446B">
        <w:t xml:space="preserve"> </w:t>
      </w:r>
      <w:r w:rsidR="009E446B">
        <w:fldChar w:fldCharType="begin" w:fldLock="1"/>
      </w:r>
      <w:r w:rsidR="009E446B">
        <w:instrText>ADDIN CSL_CITATION { "citationItems" : [ { "id" : "ITEM-1", "itemData" : { "abstract" : "Network-based definitions of biochemical pathways have emerged in recent years. These pathway definitions insist on the balanced use of a whole network of biochemical reactions. Two such related definitions, elementary modes and extreme pathways, have generated novel hypotheses regarding biochemical network function. The relationship between these two approaches can be illustrated by comparing and contrasting the elementary modes and extreme pathways of previously published metabolic reconstructions of the human red blood cell (RBC) and the human pathogen Helicobacter pylori. Descriptions of network properties generated by using these two approaches in the analysis of realistic metabolic networks need careful interpretation", "author" : [ { "dropping-particle" : "", "family" : "Papin", "given" : "J A", "non-dropping-particle" : "", "parse-names" : false, "suffix" : "" }, { "dropping-particle" : "", "family" : "Stelling", "given" : "J", "non-dropping-particle" : "", "parse-names" : false, "suffix" : "" }, { "dropping-particle" : "", "family" : "Price", "given" : "N D", "non-dropping-particle" : "", "parse-names" : false, "suffix" : "" }, { "dropping-particle" : "", "family" : "Klamt", "given" : "S", "non-dropping-particle" : "", "parse-names" : false, "suffix" : "" }, { "dropping-particle" : "", "family" : "Schuster", "given" : "S", "non-dropping-particle" : "", "parse-names" : false, "suffix" : "" }, { "dropping-particle" : "", "family" : "Palsson", "given" : "B O", "non-dropping-particle" : "", "parse-names" : false, "suffix" : "" } ], "container-title" : "Trends in Biotechnology", "id" : "ITEM-1", "issue" : "8", "issued" : { "date-parts" : [ [ "2004" ] ] }, "page" : "400-405", "title" : "Comparison of network based pathway analysis methods", "type" : "article-journal", "volume" : "22" }, "uris" : [ "http://www.mendeley.com/documents/?uuid=6e7c99cd-55fa-4e1b-8087-3dbfbaed293b" ] } ], "mendeley" : { "formattedCitation" : "(Papin &lt;i&gt;et al.&lt;/i&gt;, 2004)", "plainTextFormattedCitation" : "(Papin et al., 2004)", "previouslyFormattedCitation" : "(Papin &lt;i&gt;et al.&lt;/i&gt;, 2004)" }, "properties" : { "noteIndex" : 0 }, "schema" : "https://github.com/citation-style-language/schema/raw/master/csl-citation.json" }</w:instrText>
      </w:r>
      <w:r w:rsidR="009E446B">
        <w:fldChar w:fldCharType="separate"/>
      </w:r>
      <w:r w:rsidR="009E446B" w:rsidRPr="009E446B">
        <w:rPr>
          <w:noProof/>
        </w:rPr>
        <w:t xml:space="preserve">(Papin </w:t>
      </w:r>
      <w:r w:rsidR="009E446B" w:rsidRPr="009E446B">
        <w:rPr>
          <w:i/>
          <w:noProof/>
        </w:rPr>
        <w:t>et al.</w:t>
      </w:r>
      <w:r w:rsidR="009E446B" w:rsidRPr="009E446B">
        <w:rPr>
          <w:noProof/>
        </w:rPr>
        <w:t>, 2004)</w:t>
      </w:r>
      <w:r w:rsidR="009E446B">
        <w:fldChar w:fldCharType="end"/>
      </w:r>
      <w:r>
        <w:t>.</w:t>
      </w:r>
    </w:p>
    <w:p w:rsidR="00287767" w:rsidRDefault="00287767" w:rsidP="00287767">
      <w:pPr>
        <w:pStyle w:val="ListParagraph"/>
        <w:numPr>
          <w:ilvl w:val="1"/>
          <w:numId w:val="1"/>
        </w:numPr>
      </w:pPr>
      <w:r>
        <w:t xml:space="preserve">Elementary modes are a set of </w:t>
      </w:r>
      <w:r w:rsidR="009E446B">
        <w:t>vectors derived from the FBA matrix S, where there is a unique set of elementary modes for a given network, each mode has the minimum number of reactions required to exist as a functional unit, and the modes are all routes through a network consistent with property 2.</w:t>
      </w:r>
    </w:p>
    <w:p w:rsidR="002871E9" w:rsidRDefault="002871E9" w:rsidP="00BB43FB">
      <w:pPr>
        <w:pStyle w:val="ListParagraph"/>
        <w:numPr>
          <w:ilvl w:val="1"/>
          <w:numId w:val="1"/>
        </w:numPr>
      </w:pPr>
      <w:r>
        <w:t>Any possible configuration of flux through a network can be obtained by a linear combination of the elementary modes.</w:t>
      </w:r>
    </w:p>
    <w:p w:rsidR="00A00ED8" w:rsidRDefault="00A00ED8" w:rsidP="00A00ED8">
      <w:pPr>
        <w:pStyle w:val="ListParagraph"/>
        <w:numPr>
          <w:ilvl w:val="0"/>
          <w:numId w:val="1"/>
        </w:numPr>
      </w:pPr>
      <w:r>
        <w:t>Extreme pathway analysis</w:t>
      </w:r>
      <w:r w:rsidR="009E446B">
        <w:t xml:space="preserve"> </w:t>
      </w:r>
      <w:r w:rsidR="009E446B">
        <w:fldChar w:fldCharType="begin" w:fldLock="1"/>
      </w:r>
      <w:r w:rsidR="00BC4AAE">
        <w:instrText>ADDIN CSL_CITATION { "citationItems" : [ { "id" : "ITEM-1", "itemData" : { "abstract" : "Network-based definitions of biochemical pathways have emerged in recent years. These pathway definitions insist on the balanced use of a whole network of biochemical reactions. Two such related definitions, elementary modes and extreme pathways, have generated novel hypotheses regarding biochemical network function. The relationship between these two approaches can be illustrated by comparing and contrasting the elementary modes and extreme pathways of previously published metabolic reconstructions of the human red blood cell (RBC) and the human pathogen Helicobacter pylori. Descriptions of network properties generated by using these two approaches in the analysis of realistic metabolic networks need careful interpretation", "author" : [ { "dropping-particle" : "", "family" : "Papin", "given" : "J A", "non-dropping-particle" : "", "parse-names" : false, "suffix" : "" }, { "dropping-particle" : "", "family" : "Stelling", "given" : "J", "non-dropping-particle" : "", "parse-names" : false, "suffix" : "" }, { "dropping-particle" : "", "family" : "Price", "given" : "N D", "non-dropping-particle" : "", "parse-names" : false, "suffix" : "" }, { "dropping-particle" : "", "family" : "Klamt", "given" : "S", "non-dropping-particle" : "", "parse-names" : false, "suffix" : "" }, { "dropping-particle" : "", "family" : "Schuster", "given" : "S", "non-dropping-particle" : "", "parse-names" : false, "suffix" : "" }, { "dropping-particle" : "", "family" : "Palsson", "given" : "B O", "non-dropping-particle" : "", "parse-names" : false, "suffix" : "" } ], "container-title" : "Trends in Biotechnology", "id" : "ITEM-1", "issue" : "8", "issued" : { "date-parts" : [ [ "2004" ] ] }, "page" : "400-405", "title" : "Comparison of network based pathway analysis methods", "type" : "article-journal", "volume" : "22" }, "uris" : [ "http://www.mendeley.com/documents/?uuid=6e7c99cd-55fa-4e1b-8087-3dbfbaed293b" ] } ], "mendeley" : { "formattedCitation" : "(Papin &lt;i&gt;et al.&lt;/i&gt;, 2004)", "plainTextFormattedCitation" : "(Papin et al., 2004)", "previouslyFormattedCitation" : "(Papin &lt;i&gt;et al.&lt;/i&gt;, 2004)" }, "properties" : { "noteIndex" : 0 }, "schema" : "https://github.com/citation-style-language/schema/raw/master/csl-citation.json" }</w:instrText>
      </w:r>
      <w:r w:rsidR="009E446B">
        <w:fldChar w:fldCharType="separate"/>
      </w:r>
      <w:r w:rsidR="009E446B" w:rsidRPr="009E446B">
        <w:rPr>
          <w:noProof/>
        </w:rPr>
        <w:t xml:space="preserve">(Papin </w:t>
      </w:r>
      <w:r w:rsidR="009E446B" w:rsidRPr="009E446B">
        <w:rPr>
          <w:i/>
          <w:noProof/>
        </w:rPr>
        <w:t>et al.</w:t>
      </w:r>
      <w:r w:rsidR="009E446B" w:rsidRPr="009E446B">
        <w:rPr>
          <w:noProof/>
        </w:rPr>
        <w:t>, 2004)</w:t>
      </w:r>
      <w:r w:rsidR="009E446B">
        <w:fldChar w:fldCharType="end"/>
      </w:r>
      <w:r>
        <w:t>.</w:t>
      </w:r>
    </w:p>
    <w:p w:rsidR="002871E9" w:rsidRDefault="009E446B" w:rsidP="009E446B">
      <w:pPr>
        <w:pStyle w:val="ListParagraph"/>
        <w:numPr>
          <w:ilvl w:val="1"/>
          <w:numId w:val="1"/>
        </w:numPr>
      </w:pPr>
      <w:r>
        <w:t>Share the first 2 properties as elementary modes, along with that the extreme pathways are the systematically independent subset of elementary modes; that is, no extreme pathway can be represented as a nonnegative linear combination of any other extreme pathway.</w:t>
      </w:r>
      <w:r w:rsidR="002871E9">
        <w:t xml:space="preserve"> </w:t>
      </w:r>
      <w:r>
        <w:t>This often means there will be fewer extreme pathways than elementary modes.</w:t>
      </w:r>
      <w:r w:rsidR="002871E9">
        <w:t xml:space="preserve"> </w:t>
      </w:r>
    </w:p>
    <w:p w:rsidR="009E446B" w:rsidRDefault="002871E9" w:rsidP="009E446B">
      <w:pPr>
        <w:pStyle w:val="ListParagraph"/>
        <w:numPr>
          <w:ilvl w:val="1"/>
          <w:numId w:val="1"/>
        </w:numPr>
      </w:pPr>
      <w:r>
        <w:t>Any possible configuration of flux through a network can be obtained by a linear combination of the extreme pathways.</w:t>
      </w:r>
    </w:p>
    <w:p w:rsidR="003B7092" w:rsidRDefault="003B7092" w:rsidP="003B7092">
      <w:pPr>
        <w:pStyle w:val="ListParagraph"/>
        <w:numPr>
          <w:ilvl w:val="0"/>
          <w:numId w:val="1"/>
        </w:numPr>
      </w:pPr>
      <w:r>
        <w:t>Comparison between EFA and EPA:</w:t>
      </w:r>
    </w:p>
    <w:p w:rsidR="003B7092" w:rsidRDefault="003B7092" w:rsidP="003B7092">
      <w:pPr>
        <w:pStyle w:val="ListParagraph"/>
        <w:numPr>
          <w:ilvl w:val="1"/>
          <w:numId w:val="1"/>
        </w:numPr>
      </w:pPr>
      <w:r>
        <w:t>If the network contains only irreversible reactions, they’re equivalent.</w:t>
      </w:r>
    </w:p>
    <w:p w:rsidR="003B7092" w:rsidRDefault="003B7092" w:rsidP="003B7092">
      <w:pPr>
        <w:pStyle w:val="ListParagraph"/>
        <w:numPr>
          <w:ilvl w:val="1"/>
          <w:numId w:val="1"/>
        </w:numPr>
      </w:pPr>
      <w:r>
        <w:t>A realistic network, like that of a red blood cell, has far more EM (6180) than EP (55).</w:t>
      </w:r>
    </w:p>
    <w:p w:rsidR="003B7092" w:rsidRDefault="003B7092" w:rsidP="003B7092">
      <w:pPr>
        <w:pStyle w:val="ListParagraph"/>
        <w:numPr>
          <w:ilvl w:val="1"/>
          <w:numId w:val="1"/>
        </w:numPr>
      </w:pPr>
      <w:r>
        <w:t>One EP may be used in a huge number of EM (4353)</w:t>
      </w:r>
      <w:r w:rsidR="00B60CC2">
        <w:t>. On average, an EM decomposition uses 4 EP.</w:t>
      </w:r>
    </w:p>
    <w:p w:rsidR="00B60CC2" w:rsidRDefault="00B60CC2" w:rsidP="003B7092">
      <w:pPr>
        <w:pStyle w:val="ListParagraph"/>
        <w:numPr>
          <w:ilvl w:val="1"/>
          <w:numId w:val="1"/>
        </w:numPr>
      </w:pPr>
      <w:r>
        <w:lastRenderedPageBreak/>
        <w:t>Analysis of a network using EP requires some caution, as it’s possible to cancel reversible fluxes (it would be considered 2 separate reactions in EPA).</w:t>
      </w:r>
    </w:p>
    <w:p w:rsidR="00B60CC2" w:rsidRDefault="00A00ED8" w:rsidP="00B60CC2">
      <w:pPr>
        <w:pStyle w:val="ListParagraph"/>
        <w:numPr>
          <w:ilvl w:val="0"/>
          <w:numId w:val="1"/>
        </w:numPr>
      </w:pPr>
      <w:r>
        <w:t>MCMC provide a distribution of feasible fluxes for each reaction.</w:t>
      </w:r>
    </w:p>
    <w:p w:rsidR="00B60CC2" w:rsidRDefault="00B60CC2" w:rsidP="00B60CC2">
      <w:pPr>
        <w:pStyle w:val="ListParagraph"/>
        <w:numPr>
          <w:ilvl w:val="0"/>
          <w:numId w:val="1"/>
        </w:numPr>
      </w:pPr>
      <w:r>
        <w:t>These methods detail all possible flux states, but the majority are not used by the cell. Biased methods are good here, as they attempt to only deal with the useful flux states.</w:t>
      </w:r>
    </w:p>
    <w:p w:rsidR="00F53AE5" w:rsidRDefault="00F53AE5" w:rsidP="00F53AE5">
      <w:r>
        <w:t xml:space="preserve">MoMA (minimization of metabolic adjustment) is a variant of FBA, and has been shown to better predict lethal gene deletions in </w:t>
      </w:r>
      <w:r>
        <w:rPr>
          <w:i/>
        </w:rPr>
        <w:t>E. coli</w:t>
      </w:r>
      <w:r>
        <w:t xml:space="preserve"> compared to FBA </w:t>
      </w:r>
      <w:r>
        <w:fldChar w:fldCharType="begin" w:fldLock="1"/>
      </w:r>
      <w:r>
        <w:instrText>ADDIN CSL_CITATION { "citationItems" : [ { "id" : "ITEM-1", "itemData" : { "DOI" : "10.1073/pnas.232349399", "ISBN" : "0027-8424 (Print)\\r0027-8424 (Linking)", "ISSN" : "0027-8424", "PMID" : "12415116", "abstract" : "An important goal of whole-cell computational modeling is to integrate detailed biochemical information with biological intuition to produce testable predictions. Based on the premise that prokaryotes such as Escherichia coli have maximized their growth performance along evolution, flux balance analysis (FBA) predicts metabolic flux distributions at steady state by using linear programming. Corroborating earlier results, we show that recent intracellular flux data for wild-type E. coli JM101 display excellent agreement with FBA predictions. Although the assumption of optimality for a wild-type bacterium is justifiable, the same argument may not be valid for genetically engineered knockouts or other bacterial strains that were not exposed to long-term evolutionary pressure. We address this point by introducing the method of minimization of metabolic adjustment (MOMA), whereby we test the hypothesis that knockout metabolic fluxes undergo a minimal redistribution with respect to the flux configuration of the wild type. MOMA employs quadratic programming to identify a point in flux space, which is closest to the wild-type point, compatibly with the gene deletion constraint. Comparing MOMA and FBA predictions to experimental flux data for E. coli pyruvate kinase mutant PB25, we find that MOMA displays a significantly higher correlation than FBA. Our method is further supported by experimental data for E. coli knockout growth rates. It can therefore be used for predicting the behavior of perturbed metabolic networks, whose growth performance is in general suboptimal. MOMA and its possible future extensions may be useful in understanding the evolutionary optimization of metabolism.", "author" : [ { "dropping-particle" : "", "family" : "Segr\u00e8", "given" : "Daniel", "non-dropping-particle" : "", "parse-names" : false, "suffix" : "" }, { "dropping-particle" : "", "family" : "Vitkup", "given" : "Dennis", "non-dropping-particle" : "", "parse-names" : false, "suffix" : "" }, { "dropping-particle" : "", "family" : "Church", "given" : "George M", "non-dropping-particle" : "", "parse-names" : false, "suffix" : "" } ], "container-title" : "Proceedings of the National Academy of Sciences of the United States of America", "id" : "ITEM-1", "issue" : "23", "issued" : { "date-parts" : [ [ "2002" ] ] }, "page" : "15112-15117", "title" : "Analysis of optimality in natural and perturbed metabolic networks.", "type" : "article-journal", "volume" : "99" }, "uris" : [ "http://www.mendeley.com/documents/?uuid=4fabaa08-d6c7-4362-85b1-ac5ac4909f26" ] } ], "mendeley" : { "formattedCitation" : "(Segr\u00e8 &lt;i&gt;et al.&lt;/i&gt;, 2002)", "plainTextFormattedCitation" : "(Segr\u00e8 et al., 2002)", "previouslyFormattedCitation" : "(Segr\u00e8 &lt;i&gt;et al.&lt;/i&gt;, 2002)" }, "properties" : { "noteIndex" : 0 }, "schema" : "https://github.com/citation-style-language/schema/raw/master/csl-citation.json" }</w:instrText>
      </w:r>
      <w:r>
        <w:fldChar w:fldCharType="separate"/>
      </w:r>
      <w:r w:rsidRPr="000741C0">
        <w:rPr>
          <w:noProof/>
        </w:rPr>
        <w:t xml:space="preserve">(Segrè </w:t>
      </w:r>
      <w:r w:rsidRPr="000741C0">
        <w:rPr>
          <w:i/>
          <w:noProof/>
        </w:rPr>
        <w:t>et al.</w:t>
      </w:r>
      <w:r w:rsidRPr="000741C0">
        <w:rPr>
          <w:noProof/>
        </w:rPr>
        <w:t>, 2002)</w:t>
      </w:r>
      <w:r>
        <w:fldChar w:fldCharType="end"/>
      </w:r>
      <w:r>
        <w:t xml:space="preserve">. </w:t>
      </w:r>
    </w:p>
    <w:p w:rsidR="00F53AE5" w:rsidRDefault="00F53AE5" w:rsidP="00F53AE5">
      <w:pPr>
        <w:pStyle w:val="ListParagraph"/>
        <w:numPr>
          <w:ilvl w:val="0"/>
          <w:numId w:val="1"/>
        </w:numPr>
      </w:pPr>
      <w:r>
        <w:t>Relaxes the optimal growth flux for mutants, and instead of finding an optimal growth configuration (maximizing the optimization) it finds the configuration closest to the given “wild-type” configuration.</w:t>
      </w:r>
    </w:p>
    <w:p w:rsidR="00F53AE5" w:rsidRDefault="00F53AE5" w:rsidP="00F53AE5">
      <w:pPr>
        <w:pStyle w:val="ListParagraph"/>
        <w:numPr>
          <w:ilvl w:val="0"/>
          <w:numId w:val="1"/>
        </w:numPr>
      </w:pPr>
      <w:r>
        <w:t>The “wild-type” configuration doesn’t have to be from FBA, can be experimentally derived, or anything you like.</w:t>
      </w:r>
    </w:p>
    <w:p w:rsidR="00F53AE5" w:rsidRDefault="00F53AE5" w:rsidP="00180FD7">
      <w:pPr>
        <w:pStyle w:val="ListParagraph"/>
        <w:numPr>
          <w:ilvl w:val="0"/>
          <w:numId w:val="1"/>
        </w:numPr>
      </w:pPr>
      <w:r>
        <w:t>Uses a quadratic optimization function (probably sum of squares; ie distance).</w:t>
      </w:r>
    </w:p>
    <w:p w:rsidR="00F53AE5" w:rsidRDefault="00F53AE5" w:rsidP="00F53AE5">
      <w:r>
        <w:t xml:space="preserve">ROOM (regulatory on-off minimization) is another related variant, and performed better in yeast than FBA or MoMA </w:t>
      </w:r>
      <w:r>
        <w:fldChar w:fldCharType="begin" w:fldLock="1"/>
      </w:r>
      <w:r>
        <w:instrText>ADDIN CSL_CITATION { "citationItems" : [ { "id" : "ITEM-1", "itemData" : { "DOI" : "10.1073/pnas.0406346102", "ISBN" : "0027-8424 (Print)\\r0027-8424 (Linking)", "ISSN" : "0027-8424, 1091-6490", "PMID" : "15897462", "abstract" : "Predicting the metabolic state of an organism after a gene knockout is a challenging task, because the regulatory system governs a series of transient metabolic changes that converge to a steady-state condition. Regulatory on/off minimization (ROOM) is a constraint-based algorithm for predicting the metabolic steady state after gene knockouts. It aims to minimize the number of significant flux changes (hence on/off) with respect to the wild type. ROOM is shown to accurately predict steady-state metabolic fluxes that maintain flux linearity, in agreement with experimental flux measurements, and to correctly identify short alternative pathways used for rerouting metabolic flux in response to gene knockouts. ROOM's growth rate and flux predictions are compared with previously suggested algorithms, minimization of metabolic adjustment, and flux balance analysis (FBA). We find that minimization of metabolic adjustment provides accurate predictions for the initial transient growth rates observed during the early postperturbation state, whereas ROOM and FBA more successfully predict final higher steady-state growth rates. Although FBA explicitly maximizes the growth rate, ROOM does not, and only implicitly favors flux distributions having high growth rates. This indicates that, even though the cell has not evolved to cope with specific mutations, regulatory mechanisms aiming to minimize flux changes after genetic perturbations may indeed work to this effect. Further work is needed to identify metrics that characterize the complete trajectory from the initial to the final metabolic steady states after genetic perturbations.", "author" : [ { "dropping-particle" : "", "family" : "Shlomi", "given" : "Tomer", "non-dropping-particle" : "", "parse-names" : false, "suffix" : "" }, { "dropping-particle" : "", "family" : "Berkman", "given" : "O", "non-dropping-particle" : "", "parse-names" : false, "suffix" : "" }, { "dropping-particle" : "", "family" : "Ruppin", "given" : "Eytan", "non-dropping-particle" : "", "parse-names" : false, "suffix" : "" } ], "container-title" : "Proceedings of the National Academy of Sciences of the United States of America", "id" : "ITEM-1", "issue" : "21", "issued" : { "date-parts" : [ [ "2005" ] ] }, "page" : "7695-7700", "title" : "Regulatory on/off minimization of metabolic flux changes after genetic perturbations", "type" : "article-journal", "volume" : "102" }, "uris" : [ "http://www.mendeley.com/documents/?uuid=a91225f7-4006-4d21-b252-6636d3f5d024" ] } ], "mendeley" : { "formattedCitation" : "(Shlomi &lt;i&gt;et al.&lt;/i&gt;, 2005)", "plainTextFormattedCitation" : "(Shlomi et al., 2005)", "previouslyFormattedCitation" : "(Shlomi &lt;i&gt;et al.&lt;/i&gt;, 2005)" }, "properties" : { "noteIndex" : 0 }, "schema" : "https://github.com/citation-style-language/schema/raw/master/csl-citation.json" }</w:instrText>
      </w:r>
      <w:r>
        <w:fldChar w:fldCharType="separate"/>
      </w:r>
      <w:r w:rsidRPr="000741C0">
        <w:rPr>
          <w:noProof/>
        </w:rPr>
        <w:t xml:space="preserve">(Shlomi </w:t>
      </w:r>
      <w:r w:rsidRPr="000741C0">
        <w:rPr>
          <w:i/>
          <w:noProof/>
        </w:rPr>
        <w:t>et al.</w:t>
      </w:r>
      <w:r w:rsidRPr="000741C0">
        <w:rPr>
          <w:noProof/>
        </w:rPr>
        <w:t>, 2005)</w:t>
      </w:r>
      <w:r>
        <w:fldChar w:fldCharType="end"/>
      </w:r>
      <w:r>
        <w:t>.</w:t>
      </w:r>
    </w:p>
    <w:p w:rsidR="00F53AE5" w:rsidRDefault="00F53AE5" w:rsidP="00F53AE5">
      <w:pPr>
        <w:pStyle w:val="ListParagraph"/>
        <w:numPr>
          <w:ilvl w:val="0"/>
          <w:numId w:val="1"/>
        </w:numPr>
      </w:pPr>
      <w:r>
        <w:t>Instead of finding a configuration that is closest to “wild-type” as averaged over the fluxes in the network, it finds the closest configuration as measured by the number of fluxes significantly different.</w:t>
      </w:r>
    </w:p>
    <w:p w:rsidR="00180FD7" w:rsidRDefault="00180FD7" w:rsidP="00F53AE5">
      <w:pPr>
        <w:pStyle w:val="ListParagraph"/>
        <w:numPr>
          <w:ilvl w:val="0"/>
          <w:numId w:val="1"/>
        </w:numPr>
      </w:pPr>
      <w:r>
        <w:t>Requires a mixed integer linear program solver.</w:t>
      </w:r>
    </w:p>
    <w:p w:rsidR="001B06CA" w:rsidRPr="001B06CA" w:rsidRDefault="001B06CA" w:rsidP="001B06CA">
      <w:r>
        <w:t>Metabolite essentiality analysis (MEA)</w:t>
      </w:r>
      <w:r w:rsidR="00BC4AAE">
        <w:t>, which is similar but testing the metabolites directly,</w:t>
      </w:r>
      <w:r>
        <w:t xml:space="preserve"> was used to good effect to identify a very promising drug compound against a </w:t>
      </w:r>
      <w:r>
        <w:rPr>
          <w:i/>
        </w:rPr>
        <w:t>Vibrio</w:t>
      </w:r>
      <w:r w:rsidR="00BC4AAE">
        <w:rPr>
          <w:i/>
        </w:rPr>
        <w:t xml:space="preserve"> </w:t>
      </w:r>
      <w:r w:rsidR="00BC4AAE">
        <w:fldChar w:fldCharType="begin" w:fldLock="1"/>
      </w:r>
      <w:r w:rsidR="009E12B0">
        <w:instrText>ADDIN CSL_CITATION { "citationItems" : [ { "id" : "ITEM-1", "itemData" : { "DOI" : "10.1038/msb.2010.115", "ISSN" : "1744-4292 (Electronic)", "PMID" : "21245845", "abstract" : "Although the genomes of many microbial pathogens have been studied to help identify effective drug targets and novel drugs, such efforts have not yet reached full fruition. In this study, we report a systems biological approach that efficiently utilizes genomic information for drug targeting and discovery, and apply this approach to the opportunistic pathogen Vibrio vulnificus CMCP6. First, we partially re-sequenced and fully re-annotated the V. vulnificus CMCP6 genome, and accordingly reconstructed its genome-scale metabolic network, VvuMBEL943. The validated network model was employed to systematically predict drug targets using the concept of metabolite essentiality, along with additional filtering criteria. Target genes encoding enzymes that interact with the five essential metabolites finally selected were experimentally validated. These five essential metabolites are critical to the survival of the cell, and hence were used to guide the cost-effective selection of chemical analogs, which were then screened for antimicrobial activity in a whole-cell assay. This approach is expected to help fill the existing gap between genomics and drug discovery.", "author" : [ { "dropping-particle" : "", "family" : "Kim", "given" : "Hyun Uk", "non-dropping-particle" : "", "parse-names" : false, "suffix" : "" }, { "dropping-particle" : "", "family" : "Kim", "given" : "Soo Young", "non-dropping-particle" : "", "parse-names" : false, "suffix" : "" }, { "dropping-particle" : "", "family" : "Jeong", "given" : "Haeyoung", "non-dropping-particle" : "", "parse-names" : false, "suffix" : "" }, { "dropping-particle" : "", "family" : "Kim", "given" : "Tae Yong", "non-dropping-particle" : "", "parse-names" : false, "suffix" : "" }, { "dropping-particle" : "", "family" : "Kim", "given" : "Jae Jong", "non-dropping-particle" : "", "parse-names" : false, "suffix" : "" }, { "dropping-particle" : "", "family" : "Choy", "given" : "Hyon E", "non-dropping-particle" : "", "parse-names" : false, "suffix" : "" }, { "dropping-particle" : "", "family" : "Yi", "given" : "Kyu Yang", "non-dropping-particle" : "", "parse-names" : false, "suffix" : "" }, { "dropping-particle" : "", "family" : "Rhee", "given" : "Joon Haeng", "non-dropping-particle" : "", "parse-names" : false, "suffix" : "" }, { "dropping-particle" : "", "family" : "Lee", "given" : "Sang Yup", "non-dropping-particle" : "", "parse-names" : false, "suffix" : "" } ], "container-title" : "Molecular systems biology", "id" : "ITEM-1", "issued" : { "date-parts" : [ [ "2011", "1" ] ] }, "language" : "eng", "page" : "460", "publisher-place" : "England", "title" : "Integrative genome-scale metabolic analysis of Vibrio vulnificus for drug targeting and discovery.", "type" : "article-journal", "volume" : "7" }, "uris" : [ "http://www.mendeley.com/documents/?uuid=ff8a64f3-8eaf-4680-a3e6-b94588c8b3d9" ] } ], "mendeley" : { "formattedCitation" : "(Kim &lt;i&gt;et al.&lt;/i&gt;, 2011)", "plainTextFormattedCitation" : "(Kim et al., 2011)", "previouslyFormattedCitation" : "(Kim &lt;i&gt;et al.&lt;/i&gt;, 2011)" }, "properties" : { "noteIndex" : 0 }, "schema" : "https://github.com/citation-style-language/schema/raw/master/csl-citation.json" }</w:instrText>
      </w:r>
      <w:r w:rsidR="00BC4AAE">
        <w:fldChar w:fldCharType="separate"/>
      </w:r>
      <w:r w:rsidR="00BC4AAE" w:rsidRPr="00BC4AAE">
        <w:rPr>
          <w:noProof/>
        </w:rPr>
        <w:t xml:space="preserve">(Kim </w:t>
      </w:r>
      <w:r w:rsidR="00BC4AAE" w:rsidRPr="00BC4AAE">
        <w:rPr>
          <w:i/>
          <w:noProof/>
        </w:rPr>
        <w:t>et al.</w:t>
      </w:r>
      <w:r w:rsidR="00BC4AAE" w:rsidRPr="00BC4AAE">
        <w:rPr>
          <w:noProof/>
        </w:rPr>
        <w:t>, 2011)</w:t>
      </w:r>
      <w:r w:rsidR="00BC4AAE">
        <w:fldChar w:fldCharType="end"/>
      </w:r>
      <w:r>
        <w:t xml:space="preserve">. </w:t>
      </w:r>
    </w:p>
    <w:p w:rsidR="004663BA" w:rsidRDefault="004663BA" w:rsidP="00F53AE5">
      <w:r>
        <w:t>rFBA (regulatory) is a method of incorporating transcriptional regulation as Boolean operators</w:t>
      </w:r>
      <w:r w:rsidR="00532D8C">
        <w:t xml:space="preserve"> by Palsson </w:t>
      </w:r>
      <w:r w:rsidR="00532D8C">
        <w:rPr>
          <w:i/>
        </w:rPr>
        <w:t>et al</w:t>
      </w:r>
      <w:r>
        <w:t>.</w:t>
      </w:r>
    </w:p>
    <w:p w:rsidR="00F857A9" w:rsidRDefault="00532D8C" w:rsidP="00F857A9">
      <w:pPr>
        <w:pStyle w:val="ListParagraph"/>
        <w:numPr>
          <w:ilvl w:val="0"/>
          <w:numId w:val="1"/>
        </w:numPr>
      </w:pPr>
      <w:r>
        <w:t>The metabolism is modeled at steady-state, and the regulatory network is represented by a Boolean function, indicating the expression of each gene.</w:t>
      </w:r>
    </w:p>
    <w:p w:rsidR="00532D8C" w:rsidRDefault="00532D8C" w:rsidP="00F857A9">
      <w:pPr>
        <w:pStyle w:val="ListParagraph"/>
        <w:numPr>
          <w:ilvl w:val="0"/>
          <w:numId w:val="1"/>
        </w:numPr>
      </w:pPr>
      <w:r>
        <w:t>Proceeds in iterations; first computes a regulatory net consistent with the FBA steady state (metabolite concentrations may alter expression), then computes a new steady state with FBA.</w:t>
      </w:r>
    </w:p>
    <w:p w:rsidR="00532D8C" w:rsidRDefault="00AA2366" w:rsidP="00F857A9">
      <w:pPr>
        <w:pStyle w:val="ListParagraph"/>
        <w:numPr>
          <w:ilvl w:val="0"/>
          <w:numId w:val="1"/>
        </w:numPr>
      </w:pPr>
      <w:r>
        <w:t xml:space="preserve">In model of </w:t>
      </w:r>
      <w:r>
        <w:rPr>
          <w:i/>
        </w:rPr>
        <w:t>E. coli</w:t>
      </w:r>
      <w:r>
        <w:t>, FBA predicted high uptake of both glucose and lactose. rFBA predicted downregulating lactose uptake &amp; processing genes until glucose was gone, followed by their activation, and then the cell using lactose as the carbon source.</w:t>
      </w:r>
    </w:p>
    <w:p w:rsidR="00AA2366" w:rsidRDefault="0053029F" w:rsidP="00AA2366">
      <w:r>
        <w:t xml:space="preserve">SR-FBA is the next step, using a system of linear equations to model the regulatory net instead of Boolean on/off </w:t>
      </w:r>
      <w:r w:rsidR="00D3474E">
        <w:fldChar w:fldCharType="begin" w:fldLock="1"/>
      </w:r>
      <w:r w:rsidR="00D3474E">
        <w:instrText>ADDIN CSL_CITATION { "citationItems" : [ { "id" : "ITEM-1", "itemData" : { "DOI" : "10.1038/msb4100141", "ISBN" : "10.1038/msb4100141", "ISSN" : "1744-4292", "PMID" : "17437026", "abstract" : "This paper presents a new method, steady-state regulatory flux balance analysis (SR-FBA), for predicting gene expression and metabolic fluxes in a large-scale integrated metabolic-regulatory model. Using SR-FBA to study the metabolism of Escherichia coli, we quantify the extent to which the different levels of metabolic and transcriptional regulatory constraints determine metabolic behavior: metabolic constraints determine the flux activity state of 45-51% of metabolic genes, depending on the growth media, whereas transcription regulation determines the flux activity state of 13-20% of the genes. A considerable number of 36 genes are redundantly expressed, that is, they are expressed even though the fluxes of their associated reactions are zero, indicating that they are not optimally tuned for cellular flux demands. The undetermined state of the remaining approximately 30% of the genes suggests that they may represent metabolic variability within a given growth medium. Overall, SR-FBA enables one to address a host of new questions concerning the interplay between regulation and metabolism.", "author" : [ { "dropping-particle" : "", "family" : "Shlomi", "given" : "Tomer", "non-dropping-particle" : "", "parse-names" : false, "suffix" : "" }, { "dropping-particle" : "", "family" : "Eisenberg", "given" : "Yariv", "non-dropping-particle" : "", "parse-names" : false, "suffix" : "" }, { "dropping-particle" : "", "family" : "Sharan", "given" : "Roded", "non-dropping-particle" : "", "parse-names" : false, "suffix" : "" }, { "dropping-particle" : "", "family" : "Ruppin", "given" : "Eytan", "non-dropping-particle" : "", "parse-names" : false, "suffix" : "" } ], "container-title" : "Molecular Systems Biology", "id" : "ITEM-1", "issue" : "101", "issued" : { "date-parts" : [ [ "2007" ] ] }, "page" : "101", "title" : "A genome-scale computational study of the interplay between transcriptional regulation and metabolism.", "type" : "article-journal", "volume" : "3" }, "uris" : [ "http://www.mendeley.com/documents/?uuid=7d276f0d-52a2-4275-a318-9ebcec06f615" ] } ], "mendeley" : { "formattedCitation" : "(Shlomi &lt;i&gt;et al.&lt;/i&gt;, 2007)", "plainTextFormattedCitation" : "(Shlomi et al., 2007)", "previouslyFormattedCitation" : "(Shlomi &lt;i&gt;et al.&lt;/i&gt;, 2007)" }, "properties" : { "noteIndex" : 0 }, "schema" : "https://github.com/citation-style-language/schema/raw/master/csl-citation.json" }</w:instrText>
      </w:r>
      <w:r w:rsidR="00D3474E">
        <w:fldChar w:fldCharType="separate"/>
      </w:r>
      <w:r w:rsidR="00D3474E" w:rsidRPr="00D3474E">
        <w:rPr>
          <w:noProof/>
        </w:rPr>
        <w:t xml:space="preserve">(Shlomi </w:t>
      </w:r>
      <w:r w:rsidR="00D3474E" w:rsidRPr="00D3474E">
        <w:rPr>
          <w:i/>
          <w:noProof/>
        </w:rPr>
        <w:t>et al.</w:t>
      </w:r>
      <w:r w:rsidR="00D3474E" w:rsidRPr="00D3474E">
        <w:rPr>
          <w:noProof/>
        </w:rPr>
        <w:t>, 2007)</w:t>
      </w:r>
      <w:r w:rsidR="00D3474E">
        <w:fldChar w:fldCharType="end"/>
      </w:r>
      <w:r w:rsidR="00D3474E">
        <w:t>.</w:t>
      </w:r>
    </w:p>
    <w:p w:rsidR="00D3474E" w:rsidRDefault="00D3474E" w:rsidP="00D3474E">
      <w:pPr>
        <w:pStyle w:val="ListParagraph"/>
        <w:numPr>
          <w:ilvl w:val="0"/>
          <w:numId w:val="1"/>
        </w:numPr>
      </w:pPr>
      <w:r>
        <w:t>Requires a mixed integer linear program solver.</w:t>
      </w:r>
    </w:p>
    <w:p w:rsidR="00D3474E" w:rsidRDefault="00D3474E" w:rsidP="00D3474E">
      <w:r>
        <w:t xml:space="preserve">Energy balance analysis is a method to allow reaction bounds to be dictated by metabolite concentrations </w:t>
      </w:r>
      <w:r>
        <w:fldChar w:fldCharType="begin" w:fldLock="1"/>
      </w:r>
      <w:r>
        <w:instrText>ADDIN CSL_CITATION { "citationItems" : [ { "id" : "ITEM-1", "itemData" : { "DOI" : "10.1016/S0006-3495(02)75150-3", "ISBN" : "0006-3495", "ISSN" : "00063495", "PMID" : "12080101", "abstract" : "Predicting behavior of large-scale biochemical networks represents one of the greatest challenges of bioinformatics and computational biology. Computational tools for predicting fluxes in biochemical networks are applied in the fields of integrated and systems biology, bioinformatics, and genomics, and to aid in drug discovery and identification of potential drug targets. Approaches, such as flux balance analysis (FBA), that account for the known stoichiometry of the reaction network while avoiding implementation of detailed reaction kinetics are promising tools for the analysis of large complex networks. Here we introduce energy balance analysis (EBA)\u2014the theory and methodology for enforcing the laws of thermodynamics in such simulations\u2014making the results more physically realistic and revealing greater insight into the regulatory and control mechanisms operating in complex large-scale systems. We show that EBA eliminates thermodynamically infeasible results associated with FBA.", "author" : [ { "dropping-particle" : "", "family" : "Beard", "given" : "Daniel A.", "non-dropping-particle" : "", "parse-names" : false, "suffix" : "" }, { "dropping-particle" : "", "family" : "Liang", "given" : "Shou-dan", "non-dropping-particle" : "", "parse-names" : false, "suffix" : "" }, { "dropping-particle" : "", "family" : "Qian", "given" : "Hong", "non-dropping-particle" : "", "parse-names" : false, "suffix" : "" } ], "container-title" : "Biophysical Journal", "id" : "ITEM-1", "issue" : "1", "issued" : { "date-parts" : [ [ "2002" ] ] }, "page" : "79-86", "title" : "Energy Balance for Analysis of Complex Metabolic Networks", "type" : "article-journal", "volume" : "83" }, "uris" : [ "http://www.mendeley.com/documents/?uuid=46b7fed1-9ad9-482d-8a90-72dbc32905cb" ] } ], "mendeley" : { "formattedCitation" : "(Beard &lt;i&gt;et al.&lt;/i&gt;, 2002)", "plainTextFormattedCitation" : "(Beard et al., 2002)", "previouslyFormattedCitation" : "(Beard &lt;i&gt;et al.&lt;/i&gt;, 2002)" }, "properties" : { "noteIndex" : 0 }, "schema" : "https://github.com/citation-style-language/schema/raw/master/csl-citation.json" }</w:instrText>
      </w:r>
      <w:r>
        <w:fldChar w:fldCharType="separate"/>
      </w:r>
      <w:r w:rsidRPr="00D3474E">
        <w:rPr>
          <w:noProof/>
        </w:rPr>
        <w:t xml:space="preserve">(Beard </w:t>
      </w:r>
      <w:r w:rsidRPr="00D3474E">
        <w:rPr>
          <w:i/>
          <w:noProof/>
        </w:rPr>
        <w:t>et al.</w:t>
      </w:r>
      <w:r w:rsidRPr="00D3474E">
        <w:rPr>
          <w:noProof/>
        </w:rPr>
        <w:t>, 2002)</w:t>
      </w:r>
      <w:r>
        <w:fldChar w:fldCharType="end"/>
      </w:r>
      <w:r>
        <w:t>.</w:t>
      </w:r>
    </w:p>
    <w:p w:rsidR="00D3474E" w:rsidRDefault="00D3474E" w:rsidP="00D3474E">
      <w:pPr>
        <w:pStyle w:val="ListParagraph"/>
        <w:numPr>
          <w:ilvl w:val="0"/>
          <w:numId w:val="1"/>
        </w:numPr>
      </w:pPr>
      <w:r>
        <w:t>Mixed integer as well as quadratic optimization function.</w:t>
      </w:r>
    </w:p>
    <w:p w:rsidR="00D3474E" w:rsidRDefault="00D3474E" w:rsidP="00D3474E">
      <w:pPr>
        <w:pStyle w:val="ListParagraph"/>
        <w:numPr>
          <w:ilvl w:val="0"/>
          <w:numId w:val="1"/>
        </w:numPr>
      </w:pPr>
      <w:r>
        <w:t>Allowed them to explain some previous incorrect essentiality predictions from FBA.</w:t>
      </w:r>
    </w:p>
    <w:p w:rsidR="00D3474E" w:rsidRDefault="00D3474E" w:rsidP="00D3474E">
      <w:r>
        <w:t xml:space="preserve">FASIMU is a framework </w:t>
      </w:r>
      <w:r w:rsidR="00781E06">
        <w:t xml:space="preserve">for a few different types of FBA, including a more modern take on EBA </w:t>
      </w:r>
      <w:r w:rsidR="00781E06">
        <w:fldChar w:fldCharType="begin" w:fldLock="1"/>
      </w:r>
      <w:r w:rsidR="00CA44DA">
        <w:instrText>ADDIN CSL_CITATION { "citationItems" : [ { "id" : "ITEM-1", "itemData" : { "DOI" : "10.1186/1471-2105-12-28", "ISBN" : "1471-2105", "ISSN" : "1471-2105", "PMID" : "21255455", "abstract" : "BACKGROUND: Flux-balance analysis based on linear optimization is widely used to compute metabolic fluxes in large metabolic networks and gains increasingly importance in network curation and structural analysis. Thus, a computational tool flexible enough to realize a wide variety of FBA algorithms and able to handle batch series of flux-balance optimizations is of great benefit.\\n\\nRESULTS: We present FASIMU, a command line oriented software for the computation of flux distributions using a variety of the most common FBA algorithms, including the first available implementation of (i) weighted flux minimization, (ii) fitness maximization for partially inhibited enzymes, and (iii) of the concentration-based thermodynamic feasibility constraint. It allows batch computation with varying objectives and constraints suited for network pruning, leak analysis, flux-variability analysis, and systematic probing of metabolic objectives for network curation. Input and output supports SBML. FASIMU can work with free (lp_solve and GLPK) or commercial solvers (CPLEX, LINDO). A new plugin (faBiNA) for BiNA allows to conveniently visualize calculated flux distributions. The platform-independent program is an open-source project, freely available under GNU public license at http://www.bioinformatics.org/fasimu including manual, tutorial, and plugins.\\n\\nCONCLUSIONS: We present a flux-balance optimization program whose main merits are the implementation of thermodynamics as a constraint, batch series of computations, free availability of sources, choice on various external solvers, and the flexibility on metabolic objectives and constraints.", "author" : [ { "dropping-particle" : "", "family" : "Hoppe", "given" : "Andreas", "non-dropping-particle" : "", "parse-names" : false, "suffix" : "" }, { "dropping-particle" : "", "family" : "Hoffmann", "given" : "Sabrina", "non-dropping-particle" : "", "parse-names" : false, "suffix" : "" }, { "dropping-particle" : "", "family" : "Gerasch", "given" : "Andreas", "non-dropping-particle" : "", "parse-names" : false, "suffix" : "" }, { "dropping-particle" : "", "family" : "Gille", "given" : "Christoph", "non-dropping-particle" : "", "parse-names" : false, "suffix" : "" }, { "dropping-particle" : "", "family" : "Holzh\u00fctter", "given" : "Hermann-Georg", "non-dropping-particle" : "", "parse-names" : false, "suffix" : "" } ], "container-title" : "BMC bioinformatics", "id" : "ITEM-1", "issue" : "1", "issued" : { "date-parts" : [ [ "2011" ] ] }, "page" : "28", "title" : "FASIMU: flexible software for flux-balance computation series in large metabolic networks.", "type" : "article-journal", "volume" : "12" }, "uris" : [ "http://www.mendeley.com/documents/?uuid=cd6eab85-4b15-45bd-b3be-67dffffbb823" ] } ], "mendeley" : { "formattedCitation" : "(Hoppe &lt;i&gt;et al.&lt;/i&gt;, 2011)", "plainTextFormattedCitation" : "(Hoppe et al., 2011)", "previouslyFormattedCitation" : "(Hoppe &lt;i&gt;et al.&lt;/i&gt;, 2011)" }, "properties" : { "noteIndex" : 0 }, "schema" : "https://github.com/citation-style-language/schema/raw/master/csl-citation.json" }</w:instrText>
      </w:r>
      <w:r w:rsidR="00781E06">
        <w:fldChar w:fldCharType="separate"/>
      </w:r>
      <w:r w:rsidR="00781E06" w:rsidRPr="00781E06">
        <w:rPr>
          <w:noProof/>
        </w:rPr>
        <w:t xml:space="preserve">(Hoppe </w:t>
      </w:r>
      <w:r w:rsidR="00781E06" w:rsidRPr="00781E06">
        <w:rPr>
          <w:i/>
          <w:noProof/>
        </w:rPr>
        <w:t>et al.</w:t>
      </w:r>
      <w:r w:rsidR="00781E06" w:rsidRPr="00781E06">
        <w:rPr>
          <w:noProof/>
        </w:rPr>
        <w:t>, 2011)</w:t>
      </w:r>
      <w:r w:rsidR="00781E06">
        <w:fldChar w:fldCharType="end"/>
      </w:r>
      <w:r w:rsidR="00781E06">
        <w:t>.</w:t>
      </w:r>
    </w:p>
    <w:p w:rsidR="00CA44DA" w:rsidRDefault="00781E06" w:rsidP="00CA44DA">
      <w:pPr>
        <w:pStyle w:val="ListParagraph"/>
        <w:numPr>
          <w:ilvl w:val="0"/>
          <w:numId w:val="1"/>
        </w:numPr>
      </w:pPr>
      <w:r>
        <w:t>Does weighted flux minimization, fitness maximization for partially inhibited enzymes, and concentration-based thermodynamic feasibility constraints.</w:t>
      </w:r>
    </w:p>
    <w:p w:rsidR="00AB63D5" w:rsidRDefault="00AB63D5" w:rsidP="00AB63D5">
      <w:r>
        <w:lastRenderedPageBreak/>
        <w:t xml:space="preserve">An approach was made with multi-objective optimization and EBA; designed to work on mammalian liver cells, that change their metabolism based on detected toxins </w:t>
      </w:r>
      <w:r>
        <w:fldChar w:fldCharType="begin" w:fldLock="1"/>
      </w:r>
      <w:r>
        <w:instrText>ADDIN CSL_CITATION { "citationItems" : [ { "id" : "ITEM-1", "itemData" : { "DOI" : "10.1007/s10439-007-9283-0", "ISSN" : "0090-6964", "PMID" : "17393337", "abstract" : "Flux balance analysis (FBA) provides a framework for the estimation of intracellular fluxes and energy balance analysis (EBA) ensures the thermodynamic feasibility of the computed optimal fluxes. Previously, these techniques have been used to obtain optimal fluxes that maximize a single objective. Because mammalian systems perform various functions, a multi-objective approach is needed when seeking optimal flux distributions in such systems. For example, hepatocytes perform several metabolic functions at various levels depending on environmental conditions; furthermore, there is a potential benefit to enhance some of these functions for applications such as bioartificial liver (BAL) support devices. Herein we developed a multi-objective optimization approach that couples the normalized Normal Constraint (NC) with both FBA and EBA to obtain multi-objective Pareto-optimal solutions. We investigated the Pareto frontiers in gluconeogenic and glycolytic hepatocytes for various combinations of liver-specific objectives (albumin synthesis, glutathione synthesis, NADPH synthesis, ATP generation, and urea secretion). Next, we evaluated the impact of experimental flux measurements on the Pareto frontiers. We found that measurements induce dramatic changes in Pareto frontiers and further constrain the network fluxes. This multi-objective optimality analysis may help explain certain features of the metabolic control of hepatocytes, which is relevant to the response to hepatocytes and liver to various physiological stimuli and disease states.", "author" : [ { "dropping-particle" : "", "family" : "Nagrath", "given" : "Deepak", "non-dropping-particle" : "", "parse-names" : false, "suffix" : "" }, { "dropping-particle" : "", "family" : "Avila-Elchiver", "given" : "Marco", "non-dropping-particle" : "", "parse-names" : false, "suffix" : "" }, { "dropping-particle" : "", "family" : "Tilles", "given" : "Francois Berthiaume and Arno W.", "non-dropping-particle" : "", "parse-names" : false, "suffix" : "" }, { "dropping-particle" : "", "family" : "Messac", "given" : "Achille", "non-dropping-particle" : "", "parse-names" : false, "suffix" : "" }, { "dropping-particle" : "", "family" : "Yarmush", "given" : "Martin L.", "non-dropping-particle" : "", "parse-names" : false, "suffix" : "" } ], "container-title" : "Ann Biomed Eng", "id" : "ITEM-1", "issue" : "6", "issued" : { "date-parts" : [ [ "2007" ] ] }, "page" : "863\u2013885", "title" : "Integrated energy and flux balance based multiobjective framework for large-scale metabolic networks.", "type" : "article-journal", "volume" : "35" }, "uris" : [ "http://www.mendeley.com/documents/?uuid=ffc75149-fd69-417e-a1bb-013ae002ae02" ] } ], "mendeley" : { "formattedCitation" : "(Nagrath &lt;i&gt;et al.&lt;/i&gt;, 2007)", "plainTextFormattedCitation" : "(Nagrath et al., 2007)", "previouslyFormattedCitation" : "(Nagrath &lt;i&gt;et al.&lt;/i&gt;, 2007)" }, "properties" : { "noteIndex" : 0 }, "schema" : "https://github.com/citation-style-language/schema/raw/master/csl-citation.json" }</w:instrText>
      </w:r>
      <w:r>
        <w:fldChar w:fldCharType="separate"/>
      </w:r>
      <w:r w:rsidRPr="00CA44DA">
        <w:rPr>
          <w:noProof/>
        </w:rPr>
        <w:t xml:space="preserve">(Nagrath </w:t>
      </w:r>
      <w:r w:rsidRPr="00CA44DA">
        <w:rPr>
          <w:i/>
          <w:noProof/>
        </w:rPr>
        <w:t>et al.</w:t>
      </w:r>
      <w:r w:rsidRPr="00CA44DA">
        <w:rPr>
          <w:noProof/>
        </w:rPr>
        <w:t>, 2007)</w:t>
      </w:r>
      <w:r>
        <w:fldChar w:fldCharType="end"/>
      </w:r>
      <w:r>
        <w:t>.</w:t>
      </w:r>
    </w:p>
    <w:p w:rsidR="00AB63D5" w:rsidRDefault="00AB63D5" w:rsidP="00AB63D5">
      <w:r>
        <w:t xml:space="preserve">Flux coupling finder identifies reactions that are incapable of carrying flux in the current model; likely indicate problems with the network </w:t>
      </w:r>
      <w:r>
        <w:fldChar w:fldCharType="begin" w:fldLock="1"/>
      </w:r>
      <w:r>
        <w:instrText>ADDIN CSL_CITATION { "citationItems" : [ { "id" : "ITEM-1", "itemData" : { "DOI" : "10.1101/gr.1926504", "ISBN" : "1088-9051 (Print)", "ISSN" : "10889051", "PMID" : "14718379", "abstract" : "In this paper, we introduce the Flux Coupling Finder (FCF) framework for elucidating the topological and flux connectivity features of genome-scale metabolic networks. The framework is demonstrated on genome-scale metabolic reconstructions of Helicobacter pylori, Escherichia coli, and Saccharomyces cerevisiae. The analysis allows one to determine whether any two metabolic fluxes, v(1) and v(2), are (1) directionally coupled, if a non-zero flux for v(1) implies a non-zero flux for v(2) but not necessarily the reverse; (2) partially coupled, if a non-zero flux for v(1) implies a non-zero, though variable, flux for v(2) and vice versa; or (3) fully coupled, if a non-zero flux for v(1) implies not only a non-zero but also a fixed flux for v(2) and vice versa. Flux coupling analysis also enables the global identification of blocked reactions, which are all reactions incapable of carrying flux under a certain condition; equivalent knockouts, defined as the set of all possible reactions whose deletion forces the flux through a particular reaction to zero; and sets of affected reactions denoting all reactions whose fluxes are forced to zero if a particular reaction is deleted. The FCF approach thus provides a novel and versatile tool for aiding metabolic reconstructions and guiding genetic manipulations.", "author" : [ { "dropping-particle" : "", "family" : "Burgard", "given" : "Anthony P.", "non-dropping-particle" : "", "parse-names" : false, "suffix" : "" }, { "dropping-particle" : "V.", "family" : "Nikolaev", "given" : "Evgeni", "non-dropping-particle" : "", "parse-names" : false, "suffix" : "" }, { "dropping-particle" : "", "family" : "Schilling", "given" : "Christophe H.", "non-dropping-particle" : "", "parse-names" : false, "suffix" : "" }, { "dropping-particle" : "", "family" : "Maranas", "given" : "Costas D.", "non-dropping-particle" : "", "parse-names" : false, "suffix" : "" } ], "container-title" : "Genome Research", "id" : "ITEM-1", "issue" : "2", "issued" : { "date-parts" : [ [ "2004" ] ] }, "page" : "301-312", "title" : "Flux coupling analysis of genome-scale metabolic network reconstructions", "type" : "article-journal", "volume" : "14" }, "uris" : [ "http://www.mendeley.com/documents/?uuid=5270011d-8f8a-4a6d-bdef-cc37987188bf" ] } ], "mendeley" : { "formattedCitation" : "(Burgard &lt;i&gt;et al.&lt;/i&gt;, 2004)", "plainTextFormattedCitation" : "(Burgard et al., 2004)", "previouslyFormattedCitation" : "(Burgard &lt;i&gt;et al.&lt;/i&gt;, 2004)" }, "properties" : { "noteIndex" : 0 }, "schema" : "https://github.com/citation-style-language/schema/raw/master/csl-citation.json" }</w:instrText>
      </w:r>
      <w:r>
        <w:fldChar w:fldCharType="separate"/>
      </w:r>
      <w:r w:rsidRPr="00163FFE">
        <w:rPr>
          <w:noProof/>
        </w:rPr>
        <w:t xml:space="preserve">(Burgard </w:t>
      </w:r>
      <w:r w:rsidRPr="00045B99">
        <w:rPr>
          <w:i/>
          <w:noProof/>
        </w:rPr>
        <w:t>et al.</w:t>
      </w:r>
      <w:r w:rsidRPr="00163FFE">
        <w:rPr>
          <w:noProof/>
        </w:rPr>
        <w:t>, 2004)</w:t>
      </w:r>
      <w:r>
        <w:fldChar w:fldCharType="end"/>
      </w:r>
      <w:r>
        <w:t>. Can also identify hard-coupled reactions; these would be excellent drug targets, as the drug would essentially be hitting 2 targets.</w:t>
      </w:r>
    </w:p>
    <w:p w:rsidR="00AB63D5" w:rsidRDefault="00AB63D5" w:rsidP="00AB63D5">
      <w:r>
        <w:t xml:space="preserve">Methods exist to identify alternate optima of a linear programming problem that all produce the same optimal value of the objective function </w:t>
      </w:r>
      <w:r>
        <w:fldChar w:fldCharType="begin" w:fldLock="1"/>
      </w:r>
      <w:r>
        <w:instrText>ADDIN CSL_CITATION { "citationItems" : [ { "id" : "ITEM-1", "itemData" : { "DOI" : "10.1016/S0098-1354(00)00323-9", "ISBN" : "0098-1354", "ISSN" : "00981354", "abstract" : "We consider linear programming (LP) models for metabolic networks in which alternate optima often arise, and need to be identified to allow for data interpretation or the effective design of follow-up experiments. A recursive mixed-integer linear programming (MILP) algorithm is proposed for rigorously finding all alternate optima. The carbon trafficking alternatives of an Escherichia coli mutant lacking pyruvate kinase are analyzed with the proposed algorithm. The results are discussed in terms of using them as an input to isotopomer mapping matrix calculations in order to design 13C NMR experiments for maximum contrast. (C) 2000 Elsevier Science Ltd.", "author" : [ { "dropping-particle" : "", "family" : "Lee", "given" : "Sangbum", "non-dropping-particle" : "", "parse-names" : false, "suffix" : "" }, { "dropping-particle" : "", "family" : "Phalakornkule", "given" : "Chan", "non-dropping-particle" : "", "parse-names" : false, "suffix" : "" }, { "dropping-particle" : "", "family" : "Domach", "given" : "Michael M.", "non-dropping-particle" : "", "parse-names" : false, "suffix" : "" }, { "dropping-particle" : "", "family" : "Grossmann", "given" : "Ignacio E.", "non-dropping-particle" : "", "parse-names" : false, "suffix" : "" } ], "container-title" : "Computers and Chemical Engineering", "id" : "ITEM-1", "issue" : "2-7", "issued" : { "date-parts" : [ [ "2000" ] ] }, "page" : "711-716", "title" : "Recursive milp model for finding all the alternate optima in lp models for metabolic networks", "type" : "paper-conference", "volume" : "24" }, "uris" : [ "http://www.mendeley.com/documents/?uuid=a6a617bb-0a2a-4e5a-80d2-112850526143" ] } ], "mendeley" : { "formattedCitation" : "(Lee &lt;i&gt;et al.&lt;/i&gt;, 2000)", "plainTextFormattedCitation" : "(Lee et al., 2000)", "previouslyFormattedCitation" : "(Lee &lt;i&gt;et al.&lt;/i&gt;, 2000)" }, "properties" : { "noteIndex" : 0 }, "schema" : "https://github.com/citation-style-language/schema/raw/master/csl-citation.json" }</w:instrText>
      </w:r>
      <w:r>
        <w:fldChar w:fldCharType="separate"/>
      </w:r>
      <w:r w:rsidRPr="007F4F16">
        <w:rPr>
          <w:noProof/>
        </w:rPr>
        <w:t xml:space="preserve">(Lee </w:t>
      </w:r>
      <w:r w:rsidRPr="007F4F16">
        <w:rPr>
          <w:i/>
          <w:noProof/>
        </w:rPr>
        <w:t>et al.</w:t>
      </w:r>
      <w:r w:rsidRPr="007F4F16">
        <w:rPr>
          <w:noProof/>
        </w:rPr>
        <w:t>, 2000)</w:t>
      </w:r>
      <w:r>
        <w:fldChar w:fldCharType="end"/>
      </w:r>
      <w:r>
        <w:t>.</w:t>
      </w:r>
    </w:p>
    <w:p w:rsidR="00AB63D5" w:rsidRDefault="00AB63D5" w:rsidP="00AB63D5"/>
    <w:p w:rsidR="003724C4" w:rsidRDefault="00AB63D5" w:rsidP="00AB63D5">
      <w:pPr>
        <w:pStyle w:val="Heading2"/>
      </w:pPr>
      <w:bookmarkStart w:id="28" w:name="_Toc476562557"/>
      <w:r>
        <w:t>Less useful methods</w:t>
      </w:r>
      <w:bookmarkEnd w:id="28"/>
    </w:p>
    <w:p w:rsidR="00CA44DA" w:rsidRDefault="00CA44DA" w:rsidP="00CA44DA">
      <w:r>
        <w:t>OptKnock is a method to identify gene deletions that will help produce a desired metabolite.</w:t>
      </w:r>
    </w:p>
    <w:p w:rsidR="00CA44DA" w:rsidRDefault="00CA44DA" w:rsidP="00CA44DA">
      <w:pPr>
        <w:pStyle w:val="ListParagraph"/>
        <w:numPr>
          <w:ilvl w:val="0"/>
          <w:numId w:val="1"/>
        </w:numPr>
      </w:pPr>
      <w:r>
        <w:t>Uses a bi-level optimization, for both biomass and the metabolite of interest.</w:t>
      </w:r>
    </w:p>
    <w:p w:rsidR="00F53AE5" w:rsidRPr="00AB63D5" w:rsidRDefault="00AB63D5" w:rsidP="00F53AE5">
      <w:r>
        <w:t xml:space="preserve">FBAwMC is a method that incorporates the volume of the cell, and so enzyme availability in a crowded cytoplasm. FBAME does something similar, by restricting flux through specific </w:t>
      </w:r>
      <w:r>
        <w:rPr>
          <w:i/>
        </w:rPr>
        <w:t>E. coli</w:t>
      </w:r>
      <w:r>
        <w:t xml:space="preserve"> membrane transporters.</w:t>
      </w:r>
    </w:p>
    <w:p w:rsidR="00AB63D5" w:rsidRDefault="00AB63D5" w:rsidP="00AB63D5">
      <w:pPr>
        <w:pStyle w:val="ListParagraph"/>
        <w:numPr>
          <w:ilvl w:val="0"/>
          <w:numId w:val="1"/>
        </w:numPr>
      </w:pPr>
      <w:r>
        <w:t xml:space="preserve">Worked to good effect in </w:t>
      </w:r>
      <w:r>
        <w:rPr>
          <w:i/>
        </w:rPr>
        <w:t>E. coli</w:t>
      </w:r>
      <w:r>
        <w:t>, likely not scalable for me. Also probably requires a lot more biological data.</w:t>
      </w:r>
    </w:p>
    <w:p w:rsidR="00F53AE5" w:rsidRDefault="00F53AE5" w:rsidP="006E52D5"/>
    <w:p w:rsidR="00C93DBF" w:rsidRDefault="00C93DBF" w:rsidP="00AF394B"/>
    <w:p w:rsidR="00530462" w:rsidRDefault="009C06D0" w:rsidP="00530462">
      <w:pPr>
        <w:pStyle w:val="Heading2"/>
      </w:pPr>
      <w:bookmarkStart w:id="29" w:name="_Toc476562558"/>
      <w:r>
        <w:t>Implementation n</w:t>
      </w:r>
      <w:r w:rsidR="00530462">
        <w:t>otes</w:t>
      </w:r>
      <w:bookmarkEnd w:id="29"/>
    </w:p>
    <w:p w:rsidR="008C2C76" w:rsidRDefault="008C2C76" w:rsidP="008C2C76">
      <w:r>
        <w:t xml:space="preserve">EC predictions in </w:t>
      </w:r>
      <w:r>
        <w:fldChar w:fldCharType="begin" w:fldLock="1"/>
      </w:r>
      <w:r>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C93DBF">
        <w:rPr>
          <w:noProof/>
        </w:rPr>
        <w:t xml:space="preserve">(Cotton </w:t>
      </w:r>
      <w:r w:rsidRPr="00C93DBF">
        <w:rPr>
          <w:i/>
          <w:noProof/>
        </w:rPr>
        <w:t>et al.</w:t>
      </w:r>
      <w:r w:rsidRPr="00C93DBF">
        <w:rPr>
          <w:noProof/>
        </w:rPr>
        <w:t>, 2016)</w:t>
      </w:r>
      <w:r>
        <w:fldChar w:fldCharType="end"/>
      </w:r>
      <w:r>
        <w:t xml:space="preserve"> were found by using DETECT v2 (cutoff ILS &gt;=0.9, &gt;=5 positive hits</w:t>
      </w:r>
      <w:r w:rsidRPr="00C93DBF">
        <w:rPr>
          <w:vertAlign w:val="superscript"/>
        </w:rPr>
        <w:t>100</w:t>
      </w:r>
      <w:r>
        <w:t>), BLASTP against SWISSPROT enzymes (cutoff 1E-10), PRIAM (min prob &gt;0.5, profile coverage 70%, check catalytic – TRUE), KAAS, EFICAz, and EC assignments from BRENDA. Reaction assignments to metabolic pathways and pathway hole filling was performed using Pathway Tools V18.</w:t>
      </w:r>
    </w:p>
    <w:p w:rsidR="008C2C76" w:rsidRDefault="008C2C76" w:rsidP="008C2C76">
      <w:pPr>
        <w:pStyle w:val="ListParagraph"/>
        <w:numPr>
          <w:ilvl w:val="0"/>
          <w:numId w:val="1"/>
        </w:numPr>
      </w:pPr>
      <w:r>
        <w:t>Priority appears to be BRENDA &gt; DETECT &gt; PRIAM + KAAS agreement.</w:t>
      </w:r>
    </w:p>
    <w:p w:rsidR="008C2C76" w:rsidRDefault="008C2C76" w:rsidP="008C2C76">
      <w:pPr>
        <w:pStyle w:val="ListParagraph"/>
        <w:numPr>
          <w:ilvl w:val="0"/>
          <w:numId w:val="1"/>
        </w:numPr>
      </w:pPr>
      <w:r>
        <w:t>Some reactions may be uninformative; if it only has DNA on both sides, remove it. Or just remove metabolites that are unchanged by a reaction.</w:t>
      </w:r>
    </w:p>
    <w:p w:rsidR="008C2C76" w:rsidRDefault="008C2C76" w:rsidP="008C2C76">
      <w:r>
        <w:t>Model setup</w:t>
      </w:r>
    </w:p>
    <w:p w:rsidR="008C2C76" w:rsidRDefault="008C2C76" w:rsidP="008C2C76">
      <w:pPr>
        <w:pStyle w:val="ListParagraph"/>
        <w:numPr>
          <w:ilvl w:val="0"/>
          <w:numId w:val="1"/>
        </w:numPr>
      </w:pPr>
      <w:r>
        <w:t>Directionality of reactions was taken from KEGG. Reversible was indicated by lower bound -1000 &amp; upper bound 1000 mmol (gDW h)</w:t>
      </w:r>
      <w:r w:rsidRPr="00243D26">
        <w:rPr>
          <w:vertAlign w:val="superscript"/>
        </w:rPr>
        <w:t>-1</w:t>
      </w:r>
      <w:r>
        <w:t>, while irreversible was indicated by lower/upper of 0/1000.</w:t>
      </w:r>
    </w:p>
    <w:p w:rsidR="008C2C76" w:rsidRDefault="008C2C76" w:rsidP="008C2C76">
      <w:pPr>
        <w:pStyle w:val="ListParagraph"/>
        <w:numPr>
          <w:ilvl w:val="0"/>
          <w:numId w:val="1"/>
        </w:numPr>
      </w:pPr>
      <w:r>
        <w:t>Added a non-growth-associated maintenance (NGAM) equation of 5 mmol.</w:t>
      </w:r>
    </w:p>
    <w:p w:rsidR="008C2C76" w:rsidRDefault="008C2C76" w:rsidP="008C2C76">
      <w:pPr>
        <w:pStyle w:val="ListParagraph"/>
        <w:numPr>
          <w:ilvl w:val="0"/>
          <w:numId w:val="1"/>
        </w:numPr>
      </w:pPr>
      <w:r>
        <w:t>Glucose uptake set at max of 10 mmol.</w:t>
      </w:r>
    </w:p>
    <w:p w:rsidR="008C2C76" w:rsidRDefault="008C2C76" w:rsidP="008C2C76">
      <w:pPr>
        <w:pStyle w:val="ListParagraph"/>
        <w:numPr>
          <w:ilvl w:val="0"/>
          <w:numId w:val="1"/>
        </w:numPr>
      </w:pPr>
      <w:r>
        <w:t>Initially allowed for diffusion of water, O2, CO2, ammonia, diphosphate, phosphate, and ethanol.</w:t>
      </w:r>
    </w:p>
    <w:p w:rsidR="008C2C76" w:rsidRDefault="008C2C76" w:rsidP="008C2C76">
      <w:pPr>
        <w:pStyle w:val="ListParagraph"/>
        <w:numPr>
          <w:ilvl w:val="0"/>
          <w:numId w:val="1"/>
        </w:numPr>
      </w:pPr>
      <w:r>
        <w:t>Allowed the transport of all amino acids.</w:t>
      </w:r>
    </w:p>
    <w:p w:rsidR="008C2C76" w:rsidRDefault="008C2C76" w:rsidP="008C2C76">
      <w:pPr>
        <w:pStyle w:val="ListParagraph"/>
        <w:numPr>
          <w:ilvl w:val="0"/>
          <w:numId w:val="1"/>
        </w:numPr>
      </w:pPr>
      <w:r>
        <w:t>Model biomass equations taken from previous networks of Toxo and Leishmania.</w:t>
      </w:r>
    </w:p>
    <w:p w:rsidR="008C2C76" w:rsidRDefault="008C2C76" w:rsidP="00530462">
      <w:pPr>
        <w:pStyle w:val="ListParagraph"/>
        <w:numPr>
          <w:ilvl w:val="0"/>
          <w:numId w:val="1"/>
        </w:numPr>
      </w:pPr>
      <w:r>
        <w:t xml:space="preserve">Reactions were not compartmentalized. Difficult to assign compartments, and to identify extant transport reactions between them. This assumption is expected to minimize false positives at the expense of increased false negatives </w:t>
      </w:r>
      <w:r>
        <w:fldChar w:fldCharType="begin" w:fldLock="1"/>
      </w:r>
      <w:r>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3A1A3F">
        <w:rPr>
          <w:noProof/>
        </w:rPr>
        <w:t xml:space="preserve">(Cotton </w:t>
      </w:r>
      <w:r w:rsidRPr="003A1A3F">
        <w:rPr>
          <w:i/>
          <w:noProof/>
        </w:rPr>
        <w:t>et al.</w:t>
      </w:r>
      <w:r w:rsidRPr="003A1A3F">
        <w:rPr>
          <w:noProof/>
        </w:rPr>
        <w:t>, 2016)</w:t>
      </w:r>
      <w:r>
        <w:fldChar w:fldCharType="end"/>
      </w:r>
      <w:r>
        <w:t>.</w:t>
      </w:r>
    </w:p>
    <w:p w:rsidR="00530462" w:rsidRDefault="00530462" w:rsidP="00530462">
      <w:r>
        <w:t>Should have a lower bound on the ATP maintenance reaction; indicates the minimum required to survive.</w:t>
      </w:r>
      <w:r w:rsidR="0098043E">
        <w:t xml:space="preserve"> Reflects ATP use </w:t>
      </w:r>
      <w:r w:rsidR="004652A0">
        <w:t>of non-growth associated processes like maintenance of electrochemical gradient.</w:t>
      </w:r>
      <w:r>
        <w:t xml:space="preserve"> For </w:t>
      </w:r>
      <w:r w:rsidRPr="00530462">
        <w:rPr>
          <w:i/>
        </w:rPr>
        <w:t>E. coli</w:t>
      </w:r>
      <w:r>
        <w:t xml:space="preserve"> was set to 8.39 mmol gDW</w:t>
      </w:r>
      <w:r w:rsidRPr="00530462">
        <w:rPr>
          <w:vertAlign w:val="superscript"/>
        </w:rPr>
        <w:t>-1</w:t>
      </w:r>
      <w:r>
        <w:t>hr</w:t>
      </w:r>
      <w:r w:rsidRPr="00530462">
        <w:rPr>
          <w:vertAlign w:val="superscript"/>
        </w:rPr>
        <w:t>-1</w:t>
      </w:r>
      <w:r>
        <w:t>. Get this from literature?</w:t>
      </w:r>
    </w:p>
    <w:p w:rsidR="00C15E75" w:rsidRDefault="00C15E75" w:rsidP="00530462">
      <w:r>
        <w:t>If a reaction can be carried out by two different enzymes, the GPR (gene-protein-reaction) will read pqr-2 or pqr-3. So a double-knockout would have to be performed</w:t>
      </w:r>
      <w:r w:rsidR="0067338C">
        <w:t xml:space="preserve"> to see the effect of losing the reaction</w:t>
      </w:r>
      <w:r>
        <w:t>.</w:t>
      </w:r>
      <w:r w:rsidR="0067338C">
        <w:t xml:space="preserve"> If multiple enzymes are required for a reaction, the GPR reads pqr-4 and pqr-5. In this case, knocking out either will result in loss of the reaction. Modeling it with FBA involves setting the flux upper and lower boundaries to 0.</w:t>
      </w:r>
    </w:p>
    <w:p w:rsidR="009C06D0" w:rsidRDefault="00EB49BF" w:rsidP="00530462">
      <w:r>
        <w:lastRenderedPageBreak/>
        <w:t>Gene knockout studies are</w:t>
      </w:r>
      <w:r w:rsidR="00A436B6">
        <w:t xml:space="preserve"> useful, and it’s easy to test all possible pairs of knockouts as well, to look for synthetic lethal pairs. No reason to think triples wouldn’t also be doable. Useful?</w:t>
      </w:r>
    </w:p>
    <w:p w:rsidR="004B0A0A" w:rsidRDefault="004B0A0A" w:rsidP="004B0A0A">
      <w:pPr>
        <w:pStyle w:val="ListParagraph"/>
        <w:numPr>
          <w:ilvl w:val="0"/>
          <w:numId w:val="1"/>
        </w:numPr>
      </w:pPr>
      <w:r>
        <w:t>Growth ratios are measured by dividing the yield with a knockout by the yield of the unrestrained model.</w:t>
      </w:r>
    </w:p>
    <w:p w:rsidR="004B0A0A" w:rsidRDefault="004B0A0A" w:rsidP="004B0A0A">
      <w:pPr>
        <w:pStyle w:val="ListParagraph"/>
        <w:numPr>
          <w:ilvl w:val="0"/>
          <w:numId w:val="1"/>
        </w:numPr>
      </w:pPr>
      <w:r>
        <w:t>A reaction is said to be essential if the growth ratio is less than 0.1.</w:t>
      </w:r>
    </w:p>
    <w:p w:rsidR="00A436B6" w:rsidRDefault="00A436B6" w:rsidP="00530462">
      <w:r>
        <w:t>Can also determine which genes are essential for each biomass precursor. Might be very useful to understand how to grow organism in the lab.</w:t>
      </w:r>
      <w:r w:rsidR="00812F97">
        <w:t xml:space="preserve"> Must add a demand reaction to each biomass precursor, then perform gene deletion study for these reactions.</w:t>
      </w:r>
    </w:p>
    <w:p w:rsidR="0019205D" w:rsidRDefault="0019205D" w:rsidP="00530462">
      <w:r>
        <w:t>Can identify which genes impact the flexibility of the network the most. Normally will be several (or a few) reactions with variable flux that still lead to the optimal (o</w:t>
      </w:r>
      <w:r w:rsidR="00A76FE5">
        <w:t>r very near) objective function. These represent alternate paths through the network that are (nearly) equivalent.</w:t>
      </w:r>
      <w:r w:rsidR="000E72F5">
        <w:t xml:space="preserve"> To do this, knockout one gene, </w:t>
      </w:r>
      <w:r w:rsidR="00A83863">
        <w:t>and then perform FVA on the non-essential genes. This is done when engineering strains to produce products, and they look for reactions with increased flux (through their desired product).</w:t>
      </w:r>
    </w:p>
    <w:p w:rsidR="005C66F4" w:rsidRDefault="005C66F4" w:rsidP="00530462"/>
    <w:p w:rsidR="009B0836" w:rsidRDefault="009B0836" w:rsidP="003156B2">
      <w:pPr>
        <w:pStyle w:val="Heading2"/>
      </w:pPr>
      <w:r>
        <w:t>Dynamic FBA</w:t>
      </w:r>
    </w:p>
    <w:p w:rsidR="003156B2" w:rsidRDefault="003156B2" w:rsidP="00530462">
      <w:r>
        <w:t xml:space="preserve">Reviewed for microbial communities in </w:t>
      </w:r>
      <w:r>
        <w:fldChar w:fldCharType="begin" w:fldLock="1"/>
      </w:r>
      <w:r w:rsidR="00952EFC">
        <w:instrText>ADDIN CSL_CITATION { "citationItems" : [ { "id" : "ITEM-1", "itemData" : { "DOI" : "10.1049/iet-syb.2013.0021", "ISSN" : "1751-8849", "PMID" : "25257022", "abstract" : "Dynamic flux balance analysis (DFBA) is an extension of classical flux balance analysis that allows the dynamic effects of the extracellular environment on microbial metabolism to be predicted and optimised. Recently this computational framework has been extended to microbial communities for which the individual species are known and genome-scale metabolic reconstructions are available. In this review, the authors provide an overview of the emerging DFBA approach with a focus on two case studies involving the conversion of mixed hexose/pentose sugar mixtures by synthetic microbial co-culture systems. These case studies illustrate the key requirements of the DFBA approach, including the incorporation of individual species metabolic reconstructions, formulation of extracellular mass balances, identification of substrate uptake kinetics, numerical solution of the coupled linear program/differential equations and model adaptation for common, suboptimal growth conditions and identified species interactions. The review concludes with a summary of progress to date and possible directions for future research.", "author" : [ { "dropping-particle" : "", "family" : "Henson", "given" : "Michael A", "non-dropping-particle" : "", "parse-names" : false, "suffix" : "" }, { "dropping-particle" : "", "family" : "Hanly", "given" : "Timothy J", "non-dropping-particle" : "", "parse-names" : false, "suffix" : "" } ], "container-title" : "IET systems biology", "id" : "ITEM-1", "issue" : "5", "issued" : { "date-parts" : [ [ "2014" ] ] }, "page" : "214-29", "title" : "Dynamic flux balance analysis for synthetic microbial communities.", "type" : "article-journal", "volume" : "8" }, "uris" : [ "http://www.mendeley.com/documents/?uuid=81c7710d-56ba-406d-aefb-6220037b540e" ] } ], "mendeley" : { "formattedCitation" : "(Henson and Hanly, 2014)", "plainTextFormattedCitation" : "(Henson and Hanly, 2014)", "previouslyFormattedCitation" : "(Henson and Hanly, 2014)" }, "properties" : { "noteIndex" : 0 }, "schema" : "https://github.com/citation-style-language/schema/raw/master/csl-citation.json" }</w:instrText>
      </w:r>
      <w:r>
        <w:fldChar w:fldCharType="separate"/>
      </w:r>
      <w:r w:rsidRPr="003156B2">
        <w:rPr>
          <w:noProof/>
        </w:rPr>
        <w:t>(Henson and Hanly, 2014)</w:t>
      </w:r>
      <w:r>
        <w:fldChar w:fldCharType="end"/>
      </w:r>
      <w:r>
        <w:t xml:space="preserve">. An extension of FBA that directly models the situation where an organism/population is given one batch of nutrients and allowed to grow. The import/export transport reactions are modified over time based on the remaining concentrations. </w:t>
      </w:r>
    </w:p>
    <w:p w:rsidR="009B0836" w:rsidRDefault="003156B2" w:rsidP="003156B2">
      <w:pPr>
        <w:pStyle w:val="ListParagraph"/>
        <w:numPr>
          <w:ilvl w:val="0"/>
          <w:numId w:val="1"/>
        </w:numPr>
      </w:pPr>
      <w:r>
        <w:t>Would allow metabolism of glucose, followed by a switch to lactose, for example.</w:t>
      </w:r>
    </w:p>
    <w:p w:rsidR="003156B2" w:rsidRDefault="003156B2" w:rsidP="003156B2">
      <w:pPr>
        <w:pStyle w:val="ListParagraph"/>
        <w:numPr>
          <w:ilvl w:val="0"/>
          <w:numId w:val="1"/>
        </w:numPr>
      </w:pPr>
      <w:r>
        <w:t>Also useful for incorporating gene regulatory information.</w:t>
      </w:r>
    </w:p>
    <w:p w:rsidR="00272FED" w:rsidRDefault="00272FED" w:rsidP="003156B2">
      <w:pPr>
        <w:pStyle w:val="ListParagraph"/>
        <w:numPr>
          <w:ilvl w:val="0"/>
          <w:numId w:val="1"/>
        </w:numPr>
      </w:pPr>
      <w:r>
        <w:t xml:space="preserve">Perform one large optimization, treating each species in the community as a separate compartment that does not directly exchange metabolites. Instead, metabolites are released into an extracellular space, and taken up from there. </w:t>
      </w:r>
    </w:p>
    <w:p w:rsidR="003156B2" w:rsidRDefault="003156B2" w:rsidP="00530462"/>
    <w:p w:rsidR="005C66F4" w:rsidRDefault="005C66F4" w:rsidP="005C66F4">
      <w:pPr>
        <w:pStyle w:val="Heading2"/>
      </w:pPr>
      <w:bookmarkStart w:id="30" w:name="_Toc476562559"/>
      <w:r>
        <w:t>Resources</w:t>
      </w:r>
      <w:bookmarkEnd w:id="30"/>
    </w:p>
    <w:p w:rsidR="005C66F4" w:rsidRDefault="00411F88" w:rsidP="00530462">
      <w:r>
        <w:t>Pathway databases:</w:t>
      </w:r>
    </w:p>
    <w:p w:rsidR="00411F88" w:rsidRDefault="00411F88" w:rsidP="00411F88">
      <w:pPr>
        <w:pStyle w:val="ListParagraph"/>
        <w:numPr>
          <w:ilvl w:val="0"/>
          <w:numId w:val="1"/>
        </w:numPr>
      </w:pPr>
      <w:r>
        <w:t>KEGG, BioCyc (</w:t>
      </w:r>
      <w:hyperlink r:id="rId10" w:history="1">
        <w:r w:rsidRPr="005574CC">
          <w:rPr>
            <w:rStyle w:val="Hyperlink"/>
          </w:rPr>
          <w:t>www.biocyc.org</w:t>
        </w:r>
      </w:hyperlink>
      <w:r>
        <w:t>), Biomodels (</w:t>
      </w:r>
      <w:hyperlink r:id="rId11" w:history="1">
        <w:r w:rsidRPr="005574CC">
          <w:rPr>
            <w:rStyle w:val="Hyperlink"/>
          </w:rPr>
          <w:t>www.biomodels.net</w:t>
        </w:r>
      </w:hyperlink>
      <w:r>
        <w:t xml:space="preserve">), SABIO-RK (analysis; </w:t>
      </w:r>
      <w:hyperlink r:id="rId12" w:history="1">
        <w:r w:rsidRPr="005574CC">
          <w:rPr>
            <w:rStyle w:val="Hyperlink"/>
          </w:rPr>
          <w:t>http://sabio.villa-bosch.de</w:t>
        </w:r>
      </w:hyperlink>
      <w:r>
        <w:t>).</w:t>
      </w:r>
    </w:p>
    <w:p w:rsidR="00411F88" w:rsidRDefault="00411F88" w:rsidP="00411F88">
      <w:r>
        <w:t>Genome and enzyme information:</w:t>
      </w:r>
    </w:p>
    <w:p w:rsidR="00411F88" w:rsidRDefault="00411F88" w:rsidP="00411F88">
      <w:pPr>
        <w:pStyle w:val="ListParagraph"/>
        <w:numPr>
          <w:ilvl w:val="0"/>
          <w:numId w:val="1"/>
        </w:numPr>
      </w:pPr>
      <w:r>
        <w:t>BRENDA (</w:t>
      </w:r>
      <w:hyperlink r:id="rId13" w:history="1">
        <w:r w:rsidRPr="005574CC">
          <w:rPr>
            <w:rStyle w:val="Hyperlink"/>
          </w:rPr>
          <w:t>www.brenda-enzymes.info</w:t>
        </w:r>
      </w:hyperlink>
      <w:r>
        <w:t>), PEDANT (</w:t>
      </w:r>
      <w:hyperlink r:id="rId14" w:history="1">
        <w:r w:rsidRPr="005574CC">
          <w:rPr>
            <w:rStyle w:val="Hyperlink"/>
          </w:rPr>
          <w:t>http://pedant.gsf.de</w:t>
        </w:r>
      </w:hyperlink>
      <w:r>
        <w:t xml:space="preserve">), Reactome (humans; </w:t>
      </w:r>
      <w:hyperlink r:id="rId15" w:history="1">
        <w:r w:rsidRPr="005574CC">
          <w:rPr>
            <w:rStyle w:val="Hyperlink"/>
          </w:rPr>
          <w:t>www.reactome.org</w:t>
        </w:r>
      </w:hyperlink>
      <w:r>
        <w:t>)</w:t>
      </w:r>
    </w:p>
    <w:p w:rsidR="00411F88" w:rsidRDefault="00411F88" w:rsidP="00411F88">
      <w:r>
        <w:t>Software analysis:</w:t>
      </w:r>
    </w:p>
    <w:p w:rsidR="00411F88" w:rsidRDefault="00411F88" w:rsidP="00411F88">
      <w:pPr>
        <w:pStyle w:val="ListParagraph"/>
        <w:numPr>
          <w:ilvl w:val="0"/>
          <w:numId w:val="1"/>
        </w:numPr>
      </w:pPr>
      <w:r>
        <w:t>COBRA, MetaFluxNet, CellNetAnalyzer, SNA: Stoichiometric network analysis, Yana (also visualization), PathwayAnalyser (FBA, MoMA, deletions), Systems Biology Research Tool (Wagner lab).</w:t>
      </w:r>
    </w:p>
    <w:p w:rsidR="00411F88" w:rsidRDefault="00411F88" w:rsidP="00411F88">
      <w:r>
        <w:t>FBA/MoMA solvers:</w:t>
      </w:r>
    </w:p>
    <w:p w:rsidR="00411F88" w:rsidRDefault="00411F88" w:rsidP="00411F88">
      <w:pPr>
        <w:pStyle w:val="ListParagraph"/>
        <w:numPr>
          <w:ilvl w:val="0"/>
          <w:numId w:val="1"/>
        </w:numPr>
      </w:pPr>
      <w:r>
        <w:t>LINDO, CPLEX, GLPK, OOQP.</w:t>
      </w:r>
    </w:p>
    <w:p w:rsidR="005C66F4" w:rsidRDefault="005C66F4" w:rsidP="00530462"/>
    <w:p w:rsidR="00A436B6" w:rsidRDefault="00A436B6" w:rsidP="00530462"/>
    <w:p w:rsidR="00530462" w:rsidRPr="00231239" w:rsidRDefault="00530462" w:rsidP="00530462"/>
    <w:p w:rsidR="007F4F16" w:rsidRDefault="007F4F16">
      <w:pPr>
        <w:spacing w:after="160" w:line="259" w:lineRule="auto"/>
      </w:pPr>
      <w:r>
        <w:br w:type="page"/>
      </w:r>
    </w:p>
    <w:p w:rsidR="007F4F16" w:rsidRDefault="007F4F16" w:rsidP="007F4F16">
      <w:pPr>
        <w:pStyle w:val="Heading1"/>
      </w:pPr>
      <w:bookmarkStart w:id="31" w:name="_Toc476562560"/>
      <w:r>
        <w:lastRenderedPageBreak/>
        <w:t>References</w:t>
      </w:r>
      <w:bookmarkEnd w:id="31"/>
    </w:p>
    <w:p w:rsidR="004E2B80" w:rsidRPr="004E2B80" w:rsidRDefault="007F4F16" w:rsidP="004E2B80">
      <w:pPr>
        <w:widowControl w:val="0"/>
        <w:autoSpaceDE w:val="0"/>
        <w:autoSpaceDN w:val="0"/>
        <w:adjustRightInd w:val="0"/>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4E2B80" w:rsidRPr="004E2B80">
        <w:rPr>
          <w:rFonts w:ascii="Calibri" w:hAnsi="Calibri" w:cs="Calibri"/>
          <w:noProof/>
          <w:szCs w:val="24"/>
        </w:rPr>
        <w:t xml:space="preserve">Aboobaker,A.A. and Blaxter,M.L. (2003) Use of RNA interference to investigate gene function in the human filarial nematode parasite Brugia malayi. </w:t>
      </w:r>
      <w:r w:rsidR="004E2B80" w:rsidRPr="004E2B80">
        <w:rPr>
          <w:rFonts w:ascii="Calibri" w:hAnsi="Calibri" w:cs="Calibri"/>
          <w:i/>
          <w:iCs/>
          <w:noProof/>
          <w:szCs w:val="24"/>
        </w:rPr>
        <w:t>Mol. Biochem. Parasitol.</w:t>
      </w:r>
      <w:r w:rsidR="004E2B80" w:rsidRPr="004E2B80">
        <w:rPr>
          <w:rFonts w:ascii="Calibri" w:hAnsi="Calibri" w:cs="Calibri"/>
          <w:noProof/>
          <w:szCs w:val="24"/>
        </w:rPr>
        <w:t xml:space="preserve">, </w:t>
      </w:r>
      <w:r w:rsidR="004E2B80" w:rsidRPr="004E2B80">
        <w:rPr>
          <w:rFonts w:ascii="Calibri" w:hAnsi="Calibri" w:cs="Calibri"/>
          <w:b/>
          <w:bCs/>
          <w:noProof/>
          <w:szCs w:val="24"/>
        </w:rPr>
        <w:t>129</w:t>
      </w:r>
      <w:r w:rsidR="004E2B80" w:rsidRPr="004E2B80">
        <w:rPr>
          <w:rFonts w:ascii="Calibri" w:hAnsi="Calibri" w:cs="Calibri"/>
          <w:noProof/>
          <w:szCs w:val="24"/>
        </w:rPr>
        <w:t>, 41–51.</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Basler,G. </w:t>
      </w:r>
      <w:r w:rsidRPr="004E2B80">
        <w:rPr>
          <w:rFonts w:ascii="Calibri" w:hAnsi="Calibri" w:cs="Calibri"/>
          <w:i/>
          <w:iCs/>
          <w:noProof/>
          <w:szCs w:val="24"/>
        </w:rPr>
        <w:t>et al.</w:t>
      </w:r>
      <w:r w:rsidRPr="004E2B80">
        <w:rPr>
          <w:rFonts w:ascii="Calibri" w:hAnsi="Calibri" w:cs="Calibri"/>
          <w:noProof/>
          <w:szCs w:val="24"/>
        </w:rPr>
        <w:t xml:space="preserve"> (2016) Control of fluxes in metabolic networks. </w:t>
      </w:r>
      <w:r w:rsidRPr="004E2B80">
        <w:rPr>
          <w:rFonts w:ascii="Calibri" w:hAnsi="Calibri" w:cs="Calibri"/>
          <w:i/>
          <w:iCs/>
          <w:noProof/>
          <w:szCs w:val="24"/>
        </w:rPr>
        <w:t>Genome Res.</w:t>
      </w:r>
      <w:r w:rsidRPr="004E2B80">
        <w:rPr>
          <w:rFonts w:ascii="Calibri" w:hAnsi="Calibri" w:cs="Calibri"/>
          <w:noProof/>
          <w:szCs w:val="24"/>
        </w:rPr>
        <w:t xml:space="preserve">, </w:t>
      </w:r>
      <w:r w:rsidRPr="004E2B80">
        <w:rPr>
          <w:rFonts w:ascii="Calibri" w:hAnsi="Calibri" w:cs="Calibri"/>
          <w:b/>
          <w:bCs/>
          <w:noProof/>
          <w:szCs w:val="24"/>
        </w:rPr>
        <w:t>26</w:t>
      </w:r>
      <w:r w:rsidRPr="004E2B80">
        <w:rPr>
          <w:rFonts w:ascii="Calibri" w:hAnsi="Calibri" w:cs="Calibri"/>
          <w:noProof/>
          <w:szCs w:val="24"/>
        </w:rPr>
        <w:t>, 956–968.</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Beard,D.A. </w:t>
      </w:r>
      <w:r w:rsidRPr="004E2B80">
        <w:rPr>
          <w:rFonts w:ascii="Calibri" w:hAnsi="Calibri" w:cs="Calibri"/>
          <w:i/>
          <w:iCs/>
          <w:noProof/>
          <w:szCs w:val="24"/>
        </w:rPr>
        <w:t>et al.</w:t>
      </w:r>
      <w:r w:rsidRPr="004E2B80">
        <w:rPr>
          <w:rFonts w:ascii="Calibri" w:hAnsi="Calibri" w:cs="Calibri"/>
          <w:noProof/>
          <w:szCs w:val="24"/>
        </w:rPr>
        <w:t xml:space="preserve"> (2002) Energy Balance for Analysis of Complex Metabolic Networks. </w:t>
      </w:r>
      <w:r w:rsidRPr="004E2B80">
        <w:rPr>
          <w:rFonts w:ascii="Calibri" w:hAnsi="Calibri" w:cs="Calibri"/>
          <w:i/>
          <w:iCs/>
          <w:noProof/>
          <w:szCs w:val="24"/>
        </w:rPr>
        <w:t>Biophys. J.</w:t>
      </w:r>
      <w:r w:rsidRPr="004E2B80">
        <w:rPr>
          <w:rFonts w:ascii="Calibri" w:hAnsi="Calibri" w:cs="Calibri"/>
          <w:noProof/>
          <w:szCs w:val="24"/>
        </w:rPr>
        <w:t xml:space="preserve">, </w:t>
      </w:r>
      <w:r w:rsidRPr="004E2B80">
        <w:rPr>
          <w:rFonts w:ascii="Calibri" w:hAnsi="Calibri" w:cs="Calibri"/>
          <w:b/>
          <w:bCs/>
          <w:noProof/>
          <w:szCs w:val="24"/>
        </w:rPr>
        <w:t>83</w:t>
      </w:r>
      <w:r w:rsidRPr="004E2B80">
        <w:rPr>
          <w:rFonts w:ascii="Calibri" w:hAnsi="Calibri" w:cs="Calibri"/>
          <w:noProof/>
          <w:szCs w:val="24"/>
        </w:rPr>
        <w:t>, 79–86.</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Becker,S.A. and Palsson,B.O. (2008) Context specific metabolic networks are consistent with experiments. </w:t>
      </w:r>
      <w:r w:rsidRPr="004E2B80">
        <w:rPr>
          <w:rFonts w:ascii="Calibri" w:hAnsi="Calibri" w:cs="Calibri"/>
          <w:i/>
          <w:iCs/>
          <w:noProof/>
          <w:szCs w:val="24"/>
        </w:rPr>
        <w:t>PLoS Comput.</w:t>
      </w:r>
      <w:r w:rsidRPr="004E2B80">
        <w:rPr>
          <w:rFonts w:ascii="Calibri" w:hAnsi="Calibri" w:cs="Calibri"/>
          <w:noProof/>
          <w:szCs w:val="24"/>
        </w:rPr>
        <w:t xml:space="preserve">, </w:t>
      </w:r>
      <w:r w:rsidRPr="004E2B80">
        <w:rPr>
          <w:rFonts w:ascii="Calibri" w:hAnsi="Calibri" w:cs="Calibri"/>
          <w:b/>
          <w:bCs/>
          <w:noProof/>
          <w:szCs w:val="24"/>
        </w:rPr>
        <w:t>4</w:t>
      </w:r>
      <w:r w:rsidRPr="004E2B80">
        <w:rPr>
          <w:rFonts w:ascii="Calibri" w:hAnsi="Calibri" w:cs="Calibri"/>
          <w:noProof/>
          <w:szCs w:val="24"/>
        </w:rPr>
        <w:t>, e1000082.</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Burgard,A.P. </w:t>
      </w:r>
      <w:r w:rsidRPr="004E2B80">
        <w:rPr>
          <w:rFonts w:ascii="Calibri" w:hAnsi="Calibri" w:cs="Calibri"/>
          <w:i/>
          <w:iCs/>
          <w:noProof/>
          <w:szCs w:val="24"/>
        </w:rPr>
        <w:t>et al.</w:t>
      </w:r>
      <w:r w:rsidRPr="004E2B80">
        <w:rPr>
          <w:rFonts w:ascii="Calibri" w:hAnsi="Calibri" w:cs="Calibri"/>
          <w:noProof/>
          <w:szCs w:val="24"/>
        </w:rPr>
        <w:t xml:space="preserve"> (2004) Flux coupling analysis of genome-scale metabolic network reconstructions. </w:t>
      </w:r>
      <w:r w:rsidRPr="004E2B80">
        <w:rPr>
          <w:rFonts w:ascii="Calibri" w:hAnsi="Calibri" w:cs="Calibri"/>
          <w:i/>
          <w:iCs/>
          <w:noProof/>
          <w:szCs w:val="24"/>
        </w:rPr>
        <w:t>Genome Res.</w:t>
      </w:r>
      <w:r w:rsidRPr="004E2B80">
        <w:rPr>
          <w:rFonts w:ascii="Calibri" w:hAnsi="Calibri" w:cs="Calibri"/>
          <w:noProof/>
          <w:szCs w:val="24"/>
        </w:rPr>
        <w:t xml:space="preserve">, </w:t>
      </w:r>
      <w:r w:rsidRPr="004E2B80">
        <w:rPr>
          <w:rFonts w:ascii="Calibri" w:hAnsi="Calibri" w:cs="Calibri"/>
          <w:b/>
          <w:bCs/>
          <w:noProof/>
          <w:szCs w:val="24"/>
        </w:rPr>
        <w:t>14</w:t>
      </w:r>
      <w:r w:rsidRPr="004E2B80">
        <w:rPr>
          <w:rFonts w:ascii="Calibri" w:hAnsi="Calibri" w:cs="Calibri"/>
          <w:noProof/>
          <w:szCs w:val="24"/>
        </w:rPr>
        <w:t>, 301–312.</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Cotton,J.A. </w:t>
      </w:r>
      <w:r w:rsidRPr="004E2B80">
        <w:rPr>
          <w:rFonts w:ascii="Calibri" w:hAnsi="Calibri" w:cs="Calibri"/>
          <w:i/>
          <w:iCs/>
          <w:noProof/>
          <w:szCs w:val="24"/>
        </w:rPr>
        <w:t>et al.</w:t>
      </w:r>
      <w:r w:rsidRPr="004E2B80">
        <w:rPr>
          <w:rFonts w:ascii="Calibri" w:hAnsi="Calibri" w:cs="Calibri"/>
          <w:noProof/>
          <w:szCs w:val="24"/>
        </w:rPr>
        <w:t xml:space="preserve"> (2016) The genome of Onchocerca volvulus, agent of river blindness. </w:t>
      </w:r>
      <w:r w:rsidRPr="004E2B80">
        <w:rPr>
          <w:rFonts w:ascii="Calibri" w:hAnsi="Calibri" w:cs="Calibri"/>
          <w:i/>
          <w:iCs/>
          <w:noProof/>
          <w:szCs w:val="24"/>
        </w:rPr>
        <w:t>Nat. Microbiol.</w:t>
      </w:r>
      <w:r w:rsidRPr="004E2B80">
        <w:rPr>
          <w:rFonts w:ascii="Calibri" w:hAnsi="Calibri" w:cs="Calibri"/>
          <w:noProof/>
          <w:szCs w:val="24"/>
        </w:rPr>
        <w:t xml:space="preserve">, </w:t>
      </w:r>
      <w:r w:rsidRPr="004E2B80">
        <w:rPr>
          <w:rFonts w:ascii="Calibri" w:hAnsi="Calibri" w:cs="Calibri"/>
          <w:b/>
          <w:bCs/>
          <w:noProof/>
          <w:szCs w:val="24"/>
        </w:rPr>
        <w:t>2</w:t>
      </w:r>
      <w:r w:rsidRPr="004E2B80">
        <w:rPr>
          <w:rFonts w:ascii="Calibri" w:hAnsi="Calibri" w:cs="Calibri"/>
          <w:noProof/>
          <w:szCs w:val="24"/>
        </w:rPr>
        <w:t>, 16216.</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Dale,J.M. </w:t>
      </w:r>
      <w:r w:rsidRPr="004E2B80">
        <w:rPr>
          <w:rFonts w:ascii="Calibri" w:hAnsi="Calibri" w:cs="Calibri"/>
          <w:i/>
          <w:iCs/>
          <w:noProof/>
          <w:szCs w:val="24"/>
        </w:rPr>
        <w:t>et al.</w:t>
      </w:r>
      <w:r w:rsidRPr="004E2B80">
        <w:rPr>
          <w:rFonts w:ascii="Calibri" w:hAnsi="Calibri" w:cs="Calibri"/>
          <w:noProof/>
          <w:szCs w:val="24"/>
        </w:rPr>
        <w:t xml:space="preserve"> (2010) Machine learning methods for metabolic pathway prediction. </w:t>
      </w:r>
      <w:r w:rsidRPr="004E2B80">
        <w:rPr>
          <w:rFonts w:ascii="Calibri" w:hAnsi="Calibri" w:cs="Calibri"/>
          <w:i/>
          <w:iCs/>
          <w:noProof/>
          <w:szCs w:val="24"/>
        </w:rPr>
        <w:t>BMC Bioinformatics</w:t>
      </w:r>
      <w:r w:rsidRPr="004E2B80">
        <w:rPr>
          <w:rFonts w:ascii="Calibri" w:hAnsi="Calibri" w:cs="Calibri"/>
          <w:noProof/>
          <w:szCs w:val="24"/>
        </w:rPr>
        <w:t xml:space="preserve">, </w:t>
      </w:r>
      <w:r w:rsidRPr="004E2B80">
        <w:rPr>
          <w:rFonts w:ascii="Calibri" w:hAnsi="Calibri" w:cs="Calibri"/>
          <w:b/>
          <w:bCs/>
          <w:noProof/>
          <w:szCs w:val="24"/>
        </w:rPr>
        <w:t>11</w:t>
      </w:r>
      <w:r w:rsidRPr="004E2B80">
        <w:rPr>
          <w:rFonts w:ascii="Calibri" w:hAnsi="Calibri" w:cs="Calibri"/>
          <w:noProof/>
          <w:szCs w:val="24"/>
        </w:rPr>
        <w:t>, 15.</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Foster,J. </w:t>
      </w:r>
      <w:r w:rsidRPr="004E2B80">
        <w:rPr>
          <w:rFonts w:ascii="Calibri" w:hAnsi="Calibri" w:cs="Calibri"/>
          <w:i/>
          <w:iCs/>
          <w:noProof/>
          <w:szCs w:val="24"/>
        </w:rPr>
        <w:t>et al.</w:t>
      </w:r>
      <w:r w:rsidRPr="004E2B80">
        <w:rPr>
          <w:rFonts w:ascii="Calibri" w:hAnsi="Calibri" w:cs="Calibri"/>
          <w:noProof/>
          <w:szCs w:val="24"/>
        </w:rPr>
        <w:t xml:space="preserve"> (2005) The Wolbachia genome of Brugia malayi: Endosymbiont evolution within a human pathogenic nematode. </w:t>
      </w:r>
      <w:r w:rsidRPr="004E2B80">
        <w:rPr>
          <w:rFonts w:ascii="Calibri" w:hAnsi="Calibri" w:cs="Calibri"/>
          <w:i/>
          <w:iCs/>
          <w:noProof/>
          <w:szCs w:val="24"/>
        </w:rPr>
        <w:t>PLoS Biol.</w:t>
      </w:r>
      <w:r w:rsidRPr="004E2B80">
        <w:rPr>
          <w:rFonts w:ascii="Calibri" w:hAnsi="Calibri" w:cs="Calibri"/>
          <w:noProof/>
          <w:szCs w:val="24"/>
        </w:rPr>
        <w:t xml:space="preserve">, </w:t>
      </w:r>
      <w:r w:rsidRPr="004E2B80">
        <w:rPr>
          <w:rFonts w:ascii="Calibri" w:hAnsi="Calibri" w:cs="Calibri"/>
          <w:b/>
          <w:bCs/>
          <w:noProof/>
          <w:szCs w:val="24"/>
        </w:rPr>
        <w:t>3</w:t>
      </w:r>
      <w:r w:rsidRPr="004E2B80">
        <w:rPr>
          <w:rFonts w:ascii="Calibri" w:hAnsi="Calibri" w:cs="Calibri"/>
          <w:noProof/>
          <w:szCs w:val="24"/>
        </w:rPr>
        <w:t>, 0599–0614.</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Gebauer,J. </w:t>
      </w:r>
      <w:r w:rsidRPr="004E2B80">
        <w:rPr>
          <w:rFonts w:ascii="Calibri" w:hAnsi="Calibri" w:cs="Calibri"/>
          <w:i/>
          <w:iCs/>
          <w:noProof/>
          <w:szCs w:val="24"/>
        </w:rPr>
        <w:t>et al.</w:t>
      </w:r>
      <w:r w:rsidRPr="004E2B80">
        <w:rPr>
          <w:rFonts w:ascii="Calibri" w:hAnsi="Calibri" w:cs="Calibri"/>
          <w:noProof/>
          <w:szCs w:val="24"/>
        </w:rPr>
        <w:t xml:space="preserve"> (2016) A Genome-Scale Database and Reconstruction of Caenorhabditis elegans Metabolism. </w:t>
      </w:r>
      <w:r w:rsidRPr="004E2B80">
        <w:rPr>
          <w:rFonts w:ascii="Calibri" w:hAnsi="Calibri" w:cs="Calibri"/>
          <w:i/>
          <w:iCs/>
          <w:noProof/>
          <w:szCs w:val="24"/>
        </w:rPr>
        <w:t>Cell Syst.</w:t>
      </w:r>
      <w:r w:rsidRPr="004E2B80">
        <w:rPr>
          <w:rFonts w:ascii="Calibri" w:hAnsi="Calibri" w:cs="Calibri"/>
          <w:noProof/>
          <w:szCs w:val="24"/>
        </w:rPr>
        <w:t xml:space="preserve">, </w:t>
      </w:r>
      <w:r w:rsidRPr="004E2B80">
        <w:rPr>
          <w:rFonts w:ascii="Calibri" w:hAnsi="Calibri" w:cs="Calibri"/>
          <w:b/>
          <w:bCs/>
          <w:noProof/>
          <w:szCs w:val="24"/>
        </w:rPr>
        <w:t>2</w:t>
      </w:r>
      <w:r w:rsidRPr="004E2B80">
        <w:rPr>
          <w:rFonts w:ascii="Calibri" w:hAnsi="Calibri" w:cs="Calibri"/>
          <w:noProof/>
          <w:szCs w:val="24"/>
        </w:rPr>
        <w:t>, 312–322.</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Ghedin,E. </w:t>
      </w:r>
      <w:r w:rsidRPr="004E2B80">
        <w:rPr>
          <w:rFonts w:ascii="Calibri" w:hAnsi="Calibri" w:cs="Calibri"/>
          <w:i/>
          <w:iCs/>
          <w:noProof/>
          <w:szCs w:val="24"/>
        </w:rPr>
        <w:t>et al.</w:t>
      </w:r>
      <w:r w:rsidRPr="004E2B80">
        <w:rPr>
          <w:rFonts w:ascii="Calibri" w:hAnsi="Calibri" w:cs="Calibri"/>
          <w:noProof/>
          <w:szCs w:val="24"/>
        </w:rPr>
        <w:t xml:space="preserve"> (2007) Draft genome of the filarial nematode parasite Brugia malayi. </w:t>
      </w:r>
      <w:r w:rsidRPr="004E2B80">
        <w:rPr>
          <w:rFonts w:ascii="Calibri" w:hAnsi="Calibri" w:cs="Calibri"/>
          <w:i/>
          <w:iCs/>
          <w:noProof/>
          <w:szCs w:val="24"/>
        </w:rPr>
        <w:t>Science</w:t>
      </w:r>
      <w:r w:rsidRPr="004E2B80">
        <w:rPr>
          <w:rFonts w:ascii="Calibri" w:hAnsi="Calibri" w:cs="Calibri"/>
          <w:noProof/>
          <w:szCs w:val="24"/>
        </w:rPr>
        <w:t xml:space="preserve">, </w:t>
      </w:r>
      <w:r w:rsidRPr="004E2B80">
        <w:rPr>
          <w:rFonts w:ascii="Calibri" w:hAnsi="Calibri" w:cs="Calibri"/>
          <w:b/>
          <w:bCs/>
          <w:noProof/>
          <w:szCs w:val="24"/>
        </w:rPr>
        <w:t>317</w:t>
      </w:r>
      <w:r w:rsidRPr="004E2B80">
        <w:rPr>
          <w:rFonts w:ascii="Calibri" w:hAnsi="Calibri" w:cs="Calibri"/>
          <w:noProof/>
          <w:szCs w:val="24"/>
        </w:rPr>
        <w:t>, 1756–60.</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Henson,M.A. and Hanly,T.J. (2014) Dynamic flux balance analysis for synthetic microbial communities. </w:t>
      </w:r>
      <w:r w:rsidRPr="004E2B80">
        <w:rPr>
          <w:rFonts w:ascii="Calibri" w:hAnsi="Calibri" w:cs="Calibri"/>
          <w:i/>
          <w:iCs/>
          <w:noProof/>
          <w:szCs w:val="24"/>
        </w:rPr>
        <w:t>IET Syst. Biol.</w:t>
      </w:r>
      <w:r w:rsidRPr="004E2B80">
        <w:rPr>
          <w:rFonts w:ascii="Calibri" w:hAnsi="Calibri" w:cs="Calibri"/>
          <w:noProof/>
          <w:szCs w:val="24"/>
        </w:rPr>
        <w:t xml:space="preserve">, </w:t>
      </w:r>
      <w:r w:rsidRPr="004E2B80">
        <w:rPr>
          <w:rFonts w:ascii="Calibri" w:hAnsi="Calibri" w:cs="Calibri"/>
          <w:b/>
          <w:bCs/>
          <w:noProof/>
          <w:szCs w:val="24"/>
        </w:rPr>
        <w:t>8</w:t>
      </w:r>
      <w:r w:rsidRPr="004E2B80">
        <w:rPr>
          <w:rFonts w:ascii="Calibri" w:hAnsi="Calibri" w:cs="Calibri"/>
          <w:noProof/>
          <w:szCs w:val="24"/>
        </w:rPr>
        <w:t>, 214–29.</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Hoppe,A. </w:t>
      </w:r>
      <w:r w:rsidRPr="004E2B80">
        <w:rPr>
          <w:rFonts w:ascii="Calibri" w:hAnsi="Calibri" w:cs="Calibri"/>
          <w:i/>
          <w:iCs/>
          <w:noProof/>
          <w:szCs w:val="24"/>
        </w:rPr>
        <w:t>et al.</w:t>
      </w:r>
      <w:r w:rsidRPr="004E2B80">
        <w:rPr>
          <w:rFonts w:ascii="Calibri" w:hAnsi="Calibri" w:cs="Calibri"/>
          <w:noProof/>
          <w:szCs w:val="24"/>
        </w:rPr>
        <w:t xml:space="preserve"> (2011) FASIMU: flexible software for flux-balance computation series in large metabolic networks. </w:t>
      </w:r>
      <w:r w:rsidRPr="004E2B80">
        <w:rPr>
          <w:rFonts w:ascii="Calibri" w:hAnsi="Calibri" w:cs="Calibri"/>
          <w:i/>
          <w:iCs/>
          <w:noProof/>
          <w:szCs w:val="24"/>
        </w:rPr>
        <w:t>BMC Bioinformatics</w:t>
      </w:r>
      <w:r w:rsidRPr="004E2B80">
        <w:rPr>
          <w:rFonts w:ascii="Calibri" w:hAnsi="Calibri" w:cs="Calibri"/>
          <w:noProof/>
          <w:szCs w:val="24"/>
        </w:rPr>
        <w:t xml:space="preserve">, </w:t>
      </w:r>
      <w:r w:rsidRPr="004E2B80">
        <w:rPr>
          <w:rFonts w:ascii="Calibri" w:hAnsi="Calibri" w:cs="Calibri"/>
          <w:b/>
          <w:bCs/>
          <w:noProof/>
          <w:szCs w:val="24"/>
        </w:rPr>
        <w:t>12</w:t>
      </w:r>
      <w:r w:rsidRPr="004E2B80">
        <w:rPr>
          <w:rFonts w:ascii="Calibri" w:hAnsi="Calibri" w:cs="Calibri"/>
          <w:noProof/>
          <w:szCs w:val="24"/>
        </w:rPr>
        <w:t>, 28.</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Hotez,P.J. </w:t>
      </w:r>
      <w:r w:rsidRPr="004E2B80">
        <w:rPr>
          <w:rFonts w:ascii="Calibri" w:hAnsi="Calibri" w:cs="Calibri"/>
          <w:i/>
          <w:iCs/>
          <w:noProof/>
          <w:szCs w:val="24"/>
        </w:rPr>
        <w:t>et al.</w:t>
      </w:r>
      <w:r w:rsidRPr="004E2B80">
        <w:rPr>
          <w:rFonts w:ascii="Calibri" w:hAnsi="Calibri" w:cs="Calibri"/>
          <w:noProof/>
          <w:szCs w:val="24"/>
        </w:rPr>
        <w:t xml:space="preserve"> (2014) The Global Burden of Disease Study 2010: Interpretation and Implications for the Neglected Tropical Diseases. </w:t>
      </w:r>
      <w:r w:rsidRPr="004E2B80">
        <w:rPr>
          <w:rFonts w:ascii="Calibri" w:hAnsi="Calibri" w:cs="Calibri"/>
          <w:i/>
          <w:iCs/>
          <w:noProof/>
          <w:szCs w:val="24"/>
        </w:rPr>
        <w:t>PLoS Negl. Trop. Dis.</w:t>
      </w:r>
      <w:r w:rsidRPr="004E2B80">
        <w:rPr>
          <w:rFonts w:ascii="Calibri" w:hAnsi="Calibri" w:cs="Calibri"/>
          <w:noProof/>
          <w:szCs w:val="24"/>
        </w:rPr>
        <w:t xml:space="preserve">, </w:t>
      </w:r>
      <w:r w:rsidRPr="004E2B80">
        <w:rPr>
          <w:rFonts w:ascii="Calibri" w:hAnsi="Calibri" w:cs="Calibri"/>
          <w:b/>
          <w:bCs/>
          <w:noProof/>
          <w:szCs w:val="24"/>
        </w:rPr>
        <w:t>8</w:t>
      </w:r>
      <w:r w:rsidRPr="004E2B80">
        <w:rPr>
          <w:rFonts w:ascii="Calibri" w:hAnsi="Calibri" w:cs="Calibri"/>
          <w:noProof/>
          <w:szCs w:val="24"/>
        </w:rPr>
        <w:t>, e2865.</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Kim,H.U. </w:t>
      </w:r>
      <w:r w:rsidRPr="004E2B80">
        <w:rPr>
          <w:rFonts w:ascii="Calibri" w:hAnsi="Calibri" w:cs="Calibri"/>
          <w:i/>
          <w:iCs/>
          <w:noProof/>
          <w:szCs w:val="24"/>
        </w:rPr>
        <w:t>et al.</w:t>
      </w:r>
      <w:r w:rsidRPr="004E2B80">
        <w:rPr>
          <w:rFonts w:ascii="Calibri" w:hAnsi="Calibri" w:cs="Calibri"/>
          <w:noProof/>
          <w:szCs w:val="24"/>
        </w:rPr>
        <w:t xml:space="preserve"> (2011) Integrative genome-scale metabolic analysis of Vibrio vulnificus for drug targeting and discovery. </w:t>
      </w:r>
      <w:r w:rsidRPr="004E2B80">
        <w:rPr>
          <w:rFonts w:ascii="Calibri" w:hAnsi="Calibri" w:cs="Calibri"/>
          <w:i/>
          <w:iCs/>
          <w:noProof/>
          <w:szCs w:val="24"/>
        </w:rPr>
        <w:t>Mol. Syst. Biol.</w:t>
      </w:r>
      <w:r w:rsidRPr="004E2B80">
        <w:rPr>
          <w:rFonts w:ascii="Calibri" w:hAnsi="Calibri" w:cs="Calibri"/>
          <w:noProof/>
          <w:szCs w:val="24"/>
        </w:rPr>
        <w:t xml:space="preserve">, </w:t>
      </w:r>
      <w:r w:rsidRPr="004E2B80">
        <w:rPr>
          <w:rFonts w:ascii="Calibri" w:hAnsi="Calibri" w:cs="Calibri"/>
          <w:b/>
          <w:bCs/>
          <w:noProof/>
          <w:szCs w:val="24"/>
        </w:rPr>
        <w:t>7</w:t>
      </w:r>
      <w:r w:rsidRPr="004E2B80">
        <w:rPr>
          <w:rFonts w:ascii="Calibri" w:hAnsi="Calibri" w:cs="Calibri"/>
          <w:noProof/>
          <w:szCs w:val="24"/>
        </w:rPr>
        <w:t>, 460.</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Kühlbrandt,W. (2015) Structure and function of mitochondrial membrane protein complexes. </w:t>
      </w:r>
      <w:r w:rsidRPr="004E2B80">
        <w:rPr>
          <w:rFonts w:ascii="Calibri" w:hAnsi="Calibri" w:cs="Calibri"/>
          <w:i/>
          <w:iCs/>
          <w:noProof/>
          <w:szCs w:val="24"/>
        </w:rPr>
        <w:t>BMC Biol.</w:t>
      </w:r>
      <w:r w:rsidRPr="004E2B80">
        <w:rPr>
          <w:rFonts w:ascii="Calibri" w:hAnsi="Calibri" w:cs="Calibri"/>
          <w:noProof/>
          <w:szCs w:val="24"/>
        </w:rPr>
        <w:t xml:space="preserve">, </w:t>
      </w:r>
      <w:r w:rsidRPr="004E2B80">
        <w:rPr>
          <w:rFonts w:ascii="Calibri" w:hAnsi="Calibri" w:cs="Calibri"/>
          <w:b/>
          <w:bCs/>
          <w:noProof/>
          <w:szCs w:val="24"/>
        </w:rPr>
        <w:t>13</w:t>
      </w:r>
      <w:r w:rsidRPr="004E2B80">
        <w:rPr>
          <w:rFonts w:ascii="Calibri" w:hAnsi="Calibri" w:cs="Calibri"/>
          <w:noProof/>
          <w:szCs w:val="24"/>
        </w:rPr>
        <w:t>.</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Lee,S. </w:t>
      </w:r>
      <w:r w:rsidRPr="004E2B80">
        <w:rPr>
          <w:rFonts w:ascii="Calibri" w:hAnsi="Calibri" w:cs="Calibri"/>
          <w:i/>
          <w:iCs/>
          <w:noProof/>
          <w:szCs w:val="24"/>
        </w:rPr>
        <w:t>et al.</w:t>
      </w:r>
      <w:r w:rsidRPr="004E2B80">
        <w:rPr>
          <w:rFonts w:ascii="Calibri" w:hAnsi="Calibri" w:cs="Calibri"/>
          <w:noProof/>
          <w:szCs w:val="24"/>
        </w:rPr>
        <w:t xml:space="preserve"> (2000) Recursive milp model for finding all the alternate optima in lp models for metabolic networks. In, </w:t>
      </w:r>
      <w:r w:rsidRPr="004E2B80">
        <w:rPr>
          <w:rFonts w:ascii="Calibri" w:hAnsi="Calibri" w:cs="Calibri"/>
          <w:i/>
          <w:iCs/>
          <w:noProof/>
          <w:szCs w:val="24"/>
        </w:rPr>
        <w:t>Computers and Chemical Engineering</w:t>
      </w:r>
      <w:r w:rsidRPr="004E2B80">
        <w:rPr>
          <w:rFonts w:ascii="Calibri" w:hAnsi="Calibri" w:cs="Calibri"/>
          <w:noProof/>
          <w:szCs w:val="24"/>
        </w:rPr>
        <w:t>., pp. 711–716.</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Lewis,N.E. </w:t>
      </w:r>
      <w:r w:rsidRPr="004E2B80">
        <w:rPr>
          <w:rFonts w:ascii="Calibri" w:hAnsi="Calibri" w:cs="Calibri"/>
          <w:i/>
          <w:iCs/>
          <w:noProof/>
          <w:szCs w:val="24"/>
        </w:rPr>
        <w:t>et al.</w:t>
      </w:r>
      <w:r w:rsidRPr="004E2B80">
        <w:rPr>
          <w:rFonts w:ascii="Calibri" w:hAnsi="Calibri" w:cs="Calibri"/>
          <w:noProof/>
          <w:szCs w:val="24"/>
        </w:rPr>
        <w:t xml:space="preserve"> (2012) Constraining the metabolic genotype-phenotype relationship using a phylogeny of in silico methods. </w:t>
      </w:r>
      <w:r w:rsidRPr="004E2B80">
        <w:rPr>
          <w:rFonts w:ascii="Calibri" w:hAnsi="Calibri" w:cs="Calibri"/>
          <w:i/>
          <w:iCs/>
          <w:noProof/>
          <w:szCs w:val="24"/>
        </w:rPr>
        <w:t>Nat. Rev. Microbiol.</w:t>
      </w:r>
      <w:r w:rsidRPr="004E2B80">
        <w:rPr>
          <w:rFonts w:ascii="Calibri" w:hAnsi="Calibri" w:cs="Calibri"/>
          <w:noProof/>
          <w:szCs w:val="24"/>
        </w:rPr>
        <w:t xml:space="preserve">, </w:t>
      </w:r>
      <w:r w:rsidRPr="004E2B80">
        <w:rPr>
          <w:rFonts w:ascii="Calibri" w:hAnsi="Calibri" w:cs="Calibri"/>
          <w:b/>
          <w:bCs/>
          <w:noProof/>
          <w:szCs w:val="24"/>
        </w:rPr>
        <w:t>10</w:t>
      </w:r>
      <w:r w:rsidRPr="004E2B80">
        <w:rPr>
          <w:rFonts w:ascii="Calibri" w:hAnsi="Calibri" w:cs="Calibri"/>
          <w:noProof/>
          <w:szCs w:val="24"/>
        </w:rPr>
        <w:t>, 291–305.</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Magnusdottir,S. </w:t>
      </w:r>
      <w:r w:rsidRPr="004E2B80">
        <w:rPr>
          <w:rFonts w:ascii="Calibri" w:hAnsi="Calibri" w:cs="Calibri"/>
          <w:i/>
          <w:iCs/>
          <w:noProof/>
          <w:szCs w:val="24"/>
        </w:rPr>
        <w:t>et al.</w:t>
      </w:r>
      <w:r w:rsidRPr="004E2B80">
        <w:rPr>
          <w:rFonts w:ascii="Calibri" w:hAnsi="Calibri" w:cs="Calibri"/>
          <w:noProof/>
          <w:szCs w:val="24"/>
        </w:rPr>
        <w:t xml:space="preserve"> (2017) Generation of genome-scale metabolic reconstructions for 773 members of the human gut microbiota. </w:t>
      </w:r>
      <w:r w:rsidRPr="004E2B80">
        <w:rPr>
          <w:rFonts w:ascii="Calibri" w:hAnsi="Calibri" w:cs="Calibri"/>
          <w:i/>
          <w:iCs/>
          <w:noProof/>
          <w:szCs w:val="24"/>
        </w:rPr>
        <w:t>Nat. Biotechnol.</w:t>
      </w:r>
      <w:r w:rsidRPr="004E2B80">
        <w:rPr>
          <w:rFonts w:ascii="Calibri" w:hAnsi="Calibri" w:cs="Calibri"/>
          <w:noProof/>
          <w:szCs w:val="24"/>
        </w:rPr>
        <w:t xml:space="preserve">, </w:t>
      </w:r>
      <w:r w:rsidRPr="004E2B80">
        <w:rPr>
          <w:rFonts w:ascii="Calibri" w:hAnsi="Calibri" w:cs="Calibri"/>
          <w:b/>
          <w:bCs/>
          <w:noProof/>
          <w:szCs w:val="24"/>
        </w:rPr>
        <w:t>35</w:t>
      </w:r>
      <w:r w:rsidRPr="004E2B80">
        <w:rPr>
          <w:rFonts w:ascii="Calibri" w:hAnsi="Calibri" w:cs="Calibri"/>
          <w:noProof/>
          <w:szCs w:val="24"/>
        </w:rPr>
        <w:t>, 81–89.</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Mardinoglu,A. </w:t>
      </w:r>
      <w:r w:rsidRPr="004E2B80">
        <w:rPr>
          <w:rFonts w:ascii="Calibri" w:hAnsi="Calibri" w:cs="Calibri"/>
          <w:i/>
          <w:iCs/>
          <w:noProof/>
          <w:szCs w:val="24"/>
        </w:rPr>
        <w:t>et al.</w:t>
      </w:r>
      <w:r w:rsidRPr="004E2B80">
        <w:rPr>
          <w:rFonts w:ascii="Calibri" w:hAnsi="Calibri" w:cs="Calibri"/>
          <w:noProof/>
          <w:szCs w:val="24"/>
        </w:rPr>
        <w:t xml:space="preserve"> (2013) Integration of clinical data with a genome-scale metabolic model of the human adipocyte. </w:t>
      </w:r>
      <w:r w:rsidRPr="004E2B80">
        <w:rPr>
          <w:rFonts w:ascii="Calibri" w:hAnsi="Calibri" w:cs="Calibri"/>
          <w:i/>
          <w:iCs/>
          <w:noProof/>
          <w:szCs w:val="24"/>
        </w:rPr>
        <w:t>Mol. Syst. Biol.</w:t>
      </w:r>
      <w:r w:rsidRPr="004E2B80">
        <w:rPr>
          <w:rFonts w:ascii="Calibri" w:hAnsi="Calibri" w:cs="Calibri"/>
          <w:noProof/>
          <w:szCs w:val="24"/>
        </w:rPr>
        <w:t xml:space="preserve">, </w:t>
      </w:r>
      <w:r w:rsidRPr="004E2B80">
        <w:rPr>
          <w:rFonts w:ascii="Calibri" w:hAnsi="Calibri" w:cs="Calibri"/>
          <w:b/>
          <w:bCs/>
          <w:noProof/>
          <w:szCs w:val="24"/>
        </w:rPr>
        <w:t>9</w:t>
      </w:r>
      <w:r w:rsidRPr="004E2B80">
        <w:rPr>
          <w:rFonts w:ascii="Calibri" w:hAnsi="Calibri" w:cs="Calibri"/>
          <w:noProof/>
          <w:szCs w:val="24"/>
        </w:rPr>
        <w:t>, 649.</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Mclaren,D.J. </w:t>
      </w:r>
      <w:r w:rsidRPr="004E2B80">
        <w:rPr>
          <w:rFonts w:ascii="Calibri" w:hAnsi="Calibri" w:cs="Calibri"/>
          <w:i/>
          <w:iCs/>
          <w:noProof/>
          <w:szCs w:val="24"/>
        </w:rPr>
        <w:t>et al.</w:t>
      </w:r>
      <w:r w:rsidRPr="004E2B80">
        <w:rPr>
          <w:rFonts w:ascii="Calibri" w:hAnsi="Calibri" w:cs="Calibri"/>
          <w:noProof/>
          <w:szCs w:val="24"/>
        </w:rPr>
        <w:t xml:space="preserve"> (1975) Micro-organisms in filarial larvae (Nematoda). </w:t>
      </w:r>
      <w:r w:rsidRPr="004E2B80">
        <w:rPr>
          <w:rFonts w:ascii="Calibri" w:hAnsi="Calibri" w:cs="Calibri"/>
          <w:i/>
          <w:iCs/>
          <w:noProof/>
          <w:szCs w:val="24"/>
        </w:rPr>
        <w:t>Trans. R. Soc. Trop. Med. Hyg.</w:t>
      </w:r>
      <w:r w:rsidRPr="004E2B80">
        <w:rPr>
          <w:rFonts w:ascii="Calibri" w:hAnsi="Calibri" w:cs="Calibri"/>
          <w:noProof/>
          <w:szCs w:val="24"/>
        </w:rPr>
        <w:t xml:space="preserve">, </w:t>
      </w:r>
      <w:r w:rsidRPr="004E2B80">
        <w:rPr>
          <w:rFonts w:ascii="Calibri" w:hAnsi="Calibri" w:cs="Calibri"/>
          <w:b/>
          <w:bCs/>
          <w:noProof/>
          <w:szCs w:val="24"/>
        </w:rPr>
        <w:t>69</w:t>
      </w:r>
      <w:r w:rsidRPr="004E2B80">
        <w:rPr>
          <w:rFonts w:ascii="Calibri" w:hAnsi="Calibri" w:cs="Calibri"/>
          <w:noProof/>
          <w:szCs w:val="24"/>
        </w:rPr>
        <w:t>, 509–514.</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Nagrath,D. </w:t>
      </w:r>
      <w:r w:rsidRPr="004E2B80">
        <w:rPr>
          <w:rFonts w:ascii="Calibri" w:hAnsi="Calibri" w:cs="Calibri"/>
          <w:i/>
          <w:iCs/>
          <w:noProof/>
          <w:szCs w:val="24"/>
        </w:rPr>
        <w:t>et al.</w:t>
      </w:r>
      <w:r w:rsidRPr="004E2B80">
        <w:rPr>
          <w:rFonts w:ascii="Calibri" w:hAnsi="Calibri" w:cs="Calibri"/>
          <w:noProof/>
          <w:szCs w:val="24"/>
        </w:rPr>
        <w:t xml:space="preserve"> (2007) Integrated energy and flux balance based multiobjective framework for large-scale metabolic networks. </w:t>
      </w:r>
      <w:r w:rsidRPr="004E2B80">
        <w:rPr>
          <w:rFonts w:ascii="Calibri" w:hAnsi="Calibri" w:cs="Calibri"/>
          <w:i/>
          <w:iCs/>
          <w:noProof/>
          <w:szCs w:val="24"/>
        </w:rPr>
        <w:t>Ann Biomed Eng</w:t>
      </w:r>
      <w:r w:rsidRPr="004E2B80">
        <w:rPr>
          <w:rFonts w:ascii="Calibri" w:hAnsi="Calibri" w:cs="Calibri"/>
          <w:noProof/>
          <w:szCs w:val="24"/>
        </w:rPr>
        <w:t xml:space="preserve">, </w:t>
      </w:r>
      <w:r w:rsidRPr="004E2B80">
        <w:rPr>
          <w:rFonts w:ascii="Calibri" w:hAnsi="Calibri" w:cs="Calibri"/>
          <w:b/>
          <w:bCs/>
          <w:noProof/>
          <w:szCs w:val="24"/>
        </w:rPr>
        <w:t>35</w:t>
      </w:r>
      <w:r w:rsidRPr="004E2B80">
        <w:rPr>
          <w:rFonts w:ascii="Calibri" w:hAnsi="Calibri" w:cs="Calibri"/>
          <w:noProof/>
          <w:szCs w:val="24"/>
        </w:rPr>
        <w:t>, 863–885.</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Orth,J.D. </w:t>
      </w:r>
      <w:r w:rsidRPr="004E2B80">
        <w:rPr>
          <w:rFonts w:ascii="Calibri" w:hAnsi="Calibri" w:cs="Calibri"/>
          <w:i/>
          <w:iCs/>
          <w:noProof/>
          <w:szCs w:val="24"/>
        </w:rPr>
        <w:t>et al.</w:t>
      </w:r>
      <w:r w:rsidRPr="004E2B80">
        <w:rPr>
          <w:rFonts w:ascii="Calibri" w:hAnsi="Calibri" w:cs="Calibri"/>
          <w:noProof/>
          <w:szCs w:val="24"/>
        </w:rPr>
        <w:t xml:space="preserve"> (2010) What is Flux Balance Analysis ? </w:t>
      </w:r>
      <w:r w:rsidRPr="004E2B80">
        <w:rPr>
          <w:rFonts w:ascii="Calibri" w:hAnsi="Calibri" w:cs="Calibri"/>
          <w:i/>
          <w:iCs/>
          <w:noProof/>
          <w:szCs w:val="24"/>
        </w:rPr>
        <w:t>Nat. Biotechnol.</w:t>
      </w:r>
      <w:r w:rsidRPr="004E2B80">
        <w:rPr>
          <w:rFonts w:ascii="Calibri" w:hAnsi="Calibri" w:cs="Calibri"/>
          <w:noProof/>
          <w:szCs w:val="24"/>
        </w:rPr>
        <w:t xml:space="preserve">, </w:t>
      </w:r>
      <w:r w:rsidRPr="004E2B80">
        <w:rPr>
          <w:rFonts w:ascii="Calibri" w:hAnsi="Calibri" w:cs="Calibri"/>
          <w:b/>
          <w:bCs/>
          <w:noProof/>
          <w:szCs w:val="24"/>
        </w:rPr>
        <w:t>28</w:t>
      </w:r>
      <w:r w:rsidRPr="004E2B80">
        <w:rPr>
          <w:rFonts w:ascii="Calibri" w:hAnsi="Calibri" w:cs="Calibri"/>
          <w:noProof/>
          <w:szCs w:val="24"/>
        </w:rPr>
        <w:t>, 245–248.</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Papin,J.A. </w:t>
      </w:r>
      <w:r w:rsidRPr="004E2B80">
        <w:rPr>
          <w:rFonts w:ascii="Calibri" w:hAnsi="Calibri" w:cs="Calibri"/>
          <w:i/>
          <w:iCs/>
          <w:noProof/>
          <w:szCs w:val="24"/>
        </w:rPr>
        <w:t>et al.</w:t>
      </w:r>
      <w:r w:rsidRPr="004E2B80">
        <w:rPr>
          <w:rFonts w:ascii="Calibri" w:hAnsi="Calibri" w:cs="Calibri"/>
          <w:noProof/>
          <w:szCs w:val="24"/>
        </w:rPr>
        <w:t xml:space="preserve"> (2004) Comparison of network based pathway analysis methods. </w:t>
      </w:r>
      <w:r w:rsidRPr="004E2B80">
        <w:rPr>
          <w:rFonts w:ascii="Calibri" w:hAnsi="Calibri" w:cs="Calibri"/>
          <w:i/>
          <w:iCs/>
          <w:noProof/>
          <w:szCs w:val="24"/>
        </w:rPr>
        <w:t>Trends Biotechnol.</w:t>
      </w:r>
      <w:r w:rsidRPr="004E2B80">
        <w:rPr>
          <w:rFonts w:ascii="Calibri" w:hAnsi="Calibri" w:cs="Calibri"/>
          <w:noProof/>
          <w:szCs w:val="24"/>
        </w:rPr>
        <w:t xml:space="preserve">, </w:t>
      </w:r>
      <w:r w:rsidRPr="004E2B80">
        <w:rPr>
          <w:rFonts w:ascii="Calibri" w:hAnsi="Calibri" w:cs="Calibri"/>
          <w:b/>
          <w:bCs/>
          <w:noProof/>
          <w:szCs w:val="24"/>
        </w:rPr>
        <w:t>22</w:t>
      </w:r>
      <w:r w:rsidRPr="004E2B80">
        <w:rPr>
          <w:rFonts w:ascii="Calibri" w:hAnsi="Calibri" w:cs="Calibri"/>
          <w:noProof/>
          <w:szCs w:val="24"/>
        </w:rPr>
        <w:t>, 400–405.</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Price,N.D. </w:t>
      </w:r>
      <w:r w:rsidRPr="004E2B80">
        <w:rPr>
          <w:rFonts w:ascii="Calibri" w:hAnsi="Calibri" w:cs="Calibri"/>
          <w:i/>
          <w:iCs/>
          <w:noProof/>
          <w:szCs w:val="24"/>
        </w:rPr>
        <w:t>et al.</w:t>
      </w:r>
      <w:r w:rsidRPr="004E2B80">
        <w:rPr>
          <w:rFonts w:ascii="Calibri" w:hAnsi="Calibri" w:cs="Calibri"/>
          <w:noProof/>
          <w:szCs w:val="24"/>
        </w:rPr>
        <w:t xml:space="preserve"> (2004) Genome-scale models of microbial cells: evaluating the consequences of constraints. </w:t>
      </w:r>
      <w:r w:rsidRPr="004E2B80">
        <w:rPr>
          <w:rFonts w:ascii="Calibri" w:hAnsi="Calibri" w:cs="Calibri"/>
          <w:i/>
          <w:iCs/>
          <w:noProof/>
          <w:szCs w:val="24"/>
        </w:rPr>
        <w:t>Nat. Rev. Microbiol.</w:t>
      </w:r>
      <w:r w:rsidRPr="004E2B80">
        <w:rPr>
          <w:rFonts w:ascii="Calibri" w:hAnsi="Calibri" w:cs="Calibri"/>
          <w:noProof/>
          <w:szCs w:val="24"/>
        </w:rPr>
        <w:t xml:space="preserve">, </w:t>
      </w:r>
      <w:r w:rsidRPr="004E2B80">
        <w:rPr>
          <w:rFonts w:ascii="Calibri" w:hAnsi="Calibri" w:cs="Calibri"/>
          <w:b/>
          <w:bCs/>
          <w:noProof/>
          <w:szCs w:val="24"/>
        </w:rPr>
        <w:t>2</w:t>
      </w:r>
      <w:r w:rsidRPr="004E2B80">
        <w:rPr>
          <w:rFonts w:ascii="Calibri" w:hAnsi="Calibri" w:cs="Calibri"/>
          <w:noProof/>
          <w:szCs w:val="24"/>
        </w:rPr>
        <w:t>, 886–897.</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Puchalka,J. </w:t>
      </w:r>
      <w:r w:rsidRPr="004E2B80">
        <w:rPr>
          <w:rFonts w:ascii="Calibri" w:hAnsi="Calibri" w:cs="Calibri"/>
          <w:i/>
          <w:iCs/>
          <w:noProof/>
          <w:szCs w:val="24"/>
        </w:rPr>
        <w:t>et al.</w:t>
      </w:r>
      <w:r w:rsidRPr="004E2B80">
        <w:rPr>
          <w:rFonts w:ascii="Calibri" w:hAnsi="Calibri" w:cs="Calibri"/>
          <w:noProof/>
          <w:szCs w:val="24"/>
        </w:rPr>
        <w:t xml:space="preserve"> (2008) Genome-scale reconstruction and analysis of the Pseudomonas putida KT2440 metabolic network facilitates applications in biotechnology. </w:t>
      </w:r>
      <w:r w:rsidRPr="004E2B80">
        <w:rPr>
          <w:rFonts w:ascii="Calibri" w:hAnsi="Calibri" w:cs="Calibri"/>
          <w:i/>
          <w:iCs/>
          <w:noProof/>
          <w:szCs w:val="24"/>
        </w:rPr>
        <w:t>PLoS Comput Biol</w:t>
      </w:r>
      <w:r w:rsidRPr="004E2B80">
        <w:rPr>
          <w:rFonts w:ascii="Calibri" w:hAnsi="Calibri" w:cs="Calibri"/>
          <w:noProof/>
          <w:szCs w:val="24"/>
        </w:rPr>
        <w:t xml:space="preserve">, </w:t>
      </w:r>
      <w:r w:rsidRPr="004E2B80">
        <w:rPr>
          <w:rFonts w:ascii="Calibri" w:hAnsi="Calibri" w:cs="Calibri"/>
          <w:b/>
          <w:bCs/>
          <w:noProof/>
          <w:szCs w:val="24"/>
        </w:rPr>
        <w:t>4</w:t>
      </w:r>
      <w:r w:rsidRPr="004E2B80">
        <w:rPr>
          <w:rFonts w:ascii="Calibri" w:hAnsi="Calibri" w:cs="Calibri"/>
          <w:noProof/>
          <w:szCs w:val="24"/>
        </w:rPr>
        <w:t>, e1000210.</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Raman,K. and Chandra,N. (2009) Flux balance analysis of biological systems: Applications and challenges. </w:t>
      </w:r>
      <w:r w:rsidRPr="004E2B80">
        <w:rPr>
          <w:rFonts w:ascii="Calibri" w:hAnsi="Calibri" w:cs="Calibri"/>
          <w:i/>
          <w:iCs/>
          <w:noProof/>
          <w:szCs w:val="24"/>
        </w:rPr>
        <w:t>Brief. Bioinform.</w:t>
      </w:r>
      <w:r w:rsidRPr="004E2B80">
        <w:rPr>
          <w:rFonts w:ascii="Calibri" w:hAnsi="Calibri" w:cs="Calibri"/>
          <w:noProof/>
          <w:szCs w:val="24"/>
        </w:rPr>
        <w:t xml:space="preserve">, </w:t>
      </w:r>
      <w:r w:rsidRPr="004E2B80">
        <w:rPr>
          <w:rFonts w:ascii="Calibri" w:hAnsi="Calibri" w:cs="Calibri"/>
          <w:b/>
          <w:bCs/>
          <w:noProof/>
          <w:szCs w:val="24"/>
        </w:rPr>
        <w:t>10</w:t>
      </w:r>
      <w:r w:rsidRPr="004E2B80">
        <w:rPr>
          <w:rFonts w:ascii="Calibri" w:hAnsi="Calibri" w:cs="Calibri"/>
          <w:noProof/>
          <w:szCs w:val="24"/>
        </w:rPr>
        <w:t>, 435–449.</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Reed,J.L. </w:t>
      </w:r>
      <w:r w:rsidRPr="004E2B80">
        <w:rPr>
          <w:rFonts w:ascii="Calibri" w:hAnsi="Calibri" w:cs="Calibri"/>
          <w:i/>
          <w:iCs/>
          <w:noProof/>
          <w:szCs w:val="24"/>
        </w:rPr>
        <w:t>et al.</w:t>
      </w:r>
      <w:r w:rsidRPr="004E2B80">
        <w:rPr>
          <w:rFonts w:ascii="Calibri" w:hAnsi="Calibri" w:cs="Calibri"/>
          <w:noProof/>
          <w:szCs w:val="24"/>
        </w:rPr>
        <w:t xml:space="preserve"> (2006) Towards multidimensional genome annotation. </w:t>
      </w:r>
      <w:r w:rsidRPr="004E2B80">
        <w:rPr>
          <w:rFonts w:ascii="Calibri" w:hAnsi="Calibri" w:cs="Calibri"/>
          <w:i/>
          <w:iCs/>
          <w:noProof/>
          <w:szCs w:val="24"/>
        </w:rPr>
        <w:t>Nat. Rev. Genet.</w:t>
      </w:r>
      <w:r w:rsidRPr="004E2B80">
        <w:rPr>
          <w:rFonts w:ascii="Calibri" w:hAnsi="Calibri" w:cs="Calibri"/>
          <w:noProof/>
          <w:szCs w:val="24"/>
        </w:rPr>
        <w:t xml:space="preserve">, </w:t>
      </w:r>
      <w:r w:rsidRPr="004E2B80">
        <w:rPr>
          <w:rFonts w:ascii="Calibri" w:hAnsi="Calibri" w:cs="Calibri"/>
          <w:b/>
          <w:bCs/>
          <w:noProof/>
          <w:szCs w:val="24"/>
        </w:rPr>
        <w:t>7</w:t>
      </w:r>
      <w:r w:rsidRPr="004E2B80">
        <w:rPr>
          <w:rFonts w:ascii="Calibri" w:hAnsi="Calibri" w:cs="Calibri"/>
          <w:noProof/>
          <w:szCs w:val="24"/>
        </w:rPr>
        <w:t>, 130–141.</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Reznik,E. </w:t>
      </w:r>
      <w:r w:rsidRPr="004E2B80">
        <w:rPr>
          <w:rFonts w:ascii="Calibri" w:hAnsi="Calibri" w:cs="Calibri"/>
          <w:i/>
          <w:iCs/>
          <w:noProof/>
          <w:szCs w:val="24"/>
        </w:rPr>
        <w:t>et al.</w:t>
      </w:r>
      <w:r w:rsidRPr="004E2B80">
        <w:rPr>
          <w:rFonts w:ascii="Calibri" w:hAnsi="Calibri" w:cs="Calibri"/>
          <w:noProof/>
          <w:szCs w:val="24"/>
        </w:rPr>
        <w:t xml:space="preserve"> (2013) Flux Imbalance Analysis and the Sensitivity of Cellular Growth to Changes in Metabolite Pools. </w:t>
      </w:r>
      <w:r w:rsidRPr="004E2B80">
        <w:rPr>
          <w:rFonts w:ascii="Calibri" w:hAnsi="Calibri" w:cs="Calibri"/>
          <w:i/>
          <w:iCs/>
          <w:noProof/>
          <w:szCs w:val="24"/>
        </w:rPr>
        <w:t>PLoS Comput. Biol.</w:t>
      </w:r>
      <w:r w:rsidRPr="004E2B80">
        <w:rPr>
          <w:rFonts w:ascii="Calibri" w:hAnsi="Calibri" w:cs="Calibri"/>
          <w:noProof/>
          <w:szCs w:val="24"/>
        </w:rPr>
        <w:t xml:space="preserve">, </w:t>
      </w:r>
      <w:r w:rsidRPr="004E2B80">
        <w:rPr>
          <w:rFonts w:ascii="Calibri" w:hAnsi="Calibri" w:cs="Calibri"/>
          <w:b/>
          <w:bCs/>
          <w:noProof/>
          <w:szCs w:val="24"/>
        </w:rPr>
        <w:t>9</w:t>
      </w:r>
      <w:r w:rsidRPr="004E2B80">
        <w:rPr>
          <w:rFonts w:ascii="Calibri" w:hAnsi="Calibri" w:cs="Calibri"/>
          <w:noProof/>
          <w:szCs w:val="24"/>
        </w:rPr>
        <w:t>.</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Schuetz,R. </w:t>
      </w:r>
      <w:r w:rsidRPr="004E2B80">
        <w:rPr>
          <w:rFonts w:ascii="Calibri" w:hAnsi="Calibri" w:cs="Calibri"/>
          <w:i/>
          <w:iCs/>
          <w:noProof/>
          <w:szCs w:val="24"/>
        </w:rPr>
        <w:t>et al.</w:t>
      </w:r>
      <w:r w:rsidRPr="004E2B80">
        <w:rPr>
          <w:rFonts w:ascii="Calibri" w:hAnsi="Calibri" w:cs="Calibri"/>
          <w:noProof/>
          <w:szCs w:val="24"/>
        </w:rPr>
        <w:t xml:space="preserve"> (2012) Multidimensional optimality of microbial metabolism. </w:t>
      </w:r>
      <w:r w:rsidRPr="004E2B80">
        <w:rPr>
          <w:rFonts w:ascii="Calibri" w:hAnsi="Calibri" w:cs="Calibri"/>
          <w:i/>
          <w:iCs/>
          <w:noProof/>
          <w:szCs w:val="24"/>
        </w:rPr>
        <w:t>Science (80-. ).</w:t>
      </w:r>
      <w:r w:rsidRPr="004E2B80">
        <w:rPr>
          <w:rFonts w:ascii="Calibri" w:hAnsi="Calibri" w:cs="Calibri"/>
          <w:noProof/>
          <w:szCs w:val="24"/>
        </w:rPr>
        <w:t xml:space="preserve">, </w:t>
      </w:r>
      <w:r w:rsidRPr="004E2B80">
        <w:rPr>
          <w:rFonts w:ascii="Calibri" w:hAnsi="Calibri" w:cs="Calibri"/>
          <w:b/>
          <w:bCs/>
          <w:noProof/>
          <w:szCs w:val="24"/>
        </w:rPr>
        <w:t>336</w:t>
      </w:r>
      <w:r w:rsidRPr="004E2B80">
        <w:rPr>
          <w:rFonts w:ascii="Calibri" w:hAnsi="Calibri" w:cs="Calibri"/>
          <w:noProof/>
          <w:szCs w:val="24"/>
        </w:rPr>
        <w:t>, 601–4.</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Schuetz,R. </w:t>
      </w:r>
      <w:r w:rsidRPr="004E2B80">
        <w:rPr>
          <w:rFonts w:ascii="Calibri" w:hAnsi="Calibri" w:cs="Calibri"/>
          <w:i/>
          <w:iCs/>
          <w:noProof/>
          <w:szCs w:val="24"/>
        </w:rPr>
        <w:t>et al.</w:t>
      </w:r>
      <w:r w:rsidRPr="004E2B80">
        <w:rPr>
          <w:rFonts w:ascii="Calibri" w:hAnsi="Calibri" w:cs="Calibri"/>
          <w:noProof/>
          <w:szCs w:val="24"/>
        </w:rPr>
        <w:t xml:space="preserve"> (2007) Systematic evaluation of objective functions for predicting intracellular fluxes in Escherichia coli. </w:t>
      </w:r>
      <w:r w:rsidRPr="004E2B80">
        <w:rPr>
          <w:rFonts w:ascii="Calibri" w:hAnsi="Calibri" w:cs="Calibri"/>
          <w:i/>
          <w:iCs/>
          <w:noProof/>
          <w:szCs w:val="24"/>
        </w:rPr>
        <w:t>Mol. Syst. Biol.</w:t>
      </w:r>
      <w:r w:rsidRPr="004E2B80">
        <w:rPr>
          <w:rFonts w:ascii="Calibri" w:hAnsi="Calibri" w:cs="Calibri"/>
          <w:noProof/>
          <w:szCs w:val="24"/>
        </w:rPr>
        <w:t xml:space="preserve">, </w:t>
      </w:r>
      <w:r w:rsidRPr="004E2B80">
        <w:rPr>
          <w:rFonts w:ascii="Calibri" w:hAnsi="Calibri" w:cs="Calibri"/>
          <w:b/>
          <w:bCs/>
          <w:noProof/>
          <w:szCs w:val="24"/>
        </w:rPr>
        <w:t>3</w:t>
      </w:r>
      <w:r w:rsidRPr="004E2B80">
        <w:rPr>
          <w:rFonts w:ascii="Calibri" w:hAnsi="Calibri" w:cs="Calibri"/>
          <w:noProof/>
          <w:szCs w:val="24"/>
        </w:rPr>
        <w:t>, 119.</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Scott,A.L. and Ghedin,E. (2009) The genome of Brugia malayi - All worms are not created equal. </w:t>
      </w:r>
      <w:r w:rsidRPr="004E2B80">
        <w:rPr>
          <w:rFonts w:ascii="Calibri" w:hAnsi="Calibri" w:cs="Calibri"/>
          <w:i/>
          <w:iCs/>
          <w:noProof/>
          <w:szCs w:val="24"/>
        </w:rPr>
        <w:t>Parasitol. Int.</w:t>
      </w:r>
      <w:r w:rsidRPr="004E2B80">
        <w:rPr>
          <w:rFonts w:ascii="Calibri" w:hAnsi="Calibri" w:cs="Calibri"/>
          <w:noProof/>
          <w:szCs w:val="24"/>
        </w:rPr>
        <w:t xml:space="preserve">, </w:t>
      </w:r>
      <w:r w:rsidRPr="004E2B80">
        <w:rPr>
          <w:rFonts w:ascii="Calibri" w:hAnsi="Calibri" w:cs="Calibri"/>
          <w:b/>
          <w:bCs/>
          <w:noProof/>
          <w:szCs w:val="24"/>
        </w:rPr>
        <w:t>58</w:t>
      </w:r>
      <w:r w:rsidRPr="004E2B80">
        <w:rPr>
          <w:rFonts w:ascii="Calibri" w:hAnsi="Calibri" w:cs="Calibri"/>
          <w:noProof/>
          <w:szCs w:val="24"/>
        </w:rPr>
        <w:t>, 6–11.</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Segrè,D. </w:t>
      </w:r>
      <w:r w:rsidRPr="004E2B80">
        <w:rPr>
          <w:rFonts w:ascii="Calibri" w:hAnsi="Calibri" w:cs="Calibri"/>
          <w:i/>
          <w:iCs/>
          <w:noProof/>
          <w:szCs w:val="24"/>
        </w:rPr>
        <w:t>et al.</w:t>
      </w:r>
      <w:r w:rsidRPr="004E2B80">
        <w:rPr>
          <w:rFonts w:ascii="Calibri" w:hAnsi="Calibri" w:cs="Calibri"/>
          <w:noProof/>
          <w:szCs w:val="24"/>
        </w:rPr>
        <w:t xml:space="preserve"> (2002) Analysis of optimality in natural and perturbed metabolic networks. </w:t>
      </w:r>
      <w:r w:rsidRPr="004E2B80">
        <w:rPr>
          <w:rFonts w:ascii="Calibri" w:hAnsi="Calibri" w:cs="Calibri"/>
          <w:i/>
          <w:iCs/>
          <w:noProof/>
          <w:szCs w:val="24"/>
        </w:rPr>
        <w:t>Proc. Natl. Acad. Sci. U. S. A.</w:t>
      </w:r>
      <w:r w:rsidRPr="004E2B80">
        <w:rPr>
          <w:rFonts w:ascii="Calibri" w:hAnsi="Calibri" w:cs="Calibri"/>
          <w:noProof/>
          <w:szCs w:val="24"/>
        </w:rPr>
        <w:t xml:space="preserve">, </w:t>
      </w:r>
      <w:r w:rsidRPr="004E2B80">
        <w:rPr>
          <w:rFonts w:ascii="Calibri" w:hAnsi="Calibri" w:cs="Calibri"/>
          <w:b/>
          <w:bCs/>
          <w:noProof/>
          <w:szCs w:val="24"/>
        </w:rPr>
        <w:t>99</w:t>
      </w:r>
      <w:r w:rsidRPr="004E2B80">
        <w:rPr>
          <w:rFonts w:ascii="Calibri" w:hAnsi="Calibri" w:cs="Calibri"/>
          <w:noProof/>
          <w:szCs w:val="24"/>
        </w:rPr>
        <w:t>, 15112–15117.</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Shimizu,H. </w:t>
      </w:r>
      <w:r w:rsidRPr="004E2B80">
        <w:rPr>
          <w:rFonts w:ascii="Calibri" w:hAnsi="Calibri" w:cs="Calibri"/>
          <w:i/>
          <w:iCs/>
          <w:noProof/>
          <w:szCs w:val="24"/>
        </w:rPr>
        <w:t>et al.</w:t>
      </w:r>
      <w:r w:rsidRPr="004E2B80">
        <w:rPr>
          <w:rFonts w:ascii="Calibri" w:hAnsi="Calibri" w:cs="Calibri"/>
          <w:noProof/>
          <w:szCs w:val="24"/>
        </w:rPr>
        <w:t xml:space="preserve"> (2012) Crystal structure of mitochondrial quinol-fumarate reductase from the parasitic nematode Ascaris suum. </w:t>
      </w:r>
      <w:r w:rsidRPr="004E2B80">
        <w:rPr>
          <w:rFonts w:ascii="Calibri" w:hAnsi="Calibri" w:cs="Calibri"/>
          <w:i/>
          <w:iCs/>
          <w:noProof/>
          <w:szCs w:val="24"/>
        </w:rPr>
        <w:t>J. Biochem.</w:t>
      </w:r>
      <w:r w:rsidRPr="004E2B80">
        <w:rPr>
          <w:rFonts w:ascii="Calibri" w:hAnsi="Calibri" w:cs="Calibri"/>
          <w:noProof/>
          <w:szCs w:val="24"/>
        </w:rPr>
        <w:t xml:space="preserve">, </w:t>
      </w:r>
      <w:r w:rsidRPr="004E2B80">
        <w:rPr>
          <w:rFonts w:ascii="Calibri" w:hAnsi="Calibri" w:cs="Calibri"/>
          <w:b/>
          <w:bCs/>
          <w:noProof/>
          <w:szCs w:val="24"/>
        </w:rPr>
        <w:t>151</w:t>
      </w:r>
      <w:r w:rsidRPr="004E2B80">
        <w:rPr>
          <w:rFonts w:ascii="Calibri" w:hAnsi="Calibri" w:cs="Calibri"/>
          <w:noProof/>
          <w:szCs w:val="24"/>
        </w:rPr>
        <w:t>, 589–592.</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Shlomi,T. </w:t>
      </w:r>
      <w:r w:rsidRPr="004E2B80">
        <w:rPr>
          <w:rFonts w:ascii="Calibri" w:hAnsi="Calibri" w:cs="Calibri"/>
          <w:i/>
          <w:iCs/>
          <w:noProof/>
          <w:szCs w:val="24"/>
        </w:rPr>
        <w:t>et al.</w:t>
      </w:r>
      <w:r w:rsidRPr="004E2B80">
        <w:rPr>
          <w:rFonts w:ascii="Calibri" w:hAnsi="Calibri" w:cs="Calibri"/>
          <w:noProof/>
          <w:szCs w:val="24"/>
        </w:rPr>
        <w:t xml:space="preserve"> (2007) A genome-scale computational study of the interplay between transcriptional regulation and metabolism. </w:t>
      </w:r>
      <w:r w:rsidRPr="004E2B80">
        <w:rPr>
          <w:rFonts w:ascii="Calibri" w:hAnsi="Calibri" w:cs="Calibri"/>
          <w:i/>
          <w:iCs/>
          <w:noProof/>
          <w:szCs w:val="24"/>
        </w:rPr>
        <w:t>Mol. Syst. Biol.</w:t>
      </w:r>
      <w:r w:rsidRPr="004E2B80">
        <w:rPr>
          <w:rFonts w:ascii="Calibri" w:hAnsi="Calibri" w:cs="Calibri"/>
          <w:noProof/>
          <w:szCs w:val="24"/>
        </w:rPr>
        <w:t xml:space="preserve">, </w:t>
      </w:r>
      <w:r w:rsidRPr="004E2B80">
        <w:rPr>
          <w:rFonts w:ascii="Calibri" w:hAnsi="Calibri" w:cs="Calibri"/>
          <w:b/>
          <w:bCs/>
          <w:noProof/>
          <w:szCs w:val="24"/>
        </w:rPr>
        <w:t>3</w:t>
      </w:r>
      <w:r w:rsidRPr="004E2B80">
        <w:rPr>
          <w:rFonts w:ascii="Calibri" w:hAnsi="Calibri" w:cs="Calibri"/>
          <w:noProof/>
          <w:szCs w:val="24"/>
        </w:rPr>
        <w:t>, 101.</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Shlomi,T. </w:t>
      </w:r>
      <w:r w:rsidRPr="004E2B80">
        <w:rPr>
          <w:rFonts w:ascii="Calibri" w:hAnsi="Calibri" w:cs="Calibri"/>
          <w:i/>
          <w:iCs/>
          <w:noProof/>
          <w:szCs w:val="24"/>
        </w:rPr>
        <w:t>et al.</w:t>
      </w:r>
      <w:r w:rsidRPr="004E2B80">
        <w:rPr>
          <w:rFonts w:ascii="Calibri" w:hAnsi="Calibri" w:cs="Calibri"/>
          <w:noProof/>
          <w:szCs w:val="24"/>
        </w:rPr>
        <w:t xml:space="preserve"> (2005) Regulatory on/off minimization of metabolic flux changes after genetic perturbations. </w:t>
      </w:r>
      <w:r w:rsidRPr="004E2B80">
        <w:rPr>
          <w:rFonts w:ascii="Calibri" w:hAnsi="Calibri" w:cs="Calibri"/>
          <w:i/>
          <w:iCs/>
          <w:noProof/>
          <w:szCs w:val="24"/>
        </w:rPr>
        <w:t>Proc. Natl. Acad. Sci. U. S. A.</w:t>
      </w:r>
      <w:r w:rsidRPr="004E2B80">
        <w:rPr>
          <w:rFonts w:ascii="Calibri" w:hAnsi="Calibri" w:cs="Calibri"/>
          <w:noProof/>
          <w:szCs w:val="24"/>
        </w:rPr>
        <w:t xml:space="preserve">, </w:t>
      </w:r>
      <w:r w:rsidRPr="004E2B80">
        <w:rPr>
          <w:rFonts w:ascii="Calibri" w:hAnsi="Calibri" w:cs="Calibri"/>
          <w:b/>
          <w:bCs/>
          <w:noProof/>
          <w:szCs w:val="24"/>
        </w:rPr>
        <w:t>102</w:t>
      </w:r>
      <w:r w:rsidRPr="004E2B80">
        <w:rPr>
          <w:rFonts w:ascii="Calibri" w:hAnsi="Calibri" w:cs="Calibri"/>
          <w:noProof/>
          <w:szCs w:val="24"/>
        </w:rPr>
        <w:t>, 7695–7700.</w:t>
      </w:r>
    </w:p>
    <w:p w:rsidR="004E2B80" w:rsidRPr="004E2B80" w:rsidRDefault="004E2B80" w:rsidP="004E2B80">
      <w:pPr>
        <w:widowControl w:val="0"/>
        <w:autoSpaceDE w:val="0"/>
        <w:autoSpaceDN w:val="0"/>
        <w:adjustRightInd w:val="0"/>
        <w:ind w:left="480" w:hanging="480"/>
        <w:rPr>
          <w:rFonts w:ascii="Calibri" w:hAnsi="Calibri" w:cs="Calibri"/>
          <w:noProof/>
          <w:szCs w:val="24"/>
        </w:rPr>
      </w:pPr>
      <w:r w:rsidRPr="004E2B80">
        <w:rPr>
          <w:rFonts w:ascii="Calibri" w:hAnsi="Calibri" w:cs="Calibri"/>
          <w:noProof/>
          <w:szCs w:val="24"/>
        </w:rPr>
        <w:t xml:space="preserve">Thiele,I. </w:t>
      </w:r>
      <w:r w:rsidRPr="004E2B80">
        <w:rPr>
          <w:rFonts w:ascii="Calibri" w:hAnsi="Calibri" w:cs="Calibri"/>
          <w:i/>
          <w:iCs/>
          <w:noProof/>
          <w:szCs w:val="24"/>
        </w:rPr>
        <w:t>et al.</w:t>
      </w:r>
      <w:r w:rsidRPr="004E2B80">
        <w:rPr>
          <w:rFonts w:ascii="Calibri" w:hAnsi="Calibri" w:cs="Calibri"/>
          <w:noProof/>
          <w:szCs w:val="24"/>
        </w:rPr>
        <w:t xml:space="preserve"> (2013) A community-driven global reconstruction of human metabolism. </w:t>
      </w:r>
      <w:r w:rsidRPr="004E2B80">
        <w:rPr>
          <w:rFonts w:ascii="Calibri" w:hAnsi="Calibri" w:cs="Calibri"/>
          <w:i/>
          <w:iCs/>
          <w:noProof/>
          <w:szCs w:val="24"/>
        </w:rPr>
        <w:t>Nat. Biotechnol.</w:t>
      </w:r>
      <w:r w:rsidRPr="004E2B80">
        <w:rPr>
          <w:rFonts w:ascii="Calibri" w:hAnsi="Calibri" w:cs="Calibri"/>
          <w:noProof/>
          <w:szCs w:val="24"/>
        </w:rPr>
        <w:t xml:space="preserve">, </w:t>
      </w:r>
      <w:r w:rsidRPr="004E2B80">
        <w:rPr>
          <w:rFonts w:ascii="Calibri" w:hAnsi="Calibri" w:cs="Calibri"/>
          <w:b/>
          <w:bCs/>
          <w:noProof/>
          <w:szCs w:val="24"/>
        </w:rPr>
        <w:t>31</w:t>
      </w:r>
      <w:r w:rsidRPr="004E2B80">
        <w:rPr>
          <w:rFonts w:ascii="Calibri" w:hAnsi="Calibri" w:cs="Calibri"/>
          <w:noProof/>
          <w:szCs w:val="24"/>
        </w:rPr>
        <w:t>, 419–25.</w:t>
      </w:r>
    </w:p>
    <w:p w:rsidR="004E2B80" w:rsidRPr="004E2B80" w:rsidRDefault="004E2B80" w:rsidP="004E2B80">
      <w:pPr>
        <w:widowControl w:val="0"/>
        <w:autoSpaceDE w:val="0"/>
        <w:autoSpaceDN w:val="0"/>
        <w:adjustRightInd w:val="0"/>
        <w:ind w:left="480" w:hanging="480"/>
        <w:rPr>
          <w:rFonts w:ascii="Calibri" w:hAnsi="Calibri" w:cs="Calibri"/>
          <w:noProof/>
        </w:rPr>
      </w:pPr>
      <w:r w:rsidRPr="004E2B80">
        <w:rPr>
          <w:rFonts w:ascii="Calibri" w:hAnsi="Calibri" w:cs="Calibri"/>
          <w:noProof/>
          <w:szCs w:val="24"/>
        </w:rPr>
        <w:t xml:space="preserve">Uhlen,M. </w:t>
      </w:r>
      <w:r w:rsidRPr="004E2B80">
        <w:rPr>
          <w:rFonts w:ascii="Calibri" w:hAnsi="Calibri" w:cs="Calibri"/>
          <w:i/>
          <w:iCs/>
          <w:noProof/>
          <w:szCs w:val="24"/>
        </w:rPr>
        <w:t>et al.</w:t>
      </w:r>
      <w:r w:rsidRPr="004E2B80">
        <w:rPr>
          <w:rFonts w:ascii="Calibri" w:hAnsi="Calibri" w:cs="Calibri"/>
          <w:noProof/>
          <w:szCs w:val="24"/>
        </w:rPr>
        <w:t xml:space="preserve"> (2010) Towards a knowledge-based Human Protein Atlas. </w:t>
      </w:r>
      <w:r w:rsidRPr="004E2B80">
        <w:rPr>
          <w:rFonts w:ascii="Calibri" w:hAnsi="Calibri" w:cs="Calibri"/>
          <w:i/>
          <w:iCs/>
          <w:noProof/>
          <w:szCs w:val="24"/>
        </w:rPr>
        <w:t>Nat. Biotechnol.</w:t>
      </w:r>
      <w:r w:rsidRPr="004E2B80">
        <w:rPr>
          <w:rFonts w:ascii="Calibri" w:hAnsi="Calibri" w:cs="Calibri"/>
          <w:noProof/>
          <w:szCs w:val="24"/>
        </w:rPr>
        <w:t xml:space="preserve">, </w:t>
      </w:r>
      <w:r w:rsidRPr="004E2B80">
        <w:rPr>
          <w:rFonts w:ascii="Calibri" w:hAnsi="Calibri" w:cs="Calibri"/>
          <w:b/>
          <w:bCs/>
          <w:noProof/>
          <w:szCs w:val="24"/>
        </w:rPr>
        <w:t>28</w:t>
      </w:r>
      <w:r w:rsidRPr="004E2B80">
        <w:rPr>
          <w:rFonts w:ascii="Calibri" w:hAnsi="Calibri" w:cs="Calibri"/>
          <w:noProof/>
          <w:szCs w:val="24"/>
        </w:rPr>
        <w:t>, 1248–1250.</w:t>
      </w:r>
    </w:p>
    <w:p w:rsidR="007F4F16" w:rsidRDefault="007F4F16" w:rsidP="00AF394B">
      <w:r>
        <w:fldChar w:fldCharType="end"/>
      </w:r>
    </w:p>
    <w:p w:rsidR="001B1CE7" w:rsidRPr="00E170FC" w:rsidRDefault="001B1CE7" w:rsidP="00B364DC"/>
    <w:sectPr w:rsidR="001B1CE7" w:rsidRPr="00E170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E6846"/>
    <w:multiLevelType w:val="hybridMultilevel"/>
    <w:tmpl w:val="4FEA2E82"/>
    <w:lvl w:ilvl="0" w:tplc="0EA66A10">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0EF"/>
    <w:rsid w:val="00045B99"/>
    <w:rsid w:val="0004666C"/>
    <w:rsid w:val="0005394B"/>
    <w:rsid w:val="00072066"/>
    <w:rsid w:val="000741C0"/>
    <w:rsid w:val="000B2447"/>
    <w:rsid w:val="000B7757"/>
    <w:rsid w:val="000E72F5"/>
    <w:rsid w:val="000F1A84"/>
    <w:rsid w:val="0011302D"/>
    <w:rsid w:val="0011752C"/>
    <w:rsid w:val="00117B7D"/>
    <w:rsid w:val="00131D6E"/>
    <w:rsid w:val="00154605"/>
    <w:rsid w:val="00163FFE"/>
    <w:rsid w:val="00180FD7"/>
    <w:rsid w:val="0019205D"/>
    <w:rsid w:val="001B05C1"/>
    <w:rsid w:val="001B06CA"/>
    <w:rsid w:val="001B1CE7"/>
    <w:rsid w:val="001E205B"/>
    <w:rsid w:val="001F4670"/>
    <w:rsid w:val="001F654B"/>
    <w:rsid w:val="0021702B"/>
    <w:rsid w:val="002243FD"/>
    <w:rsid w:val="00231239"/>
    <w:rsid w:val="002323B5"/>
    <w:rsid w:val="00243D26"/>
    <w:rsid w:val="00272FED"/>
    <w:rsid w:val="002871E9"/>
    <w:rsid w:val="00287767"/>
    <w:rsid w:val="00294B8E"/>
    <w:rsid w:val="002B7A35"/>
    <w:rsid w:val="002C3206"/>
    <w:rsid w:val="002D6A77"/>
    <w:rsid w:val="002E1FE2"/>
    <w:rsid w:val="003105EA"/>
    <w:rsid w:val="003156B2"/>
    <w:rsid w:val="00335271"/>
    <w:rsid w:val="003459CD"/>
    <w:rsid w:val="00352584"/>
    <w:rsid w:val="003724C4"/>
    <w:rsid w:val="003A0DA9"/>
    <w:rsid w:val="003A1A3F"/>
    <w:rsid w:val="003B7092"/>
    <w:rsid w:val="003F32C8"/>
    <w:rsid w:val="00411F88"/>
    <w:rsid w:val="004207D2"/>
    <w:rsid w:val="00435292"/>
    <w:rsid w:val="004652A0"/>
    <w:rsid w:val="004663BA"/>
    <w:rsid w:val="00497A3C"/>
    <w:rsid w:val="00497D65"/>
    <w:rsid w:val="004A1AFF"/>
    <w:rsid w:val="004B0A0A"/>
    <w:rsid w:val="004B5EEB"/>
    <w:rsid w:val="004D0CD7"/>
    <w:rsid w:val="004E2B80"/>
    <w:rsid w:val="004E4E9E"/>
    <w:rsid w:val="004E6C4F"/>
    <w:rsid w:val="004F2170"/>
    <w:rsid w:val="00512CF2"/>
    <w:rsid w:val="0052159B"/>
    <w:rsid w:val="00526921"/>
    <w:rsid w:val="0053029F"/>
    <w:rsid w:val="00530462"/>
    <w:rsid w:val="00532D8C"/>
    <w:rsid w:val="00536D70"/>
    <w:rsid w:val="0056614F"/>
    <w:rsid w:val="0056721E"/>
    <w:rsid w:val="00572632"/>
    <w:rsid w:val="005829C5"/>
    <w:rsid w:val="005C66F4"/>
    <w:rsid w:val="0060347D"/>
    <w:rsid w:val="00611A48"/>
    <w:rsid w:val="00614D8E"/>
    <w:rsid w:val="00617FA2"/>
    <w:rsid w:val="0063158B"/>
    <w:rsid w:val="0067338C"/>
    <w:rsid w:val="00697883"/>
    <w:rsid w:val="006B6DE3"/>
    <w:rsid w:val="006C0B34"/>
    <w:rsid w:val="006D5C0E"/>
    <w:rsid w:val="006E08CF"/>
    <w:rsid w:val="006E52D5"/>
    <w:rsid w:val="006F0154"/>
    <w:rsid w:val="006F015A"/>
    <w:rsid w:val="00707E4F"/>
    <w:rsid w:val="00714DC3"/>
    <w:rsid w:val="00730327"/>
    <w:rsid w:val="007319FB"/>
    <w:rsid w:val="00735F98"/>
    <w:rsid w:val="00747E56"/>
    <w:rsid w:val="00755DB7"/>
    <w:rsid w:val="00771D4C"/>
    <w:rsid w:val="00781E06"/>
    <w:rsid w:val="00782711"/>
    <w:rsid w:val="0079448B"/>
    <w:rsid w:val="007D7D7E"/>
    <w:rsid w:val="007F4F16"/>
    <w:rsid w:val="00800773"/>
    <w:rsid w:val="00803173"/>
    <w:rsid w:val="00812F97"/>
    <w:rsid w:val="00836184"/>
    <w:rsid w:val="00841A5F"/>
    <w:rsid w:val="00842F0C"/>
    <w:rsid w:val="00843DC2"/>
    <w:rsid w:val="0084455F"/>
    <w:rsid w:val="0085309D"/>
    <w:rsid w:val="00874AFD"/>
    <w:rsid w:val="008C2C76"/>
    <w:rsid w:val="008C461F"/>
    <w:rsid w:val="008E0294"/>
    <w:rsid w:val="008F30EF"/>
    <w:rsid w:val="00912356"/>
    <w:rsid w:val="009452ED"/>
    <w:rsid w:val="00952EFC"/>
    <w:rsid w:val="00956270"/>
    <w:rsid w:val="0098043E"/>
    <w:rsid w:val="0098285F"/>
    <w:rsid w:val="00997111"/>
    <w:rsid w:val="009A0465"/>
    <w:rsid w:val="009B0836"/>
    <w:rsid w:val="009B50B6"/>
    <w:rsid w:val="009C06D0"/>
    <w:rsid w:val="009E12B0"/>
    <w:rsid w:val="009E446B"/>
    <w:rsid w:val="009F6C6D"/>
    <w:rsid w:val="00A00ED8"/>
    <w:rsid w:val="00A15A20"/>
    <w:rsid w:val="00A21444"/>
    <w:rsid w:val="00A436B6"/>
    <w:rsid w:val="00A43EE9"/>
    <w:rsid w:val="00A57077"/>
    <w:rsid w:val="00A76FE5"/>
    <w:rsid w:val="00A77DBC"/>
    <w:rsid w:val="00A83863"/>
    <w:rsid w:val="00A900C4"/>
    <w:rsid w:val="00AA2366"/>
    <w:rsid w:val="00AB63D5"/>
    <w:rsid w:val="00AC649C"/>
    <w:rsid w:val="00AD03FB"/>
    <w:rsid w:val="00AD1003"/>
    <w:rsid w:val="00AE26EE"/>
    <w:rsid w:val="00AF12C3"/>
    <w:rsid w:val="00AF1E69"/>
    <w:rsid w:val="00AF394B"/>
    <w:rsid w:val="00B364DC"/>
    <w:rsid w:val="00B50FCA"/>
    <w:rsid w:val="00B60CC2"/>
    <w:rsid w:val="00B7186B"/>
    <w:rsid w:val="00B73529"/>
    <w:rsid w:val="00B848FB"/>
    <w:rsid w:val="00BB43FB"/>
    <w:rsid w:val="00BC4AAE"/>
    <w:rsid w:val="00BD7311"/>
    <w:rsid w:val="00C01A3F"/>
    <w:rsid w:val="00C15E75"/>
    <w:rsid w:val="00C332AB"/>
    <w:rsid w:val="00C33621"/>
    <w:rsid w:val="00C365CE"/>
    <w:rsid w:val="00C45C2C"/>
    <w:rsid w:val="00C479BE"/>
    <w:rsid w:val="00C50361"/>
    <w:rsid w:val="00C5069D"/>
    <w:rsid w:val="00C57B4C"/>
    <w:rsid w:val="00C93DBF"/>
    <w:rsid w:val="00C9766E"/>
    <w:rsid w:val="00CA0F9F"/>
    <w:rsid w:val="00CA44DA"/>
    <w:rsid w:val="00CC67DF"/>
    <w:rsid w:val="00CD35A7"/>
    <w:rsid w:val="00CD4FD2"/>
    <w:rsid w:val="00CE3828"/>
    <w:rsid w:val="00CF45DC"/>
    <w:rsid w:val="00D2633E"/>
    <w:rsid w:val="00D3474E"/>
    <w:rsid w:val="00D574AB"/>
    <w:rsid w:val="00D6316A"/>
    <w:rsid w:val="00D8624F"/>
    <w:rsid w:val="00DB3C4F"/>
    <w:rsid w:val="00DF006A"/>
    <w:rsid w:val="00E170FC"/>
    <w:rsid w:val="00E26D13"/>
    <w:rsid w:val="00E66B9E"/>
    <w:rsid w:val="00E90065"/>
    <w:rsid w:val="00EA19EE"/>
    <w:rsid w:val="00EB33C4"/>
    <w:rsid w:val="00EB49BF"/>
    <w:rsid w:val="00F34CD8"/>
    <w:rsid w:val="00F521F4"/>
    <w:rsid w:val="00F53AE5"/>
    <w:rsid w:val="00F636D4"/>
    <w:rsid w:val="00F857A9"/>
    <w:rsid w:val="00F97D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F82B"/>
  <w15:chartTrackingRefBased/>
  <w15:docId w15:val="{A67E8C39-4836-4957-9697-39C03483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364DC"/>
    <w:pPr>
      <w:spacing w:after="120" w:line="240" w:lineRule="auto"/>
    </w:pPr>
  </w:style>
  <w:style w:type="paragraph" w:styleId="Heading1">
    <w:name w:val="heading 1"/>
    <w:basedOn w:val="Normal"/>
    <w:next w:val="Normal"/>
    <w:link w:val="Heading1Char"/>
    <w:uiPriority w:val="9"/>
    <w:qFormat/>
    <w:rsid w:val="00AF1E69"/>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364DC"/>
    <w:pPr>
      <w:keepNext/>
      <w:keepLines/>
      <w:spacing w:before="4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536D7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0E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0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1E69"/>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C479BE"/>
    <w:pPr>
      <w:outlineLvl w:val="9"/>
    </w:pPr>
    <w:rPr>
      <w:lang w:val="en-US"/>
    </w:rPr>
  </w:style>
  <w:style w:type="paragraph" w:styleId="ListParagraph">
    <w:name w:val="List Paragraph"/>
    <w:basedOn w:val="Normal"/>
    <w:uiPriority w:val="34"/>
    <w:qFormat/>
    <w:rsid w:val="00C479BE"/>
    <w:pPr>
      <w:ind w:left="720"/>
      <w:contextualSpacing/>
    </w:pPr>
  </w:style>
  <w:style w:type="character" w:customStyle="1" w:styleId="Heading2Char">
    <w:name w:val="Heading 2 Char"/>
    <w:basedOn w:val="DefaultParagraphFont"/>
    <w:link w:val="Heading2"/>
    <w:uiPriority w:val="9"/>
    <w:rsid w:val="00B364DC"/>
    <w:rPr>
      <w:rFonts w:asciiTheme="majorHAnsi" w:eastAsiaTheme="majorEastAsia" w:hAnsiTheme="majorHAnsi" w:cstheme="majorBidi"/>
      <w:b/>
      <w:color w:val="2E74B5" w:themeColor="accent1" w:themeShade="BF"/>
      <w:sz w:val="26"/>
      <w:szCs w:val="26"/>
    </w:rPr>
  </w:style>
  <w:style w:type="paragraph" w:styleId="TOC1">
    <w:name w:val="toc 1"/>
    <w:basedOn w:val="Normal"/>
    <w:next w:val="Normal"/>
    <w:autoRedefine/>
    <w:uiPriority w:val="39"/>
    <w:unhideWhenUsed/>
    <w:rsid w:val="00E170FC"/>
    <w:pPr>
      <w:spacing w:after="100"/>
    </w:pPr>
  </w:style>
  <w:style w:type="paragraph" w:styleId="TOC2">
    <w:name w:val="toc 2"/>
    <w:basedOn w:val="Normal"/>
    <w:next w:val="Normal"/>
    <w:autoRedefine/>
    <w:uiPriority w:val="39"/>
    <w:unhideWhenUsed/>
    <w:rsid w:val="00E170FC"/>
    <w:pPr>
      <w:spacing w:after="100"/>
      <w:ind w:left="220"/>
    </w:pPr>
  </w:style>
  <w:style w:type="character" w:styleId="Hyperlink">
    <w:name w:val="Hyperlink"/>
    <w:basedOn w:val="DefaultParagraphFont"/>
    <w:uiPriority w:val="99"/>
    <w:unhideWhenUsed/>
    <w:rsid w:val="00E170FC"/>
    <w:rPr>
      <w:color w:val="0563C1" w:themeColor="hyperlink"/>
      <w:u w:val="single"/>
    </w:rPr>
  </w:style>
  <w:style w:type="character" w:customStyle="1" w:styleId="Heading3Char">
    <w:name w:val="Heading 3 Char"/>
    <w:basedOn w:val="DefaultParagraphFont"/>
    <w:link w:val="Heading3"/>
    <w:uiPriority w:val="9"/>
    <w:rsid w:val="00536D7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4666C"/>
    <w:pPr>
      <w:spacing w:after="100"/>
      <w:ind w:left="440"/>
    </w:pPr>
  </w:style>
  <w:style w:type="character" w:styleId="PlaceholderText">
    <w:name w:val="Placeholder Text"/>
    <w:basedOn w:val="DefaultParagraphFont"/>
    <w:uiPriority w:val="99"/>
    <w:semiHidden/>
    <w:rsid w:val="00AC649C"/>
    <w:rPr>
      <w:color w:val="808080"/>
    </w:rPr>
  </w:style>
  <w:style w:type="character" w:styleId="Mention">
    <w:name w:val="Mention"/>
    <w:basedOn w:val="DefaultParagraphFont"/>
    <w:uiPriority w:val="99"/>
    <w:semiHidden/>
    <w:unhideWhenUsed/>
    <w:rsid w:val="00411F8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brenda-enzymes.info" TargetMode="External"/><Relationship Id="rId3" Type="http://schemas.openxmlformats.org/officeDocument/2006/relationships/styles" Target="styles.xml"/><Relationship Id="rId7" Type="http://schemas.openxmlformats.org/officeDocument/2006/relationships/hyperlink" Target="ftp://ftp.sanger.ac.uk/pub/project/pathogens/Onchocerca/volvulus/" TargetMode="External"/><Relationship Id="rId12" Type="http://schemas.openxmlformats.org/officeDocument/2006/relationships/hyperlink" Target="http://sabio.villa-bosch.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www.biomodels.net" TargetMode="External"/><Relationship Id="rId5" Type="http://schemas.openxmlformats.org/officeDocument/2006/relationships/webSettings" Target="webSettings.xml"/><Relationship Id="rId15" Type="http://schemas.openxmlformats.org/officeDocument/2006/relationships/hyperlink" Target="http://www.reactome.org" TargetMode="External"/><Relationship Id="rId10" Type="http://schemas.openxmlformats.org/officeDocument/2006/relationships/hyperlink" Target="http://www.biocyc.org" TargetMode="External"/><Relationship Id="rId4" Type="http://schemas.openxmlformats.org/officeDocument/2006/relationships/settings" Target="settings.xml"/><Relationship Id="rId9" Type="http://schemas.openxmlformats.org/officeDocument/2006/relationships/hyperlink" Target="http://www.metabolicatlas.org/" TargetMode="External"/><Relationship Id="rId14" Type="http://schemas.openxmlformats.org/officeDocument/2006/relationships/hyperlink" Target="http://pedant.gsf.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6AC03-7C88-4F25-9DFD-822E7535A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34885</TotalTime>
  <Pages>19</Pages>
  <Words>53954</Words>
  <Characters>307544</Characters>
  <Application>Microsoft Office Word</Application>
  <DocSecurity>0</DocSecurity>
  <Lines>2562</Lines>
  <Paragraphs>721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Curran</dc:creator>
  <cp:keywords/>
  <dc:description/>
  <cp:lastModifiedBy>Dave Curran</cp:lastModifiedBy>
  <cp:revision>83</cp:revision>
  <dcterms:created xsi:type="dcterms:W3CDTF">2017-01-12T19:09:00Z</dcterms:created>
  <dcterms:modified xsi:type="dcterms:W3CDTF">2017-03-07T18:25:00Z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61a833e1-f769-38be-b59b-b4de3cca92c5</vt:lpwstr>
  </property>
  <property fmtid="{D5CDD505-2E9C-101B-9397-08002B2CF9AE}" pid="4" name="Mendeley Citation Style_1">
    <vt:lpwstr>http://www.zotero.org/styles/bioinformatics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http://www.zotero.org/styles/bioinformatics</vt:lpwstr>
  </property>
  <property fmtid="{D5CDD505-2E9C-101B-9397-08002B2CF9AE}" pid="12" name="Mendeley Recent Style Name 3_1">
    <vt:lpwstr>Bioinformatics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