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r>
        <w:rPr>
          <w:i/>
        </w:rPr>
        <w:t>Wolbachia</w:t>
      </w:r>
      <w:r>
        <w:t xml:space="preserve"> symbiosis</w:t>
      </w:r>
    </w:p>
    <w:p w:rsidR="008F30EF" w:rsidRDefault="008F30EF" w:rsidP="00B364DC"/>
    <w:p w:rsidR="00E170FC" w:rsidRDefault="00E170FC" w:rsidP="00B364DC">
      <w:pPr>
        <w:pStyle w:val="Heading1"/>
      </w:pPr>
      <w:bookmarkStart w:id="0" w:name="_Toc472946187"/>
      <w:r>
        <w:t>Aims</w:t>
      </w:r>
      <w:bookmarkEnd w:id="0"/>
    </w:p>
    <w:p w:rsidR="00E170FC" w:rsidRPr="00A900C4" w:rsidRDefault="00E170FC" w:rsidP="00B364DC">
      <w:r>
        <w:t>Besides new insights on the relationships between worms and endosymbionts, ultimate goal is to deliver panel of new candidate drug targets that lead to macrofilaricidal drugs.</w:t>
      </w:r>
    </w:p>
    <w:p w:rsidR="00E170FC" w:rsidRDefault="00E170FC" w:rsidP="00B364DC">
      <w:r w:rsidRPr="00C479BE">
        <w:t>Reconstruction and analysis of combined filaria-Wolbachia metabolic pathways</w:t>
      </w:r>
      <w:r>
        <w:t>.</w:t>
      </w:r>
    </w:p>
    <w:p w:rsidR="00E170FC" w:rsidRDefault="00E170FC" w:rsidP="00B364DC">
      <w:pPr>
        <w:pStyle w:val="ListParagraph"/>
        <w:numPr>
          <w:ilvl w:val="0"/>
          <w:numId w:val="1"/>
        </w:numPr>
      </w:pPr>
      <w:r>
        <w:t xml:space="preserve">Prelim reconstruction already done on </w:t>
      </w:r>
      <w:r>
        <w:rPr>
          <w:i/>
        </w:rPr>
        <w:t>Loa loa</w:t>
      </w:r>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r>
        <w:rPr>
          <w:i/>
        </w:rPr>
        <w:t>Brugia malayi</w:t>
      </w:r>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r>
        <w:t>RNAseq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5-10 targets prioritized from previous analysis; should have essential role in adults and not microfilarial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2243FD"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2946187" w:history="1">
            <w:r w:rsidR="002243FD" w:rsidRPr="00871968">
              <w:rPr>
                <w:rStyle w:val="Hyperlink"/>
                <w:noProof/>
              </w:rPr>
              <w:t>Aims</w:t>
            </w:r>
            <w:r w:rsidR="002243FD">
              <w:rPr>
                <w:noProof/>
                <w:webHidden/>
              </w:rPr>
              <w:tab/>
            </w:r>
            <w:r w:rsidR="002243FD">
              <w:rPr>
                <w:noProof/>
                <w:webHidden/>
              </w:rPr>
              <w:fldChar w:fldCharType="begin"/>
            </w:r>
            <w:r w:rsidR="002243FD">
              <w:rPr>
                <w:noProof/>
                <w:webHidden/>
              </w:rPr>
              <w:instrText xml:space="preserve"> PAGEREF _Toc472946187 \h </w:instrText>
            </w:r>
            <w:r w:rsidR="002243FD">
              <w:rPr>
                <w:noProof/>
                <w:webHidden/>
              </w:rPr>
            </w:r>
            <w:r w:rsidR="002243FD">
              <w:rPr>
                <w:noProof/>
                <w:webHidden/>
              </w:rPr>
              <w:fldChar w:fldCharType="separate"/>
            </w:r>
            <w:r w:rsidR="002243FD">
              <w:rPr>
                <w:noProof/>
                <w:webHidden/>
              </w:rPr>
              <w:t>1</w:t>
            </w:r>
            <w:r w:rsidR="002243FD">
              <w:rPr>
                <w:noProof/>
                <w:webHidden/>
              </w:rPr>
              <w:fldChar w:fldCharType="end"/>
            </w:r>
          </w:hyperlink>
        </w:p>
        <w:p w:rsidR="002243FD" w:rsidRDefault="009A0465">
          <w:pPr>
            <w:pStyle w:val="TOC1"/>
            <w:tabs>
              <w:tab w:val="right" w:leader="dot" w:pos="9350"/>
            </w:tabs>
            <w:rPr>
              <w:rFonts w:eastAsiaTheme="minorEastAsia"/>
              <w:noProof/>
              <w:lang w:eastAsia="en-CA"/>
            </w:rPr>
          </w:pPr>
          <w:hyperlink w:anchor="_Toc472946188" w:history="1">
            <w:r w:rsidR="002243FD" w:rsidRPr="00871968">
              <w:rPr>
                <w:rStyle w:val="Hyperlink"/>
                <w:noProof/>
              </w:rPr>
              <w:t>Background</w:t>
            </w:r>
            <w:r w:rsidR="002243FD">
              <w:rPr>
                <w:noProof/>
                <w:webHidden/>
              </w:rPr>
              <w:tab/>
            </w:r>
            <w:r w:rsidR="002243FD">
              <w:rPr>
                <w:noProof/>
                <w:webHidden/>
              </w:rPr>
              <w:fldChar w:fldCharType="begin"/>
            </w:r>
            <w:r w:rsidR="002243FD">
              <w:rPr>
                <w:noProof/>
                <w:webHidden/>
              </w:rPr>
              <w:instrText xml:space="preserve"> PAGEREF _Toc472946188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A0465">
          <w:pPr>
            <w:pStyle w:val="TOC2"/>
            <w:tabs>
              <w:tab w:val="right" w:leader="dot" w:pos="9350"/>
            </w:tabs>
            <w:rPr>
              <w:rFonts w:eastAsiaTheme="minorEastAsia"/>
              <w:noProof/>
              <w:lang w:eastAsia="en-CA"/>
            </w:rPr>
          </w:pPr>
          <w:hyperlink w:anchor="_Toc472946189" w:history="1">
            <w:r w:rsidR="002243FD" w:rsidRPr="00871968">
              <w:rPr>
                <w:rStyle w:val="Hyperlink"/>
                <w:noProof/>
              </w:rPr>
              <w:t>Brugia malayi</w:t>
            </w:r>
            <w:r w:rsidR="002243FD">
              <w:rPr>
                <w:noProof/>
                <w:webHidden/>
              </w:rPr>
              <w:tab/>
            </w:r>
            <w:r w:rsidR="002243FD">
              <w:rPr>
                <w:noProof/>
                <w:webHidden/>
              </w:rPr>
              <w:fldChar w:fldCharType="begin"/>
            </w:r>
            <w:r w:rsidR="002243FD">
              <w:rPr>
                <w:noProof/>
                <w:webHidden/>
              </w:rPr>
              <w:instrText xml:space="preserve"> PAGEREF _Toc472946189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0"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_Toc472946190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1"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_Toc472946191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2" w:history="1">
            <w:r w:rsidR="002243FD" w:rsidRPr="00871968">
              <w:rPr>
                <w:rStyle w:val="Hyperlink"/>
                <w:noProof/>
              </w:rPr>
              <w:t>Lymphatic filariasis</w:t>
            </w:r>
            <w:r w:rsidR="002243FD">
              <w:rPr>
                <w:noProof/>
                <w:webHidden/>
              </w:rPr>
              <w:tab/>
            </w:r>
            <w:r w:rsidR="002243FD">
              <w:rPr>
                <w:noProof/>
                <w:webHidden/>
              </w:rPr>
              <w:fldChar w:fldCharType="begin"/>
            </w:r>
            <w:r w:rsidR="002243FD">
              <w:rPr>
                <w:noProof/>
                <w:webHidden/>
              </w:rPr>
              <w:instrText xml:space="preserve"> PAGEREF _Toc472946192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3"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_Toc472946193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A0465">
          <w:pPr>
            <w:pStyle w:val="TOC2"/>
            <w:tabs>
              <w:tab w:val="right" w:leader="dot" w:pos="9350"/>
            </w:tabs>
            <w:rPr>
              <w:rFonts w:eastAsiaTheme="minorEastAsia"/>
              <w:noProof/>
              <w:lang w:eastAsia="en-CA"/>
            </w:rPr>
          </w:pPr>
          <w:hyperlink w:anchor="_Toc472946194" w:history="1">
            <w:r w:rsidR="002243FD" w:rsidRPr="00871968">
              <w:rPr>
                <w:rStyle w:val="Hyperlink"/>
                <w:noProof/>
              </w:rPr>
              <w:t>Onchocerca volvulus</w:t>
            </w:r>
            <w:r w:rsidR="002243FD">
              <w:rPr>
                <w:noProof/>
                <w:webHidden/>
              </w:rPr>
              <w:tab/>
            </w:r>
            <w:r w:rsidR="002243FD">
              <w:rPr>
                <w:noProof/>
                <w:webHidden/>
              </w:rPr>
              <w:fldChar w:fldCharType="begin"/>
            </w:r>
            <w:r w:rsidR="002243FD">
              <w:rPr>
                <w:noProof/>
                <w:webHidden/>
              </w:rPr>
              <w:instrText xml:space="preserve"> PAGEREF _Toc472946194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5"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_Toc472946195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6"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_Toc472946196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7" w:history="1">
            <w:r w:rsidR="002243FD" w:rsidRPr="00871968">
              <w:rPr>
                <w:rStyle w:val="Hyperlink"/>
                <w:noProof/>
              </w:rPr>
              <w:t>Onchocerciasis</w:t>
            </w:r>
            <w:r w:rsidR="002243FD">
              <w:rPr>
                <w:noProof/>
                <w:webHidden/>
              </w:rPr>
              <w:tab/>
            </w:r>
            <w:r w:rsidR="002243FD">
              <w:rPr>
                <w:noProof/>
                <w:webHidden/>
              </w:rPr>
              <w:fldChar w:fldCharType="begin"/>
            </w:r>
            <w:r w:rsidR="002243FD">
              <w:rPr>
                <w:noProof/>
                <w:webHidden/>
              </w:rPr>
              <w:instrText xml:space="preserve"> PAGEREF _Toc472946197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8"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_Toc472946198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199" w:history="1">
            <w:r w:rsidR="002243FD" w:rsidRPr="00871968">
              <w:rPr>
                <w:rStyle w:val="Hyperlink"/>
                <w:noProof/>
              </w:rPr>
              <w:t>Metabolic reconstruction</w:t>
            </w:r>
            <w:r w:rsidR="002243FD">
              <w:rPr>
                <w:noProof/>
                <w:webHidden/>
              </w:rPr>
              <w:tab/>
            </w:r>
            <w:r w:rsidR="002243FD">
              <w:rPr>
                <w:noProof/>
                <w:webHidden/>
              </w:rPr>
              <w:fldChar w:fldCharType="begin"/>
            </w:r>
            <w:r w:rsidR="002243FD">
              <w:rPr>
                <w:noProof/>
                <w:webHidden/>
              </w:rPr>
              <w:instrText xml:space="preserve"> PAGEREF _Toc472946199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A0465">
          <w:pPr>
            <w:pStyle w:val="TOC2"/>
            <w:tabs>
              <w:tab w:val="right" w:leader="dot" w:pos="9350"/>
            </w:tabs>
            <w:rPr>
              <w:rFonts w:eastAsiaTheme="minorEastAsia"/>
              <w:noProof/>
              <w:lang w:eastAsia="en-CA"/>
            </w:rPr>
          </w:pPr>
          <w:hyperlink w:anchor="_Toc472946200" w:history="1">
            <w:r w:rsidR="002243FD" w:rsidRPr="00871968">
              <w:rPr>
                <w:rStyle w:val="Hyperlink"/>
                <w:noProof/>
              </w:rPr>
              <w:t>Wolbachia</w:t>
            </w:r>
            <w:r w:rsidR="002243FD">
              <w:rPr>
                <w:noProof/>
                <w:webHidden/>
              </w:rPr>
              <w:tab/>
            </w:r>
            <w:r w:rsidR="002243FD">
              <w:rPr>
                <w:noProof/>
                <w:webHidden/>
              </w:rPr>
              <w:fldChar w:fldCharType="begin"/>
            </w:r>
            <w:r w:rsidR="002243FD">
              <w:rPr>
                <w:noProof/>
                <w:webHidden/>
              </w:rPr>
              <w:instrText xml:space="preserve"> PAGEREF _Toc472946200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201" w:history="1">
            <w:r w:rsidR="002243FD" w:rsidRPr="00871968">
              <w:rPr>
                <w:rStyle w:val="Hyperlink"/>
                <w:noProof/>
              </w:rPr>
              <w:t>Bm species</w:t>
            </w:r>
            <w:r w:rsidR="002243FD">
              <w:rPr>
                <w:noProof/>
                <w:webHidden/>
              </w:rPr>
              <w:tab/>
            </w:r>
            <w:r w:rsidR="002243FD">
              <w:rPr>
                <w:noProof/>
                <w:webHidden/>
              </w:rPr>
              <w:fldChar w:fldCharType="begin"/>
            </w:r>
            <w:r w:rsidR="002243FD">
              <w:rPr>
                <w:noProof/>
                <w:webHidden/>
              </w:rPr>
              <w:instrText xml:space="preserve"> PAGEREF _Toc472946201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202" w:history="1">
            <w:r w:rsidR="002243FD" w:rsidRPr="00871968">
              <w:rPr>
                <w:rStyle w:val="Hyperlink"/>
                <w:noProof/>
              </w:rPr>
              <w:t>Ov species</w:t>
            </w:r>
            <w:r w:rsidR="002243FD">
              <w:rPr>
                <w:noProof/>
                <w:webHidden/>
              </w:rPr>
              <w:tab/>
            </w:r>
            <w:r w:rsidR="002243FD">
              <w:rPr>
                <w:noProof/>
                <w:webHidden/>
              </w:rPr>
              <w:fldChar w:fldCharType="begin"/>
            </w:r>
            <w:r w:rsidR="002243FD">
              <w:rPr>
                <w:noProof/>
                <w:webHidden/>
              </w:rPr>
              <w:instrText xml:space="preserve"> PAGEREF _Toc472946202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A0465">
          <w:pPr>
            <w:pStyle w:val="TOC3"/>
            <w:tabs>
              <w:tab w:val="right" w:leader="dot" w:pos="9350"/>
            </w:tabs>
            <w:rPr>
              <w:rFonts w:eastAsiaTheme="minorEastAsia"/>
              <w:noProof/>
              <w:lang w:eastAsia="en-CA"/>
            </w:rPr>
          </w:pPr>
          <w:hyperlink w:anchor="_Toc472946203" w:history="1">
            <w:r w:rsidR="002243FD" w:rsidRPr="00871968">
              <w:rPr>
                <w:rStyle w:val="Hyperlink"/>
                <w:noProof/>
              </w:rPr>
              <w:t>Targeting Wolbachia</w:t>
            </w:r>
            <w:r w:rsidR="002243FD">
              <w:rPr>
                <w:noProof/>
                <w:webHidden/>
              </w:rPr>
              <w:tab/>
            </w:r>
            <w:r w:rsidR="002243FD">
              <w:rPr>
                <w:noProof/>
                <w:webHidden/>
              </w:rPr>
              <w:fldChar w:fldCharType="begin"/>
            </w:r>
            <w:r w:rsidR="002243FD">
              <w:rPr>
                <w:noProof/>
                <w:webHidden/>
              </w:rPr>
              <w:instrText xml:space="preserve"> PAGEREF _Toc472946203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A0465">
          <w:pPr>
            <w:pStyle w:val="TOC2"/>
            <w:tabs>
              <w:tab w:val="right" w:leader="dot" w:pos="9350"/>
            </w:tabs>
            <w:rPr>
              <w:rFonts w:eastAsiaTheme="minorEastAsia"/>
              <w:noProof/>
              <w:lang w:eastAsia="en-CA"/>
            </w:rPr>
          </w:pPr>
          <w:hyperlink w:anchor="_Toc472946204" w:history="1">
            <w:r w:rsidR="002243FD" w:rsidRPr="00871968">
              <w:rPr>
                <w:rStyle w:val="Hyperlink"/>
                <w:noProof/>
              </w:rPr>
              <w:t>Human filarial infections</w:t>
            </w:r>
            <w:r w:rsidR="002243FD">
              <w:rPr>
                <w:noProof/>
                <w:webHidden/>
              </w:rPr>
              <w:tab/>
            </w:r>
            <w:r w:rsidR="002243FD">
              <w:rPr>
                <w:noProof/>
                <w:webHidden/>
              </w:rPr>
              <w:fldChar w:fldCharType="begin"/>
            </w:r>
            <w:r w:rsidR="002243FD">
              <w:rPr>
                <w:noProof/>
                <w:webHidden/>
              </w:rPr>
              <w:instrText xml:space="preserve"> PAGEREF _Toc472946204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A0465">
          <w:pPr>
            <w:pStyle w:val="TOC2"/>
            <w:tabs>
              <w:tab w:val="right" w:leader="dot" w:pos="9350"/>
            </w:tabs>
            <w:rPr>
              <w:rFonts w:eastAsiaTheme="minorEastAsia"/>
              <w:noProof/>
              <w:lang w:eastAsia="en-CA"/>
            </w:rPr>
          </w:pPr>
          <w:hyperlink w:anchor="_Toc472946205" w:history="1">
            <w:r w:rsidR="002243FD" w:rsidRPr="00871968">
              <w:rPr>
                <w:rStyle w:val="Hyperlink"/>
                <w:noProof/>
              </w:rPr>
              <w:t>Metabolic network reconstruction</w:t>
            </w:r>
            <w:r w:rsidR="002243FD">
              <w:rPr>
                <w:noProof/>
                <w:webHidden/>
              </w:rPr>
              <w:tab/>
            </w:r>
            <w:r w:rsidR="002243FD">
              <w:rPr>
                <w:noProof/>
                <w:webHidden/>
              </w:rPr>
              <w:fldChar w:fldCharType="begin"/>
            </w:r>
            <w:r w:rsidR="002243FD">
              <w:rPr>
                <w:noProof/>
                <w:webHidden/>
              </w:rPr>
              <w:instrText xml:space="preserve"> PAGEREF _Toc472946205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A0465">
          <w:pPr>
            <w:pStyle w:val="TOC2"/>
            <w:tabs>
              <w:tab w:val="right" w:leader="dot" w:pos="9350"/>
            </w:tabs>
            <w:rPr>
              <w:rFonts w:eastAsiaTheme="minorEastAsia"/>
              <w:noProof/>
              <w:lang w:eastAsia="en-CA"/>
            </w:rPr>
          </w:pPr>
          <w:hyperlink w:anchor="_Toc472946206" w:history="1">
            <w:r w:rsidR="002243FD" w:rsidRPr="00871968">
              <w:rPr>
                <w:rStyle w:val="Hyperlink"/>
                <w:noProof/>
              </w:rPr>
              <w:t>Flux balance analysis</w:t>
            </w:r>
            <w:r w:rsidR="002243FD">
              <w:rPr>
                <w:noProof/>
                <w:webHidden/>
              </w:rPr>
              <w:tab/>
            </w:r>
            <w:r w:rsidR="002243FD">
              <w:rPr>
                <w:noProof/>
                <w:webHidden/>
              </w:rPr>
              <w:fldChar w:fldCharType="begin"/>
            </w:r>
            <w:r w:rsidR="002243FD">
              <w:rPr>
                <w:noProof/>
                <w:webHidden/>
              </w:rPr>
              <w:instrText xml:space="preserve"> PAGEREF _Toc472946206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A0465">
          <w:pPr>
            <w:pStyle w:val="TOC2"/>
            <w:tabs>
              <w:tab w:val="right" w:leader="dot" w:pos="9350"/>
            </w:tabs>
            <w:rPr>
              <w:rFonts w:eastAsiaTheme="minorEastAsia"/>
              <w:noProof/>
              <w:lang w:eastAsia="en-CA"/>
            </w:rPr>
          </w:pPr>
          <w:hyperlink w:anchor="_Toc472946207" w:history="1">
            <w:r w:rsidR="002243FD" w:rsidRPr="00871968">
              <w:rPr>
                <w:rStyle w:val="Hyperlink"/>
                <w:noProof/>
              </w:rPr>
              <w:t>Methods</w:t>
            </w:r>
            <w:r w:rsidR="002243FD">
              <w:rPr>
                <w:noProof/>
                <w:webHidden/>
              </w:rPr>
              <w:tab/>
            </w:r>
            <w:r w:rsidR="002243FD">
              <w:rPr>
                <w:noProof/>
                <w:webHidden/>
              </w:rPr>
              <w:fldChar w:fldCharType="begin"/>
            </w:r>
            <w:r w:rsidR="002243FD">
              <w:rPr>
                <w:noProof/>
                <w:webHidden/>
              </w:rPr>
              <w:instrText xml:space="preserve"> PAGEREF _Toc472946207 \h </w:instrText>
            </w:r>
            <w:r w:rsidR="002243FD">
              <w:rPr>
                <w:noProof/>
                <w:webHidden/>
              </w:rPr>
            </w:r>
            <w:r w:rsidR="002243FD">
              <w:rPr>
                <w:noProof/>
                <w:webHidden/>
              </w:rPr>
              <w:fldChar w:fldCharType="separate"/>
            </w:r>
            <w:r w:rsidR="002243FD">
              <w:rPr>
                <w:noProof/>
                <w:webHidden/>
              </w:rPr>
              <w:t>9</w:t>
            </w:r>
            <w:r w:rsidR="002243FD">
              <w:rPr>
                <w:noProof/>
                <w:webHidden/>
              </w:rPr>
              <w:fldChar w:fldCharType="end"/>
            </w:r>
          </w:hyperlink>
        </w:p>
        <w:p w:rsidR="002243FD" w:rsidRDefault="009A0465">
          <w:pPr>
            <w:pStyle w:val="TOC2"/>
            <w:tabs>
              <w:tab w:val="right" w:leader="dot" w:pos="9350"/>
            </w:tabs>
            <w:rPr>
              <w:rFonts w:eastAsiaTheme="minorEastAsia"/>
              <w:noProof/>
              <w:lang w:eastAsia="en-CA"/>
            </w:rPr>
          </w:pPr>
          <w:hyperlink w:anchor="_Toc472946208" w:history="1">
            <w:r w:rsidR="002243FD" w:rsidRPr="00871968">
              <w:rPr>
                <w:rStyle w:val="Hyperlink"/>
                <w:noProof/>
              </w:rPr>
              <w:t>Implementation notes</w:t>
            </w:r>
            <w:r w:rsidR="002243FD">
              <w:rPr>
                <w:noProof/>
                <w:webHidden/>
              </w:rPr>
              <w:tab/>
            </w:r>
            <w:r w:rsidR="002243FD">
              <w:rPr>
                <w:noProof/>
                <w:webHidden/>
              </w:rPr>
              <w:fldChar w:fldCharType="begin"/>
            </w:r>
            <w:r w:rsidR="002243FD">
              <w:rPr>
                <w:noProof/>
                <w:webHidden/>
              </w:rPr>
              <w:instrText xml:space="preserve"> PAGEREF _Toc472946208 \h </w:instrText>
            </w:r>
            <w:r w:rsidR="002243FD">
              <w:rPr>
                <w:noProof/>
                <w:webHidden/>
              </w:rPr>
            </w:r>
            <w:r w:rsidR="002243FD">
              <w:rPr>
                <w:noProof/>
                <w:webHidden/>
              </w:rPr>
              <w:fldChar w:fldCharType="separate"/>
            </w:r>
            <w:r w:rsidR="002243FD">
              <w:rPr>
                <w:noProof/>
                <w:webHidden/>
              </w:rPr>
              <w:t>10</w:t>
            </w:r>
            <w:r w:rsidR="002243FD">
              <w:rPr>
                <w:noProof/>
                <w:webHidden/>
              </w:rPr>
              <w:fldChar w:fldCharType="end"/>
            </w:r>
          </w:hyperlink>
        </w:p>
        <w:p w:rsidR="002243FD" w:rsidRDefault="009A0465">
          <w:pPr>
            <w:pStyle w:val="TOC1"/>
            <w:tabs>
              <w:tab w:val="right" w:leader="dot" w:pos="9350"/>
            </w:tabs>
            <w:rPr>
              <w:rFonts w:eastAsiaTheme="minorEastAsia"/>
              <w:noProof/>
              <w:lang w:eastAsia="en-CA"/>
            </w:rPr>
          </w:pPr>
          <w:hyperlink w:anchor="_Toc472946209" w:history="1">
            <w:r w:rsidR="002243FD" w:rsidRPr="00871968">
              <w:rPr>
                <w:rStyle w:val="Hyperlink"/>
                <w:noProof/>
              </w:rPr>
              <w:t>References</w:t>
            </w:r>
            <w:r w:rsidR="002243FD">
              <w:rPr>
                <w:noProof/>
                <w:webHidden/>
              </w:rPr>
              <w:tab/>
            </w:r>
            <w:r w:rsidR="002243FD">
              <w:rPr>
                <w:noProof/>
                <w:webHidden/>
              </w:rPr>
              <w:fldChar w:fldCharType="begin"/>
            </w:r>
            <w:r w:rsidR="002243FD">
              <w:rPr>
                <w:noProof/>
                <w:webHidden/>
              </w:rPr>
              <w:instrText xml:space="preserve"> PAGEREF _Toc472946209 \h </w:instrText>
            </w:r>
            <w:r w:rsidR="002243FD">
              <w:rPr>
                <w:noProof/>
                <w:webHidden/>
              </w:rPr>
            </w:r>
            <w:r w:rsidR="002243FD">
              <w:rPr>
                <w:noProof/>
                <w:webHidden/>
              </w:rPr>
              <w:fldChar w:fldCharType="separate"/>
            </w:r>
            <w:r w:rsidR="002243FD">
              <w:rPr>
                <w:noProof/>
                <w:webHidden/>
              </w:rPr>
              <w:t>11</w:t>
            </w:r>
            <w:r w:rsidR="002243FD">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2946188"/>
      <w:r w:rsidRPr="00AF1E69">
        <w:lastRenderedPageBreak/>
        <w:t>Background</w:t>
      </w:r>
      <w:bookmarkEnd w:id="1"/>
    </w:p>
    <w:p w:rsidR="00A900C4" w:rsidRDefault="00E170FC" w:rsidP="00B364DC">
      <w:pPr>
        <w:pStyle w:val="Heading2"/>
      </w:pPr>
      <w:bookmarkStart w:id="2" w:name="_Toc472946189"/>
      <w:r>
        <w:t>Brugia malayi</w:t>
      </w:r>
      <w:bookmarkEnd w:id="2"/>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2946190"/>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Microfilariae ingested by mosquito. Exsheathe,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2946191"/>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r>
        <w:rPr>
          <w:i/>
        </w:rPr>
        <w:t>Mansonia</w:t>
      </w:r>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Nocturnal subperiodicity, where microfilariae are always present in blood, and density peaks between noon and 8PM.</w:t>
      </w:r>
    </w:p>
    <w:p w:rsidR="00F97D41" w:rsidRDefault="00F97D41" w:rsidP="00B364DC">
      <w:pPr>
        <w:pStyle w:val="ListParagraph"/>
        <w:numPr>
          <w:ilvl w:val="1"/>
          <w:numId w:val="1"/>
        </w:numPr>
      </w:pPr>
      <w:r>
        <w:t xml:space="preserve">Transmitted by </w:t>
      </w:r>
      <w:r>
        <w:rPr>
          <w:i/>
        </w:rPr>
        <w:t>Mansonia</w:t>
      </w:r>
      <w:r>
        <w:t xml:space="preserve"> in forest swamps, biting at any time of day. Zoonotic infections are common, and cats, civit cats, dogs, monkeys, slow lorises,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2946192"/>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r w:rsidRPr="00912356">
        <w:rPr>
          <w:i/>
        </w:rPr>
        <w:t>Wuchereria bancrofti</w:t>
      </w:r>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W. bancrofti</w:t>
      </w:r>
      <w:r>
        <w:t xml:space="preserve">, Bm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2946193"/>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Bm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wBm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heme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2946194"/>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2946195"/>
      <w:r>
        <w:t>Life cycle</w:t>
      </w:r>
      <w:bookmarkEnd w:id="8"/>
    </w:p>
    <w:p w:rsidR="00803173" w:rsidRDefault="00803173" w:rsidP="00B364DC"/>
    <w:p w:rsidR="00803173" w:rsidRDefault="00803173" w:rsidP="00B364DC"/>
    <w:p w:rsidR="00803173" w:rsidRDefault="00803173" w:rsidP="00803173">
      <w:pPr>
        <w:pStyle w:val="Heading3"/>
      </w:pPr>
      <w:bookmarkStart w:id="9" w:name="_Toc472946196"/>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Loa loa</w:t>
      </w:r>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2946197"/>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onchocercomata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2946198"/>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r>
        <w:t>Also include</w:t>
      </w:r>
      <w:r w:rsidR="004E4E9E">
        <w:t xml:space="preserve">s and assembly of its Wolbachia. Version used in the genome paper is a little different from that available on GenBank.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r>
        <w:t>Also has RNAseq from 8 life stages: nodular microfilariae, skin microfilariae, L2, L3, L3D1, L3D3, adult male, and adult female.</w:t>
      </w:r>
    </w:p>
    <w:p w:rsidR="004E4E9E" w:rsidRDefault="004E4E9E" w:rsidP="004E4E9E">
      <w:pPr>
        <w:pStyle w:val="ListParagraph"/>
        <w:numPr>
          <w:ilvl w:val="0"/>
          <w:numId w:val="1"/>
        </w:numPr>
      </w:pPr>
      <w:r>
        <w:t>NCBI BioProject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6 genes missing from CEGMA, 5 of them also missing in filaria; likely only 1 actually missing.</w:t>
      </w:r>
    </w:p>
    <w:p w:rsidR="002E1FE2" w:rsidRDefault="002E1FE2" w:rsidP="002E1FE2">
      <w:pPr>
        <w:pStyle w:val="ListParagraph"/>
        <w:numPr>
          <w:ilvl w:val="0"/>
          <w:numId w:val="1"/>
        </w:numPr>
      </w:pPr>
      <w:r>
        <w:t>Moderate synteny to elegans at a very high level; Ov chrm 1 is mostly Ce chrms 1+X, Ov 2 is Ce 3, Ov 3 is Ce 2, and Ov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Onchocerca ochengi</w:t>
      </w:r>
      <w:r>
        <w:t>, though it’s draft quality (N50 16 kb)</w:t>
      </w:r>
    </w:p>
    <w:p w:rsidR="002323B5" w:rsidRDefault="002323B5" w:rsidP="00154605"/>
    <w:p w:rsidR="002323B5" w:rsidRDefault="002323B5" w:rsidP="002323B5">
      <w:pPr>
        <w:pStyle w:val="Heading3"/>
      </w:pPr>
      <w:bookmarkStart w:id="12" w:name="_Toc472946199"/>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Ov, 648 reactions (301 enzymes) in </w:t>
      </w:r>
      <w:r>
        <w:rPr>
          <w:i/>
        </w:rPr>
        <w:t>Loa loa</w:t>
      </w:r>
      <w:r>
        <w:t>; share a core set of 648 reactions. 100 of 139 of the additional Ov reactions are provided by Wolbachia.</w:t>
      </w:r>
    </w:p>
    <w:p w:rsidR="002323B5" w:rsidRDefault="00512CF2" w:rsidP="00512CF2">
      <w:r>
        <w:t xml:space="preserve">FBA predicted 71 essential reactions, 112 in </w:t>
      </w:r>
      <w:r>
        <w:rPr>
          <w:i/>
        </w:rPr>
        <w:t xml:space="preserve">Loa loa </w:t>
      </w:r>
      <w:r>
        <w:t>(70 shared).</w:t>
      </w:r>
    </w:p>
    <w:p w:rsidR="00512CF2" w:rsidRDefault="00512CF2" w:rsidP="00512CF2">
      <w:pPr>
        <w:pStyle w:val="ListParagraph"/>
        <w:numPr>
          <w:ilvl w:val="0"/>
          <w:numId w:val="1"/>
        </w:numPr>
      </w:pPr>
      <w:r>
        <w:t>Wolbachia appears to provide contributions to fatty acid metabolism, haem synthesis, and nucleotide metabolism. Also, conversion of aspartate to lysine. NAD kinase (EC 2.7.1.23) is predicted as essential to both parasites, but uniquely provided by Wolbachia.</w:t>
      </w:r>
    </w:p>
    <w:p w:rsidR="00512CF2" w:rsidRDefault="00512CF2" w:rsidP="00512CF2">
      <w:r>
        <w:t xml:space="preserve">wOv provides an alternate pathway for purine metabolism, it may provide a source of inosine monophosphate. Ov has another enzyme missing in </w:t>
      </w:r>
      <w:r>
        <w:rPr>
          <w:i/>
        </w:rPr>
        <w:t>Loa loa</w:t>
      </w:r>
      <w:r>
        <w:t xml:space="preserve"> which could provide a mechanism to selectively target Ov over </w:t>
      </w:r>
      <w:r>
        <w:rPr>
          <w:i/>
        </w:rPr>
        <w:t>Loa loa</w:t>
      </w:r>
      <w:r>
        <w:t>; especially testable as inhibitors of purine-nucleoside phosphorylase (EC 2.4.2.1) already exist.</w:t>
      </w:r>
    </w:p>
    <w:p w:rsidR="00CD35A7" w:rsidRPr="00512CF2" w:rsidRDefault="00CD35A7" w:rsidP="00512CF2">
      <w:r>
        <w:t>Did not model wOv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2946200"/>
      <w:r>
        <w:t>Wolbachia</w:t>
      </w:r>
      <w:bookmarkEnd w:id="13"/>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vast majority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r>
        <w:rPr>
          <w:i/>
        </w:rPr>
        <w:t>Wolbachia</w:t>
      </w:r>
      <w:r>
        <w:t xml:space="preserve"> numbers, removes from some tissues like female reproductive tract.</w:t>
      </w:r>
    </w:p>
    <w:p w:rsidR="00C9766E" w:rsidRDefault="00C9766E" w:rsidP="00C9766E">
      <w:pPr>
        <w:pStyle w:val="ListParagraph"/>
        <w:numPr>
          <w:ilvl w:val="0"/>
          <w:numId w:val="1"/>
        </w:numPr>
      </w:pPr>
      <w:r>
        <w:t>No antibiotic effects seen on filarial nematodes lacking endosymbionts, nor from most other antibacterials on Bm.</w:t>
      </w:r>
    </w:p>
    <w:p w:rsidR="002C3206" w:rsidRDefault="002C3206" w:rsidP="002C3206">
      <w:r>
        <w:t xml:space="preserve">The endosymbionts are separated into 6 supergroups based on 16S rRNA, the Wolbachia surface protein, and ftsZ phylogenies. </w:t>
      </w:r>
    </w:p>
    <w:p w:rsidR="002C3206" w:rsidRDefault="002C3206" w:rsidP="002C3206">
      <w:pPr>
        <w:pStyle w:val="ListParagraph"/>
        <w:numPr>
          <w:ilvl w:val="0"/>
          <w:numId w:val="1"/>
        </w:numPr>
      </w:pPr>
      <w:r>
        <w:t xml:space="preserve">Four supergroups contain Wolbachia from arthropods, supergroup C has those from Ov and </w:t>
      </w:r>
      <w:r>
        <w:rPr>
          <w:i/>
        </w:rPr>
        <w:t>Dirofilaria immitis</w:t>
      </w:r>
      <w:r>
        <w:t xml:space="preserve">, and supergroup D has those from Bm, W. bancrofti, and Litomosoides sigmodontis. </w:t>
      </w:r>
    </w:p>
    <w:p w:rsidR="002C3206" w:rsidRDefault="002C3206" w:rsidP="002C3206">
      <w:r>
        <w:t xml:space="preserve">Closest relatives appear to be the Order Rickettsiales, including </w:t>
      </w:r>
      <w:r>
        <w:rPr>
          <w:i/>
        </w:rPr>
        <w:t>Rickettsia</w:t>
      </w:r>
      <w:r>
        <w:t xml:space="preserve"> and others, all parasites of mammals that require arthropod vectors for transmission.</w:t>
      </w:r>
    </w:p>
    <w:p w:rsidR="002C3206" w:rsidRPr="002C3206" w:rsidRDefault="002C3206" w:rsidP="002C3206">
      <w:r>
        <w:t>Up to 70% of all insects may harbour Wolbachia.</w:t>
      </w:r>
    </w:p>
    <w:p w:rsidR="002C3206" w:rsidRPr="00C9766E" w:rsidRDefault="002C3206" w:rsidP="002C3206"/>
    <w:p w:rsidR="00E170FC" w:rsidRDefault="00E170FC" w:rsidP="00536D70">
      <w:pPr>
        <w:pStyle w:val="Heading3"/>
      </w:pPr>
      <w:bookmarkStart w:id="14" w:name="_Toc472946201"/>
      <w:r>
        <w:lastRenderedPageBreak/>
        <w:t>Bm species</w:t>
      </w:r>
      <w:bookmarkEnd w:id="14"/>
    </w:p>
    <w:p w:rsidR="00E170FC" w:rsidRDefault="002C3206" w:rsidP="00B364DC">
      <w:r>
        <w:rPr>
          <w:i/>
        </w:rPr>
        <w:t>Wolbachia pipientis</w:t>
      </w:r>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wBm contains genes for synthesis of riboflavin and Flavin adenine dinucleotide. Could be an important sou</w:t>
      </w:r>
      <w:r w:rsidR="00CA0F9F">
        <w:t>rce for the nematode, is Bm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r>
        <w:t>wBm may also provide heme to Bm,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2946202"/>
      <w:r>
        <w:t>Ov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2946203"/>
      <w:r>
        <w:t>Targeting Wolbachia</w:t>
      </w:r>
      <w:bookmarkEnd w:id="16"/>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2946204"/>
      <w:r>
        <w:t>Human filarial infections</w:t>
      </w:r>
      <w:bookmarkEnd w:id="17"/>
    </w:p>
    <w:p w:rsidR="00B364DC" w:rsidRPr="00B364DC" w:rsidRDefault="00B364DC" w:rsidP="00B364DC">
      <w:r>
        <w:t xml:space="preserve">Human filarial infections are the leading cause of morbidity in the developing world. This includes lymphatic filariasis (Bm and </w:t>
      </w:r>
      <w:r>
        <w:rPr>
          <w:i/>
        </w:rPr>
        <w:t>W. bancrofti</w:t>
      </w:r>
      <w:r>
        <w:t>), river blindness (Ov), and loiasis (</w:t>
      </w:r>
      <w:r>
        <w:rPr>
          <w:i/>
        </w:rPr>
        <w:t>Loa loa</w:t>
      </w:r>
      <w:r>
        <w:t>). Currently 150 million people infected, with 1.3 billion at risk in 58 countries.</w:t>
      </w:r>
    </w:p>
    <w:p w:rsidR="007319FB" w:rsidRDefault="007319FB" w:rsidP="00B364DC">
      <w:r>
        <w:t>4 classes of drug available to treat filarial disease: diethylcarbamazine (may interfere with fatty acid metabolism), BZs (microtubules), avermectins (glutamate-gated Cl channels), and oxytetracycines and other antibacterials.</w:t>
      </w:r>
    </w:p>
    <w:p w:rsidR="007319FB" w:rsidRDefault="007319FB" w:rsidP="00B364DC">
      <w:pPr>
        <w:pStyle w:val="ListParagraph"/>
        <w:numPr>
          <w:ilvl w:val="0"/>
          <w:numId w:val="1"/>
        </w:numPr>
      </w:pPr>
      <w:r>
        <w:t>The anthelmintics target microfilariae or L3s.</w:t>
      </w:r>
    </w:p>
    <w:p w:rsidR="00A21444" w:rsidRDefault="00A21444" w:rsidP="00B364DC">
      <w:r>
        <w:t>Ivermectin is a microfilaricide, and doesn’t affect adult worms; Bm lives for 8 years, Ov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Ov is co-endemic with </w:t>
      </w:r>
      <w:r>
        <w:rPr>
          <w:i/>
        </w:rPr>
        <w:t>Loa loa</w:t>
      </w:r>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9A0465" w:rsidRDefault="009A0465" w:rsidP="009A0465">
      <w:pPr>
        <w:pStyle w:val="Heading1"/>
      </w:pPr>
      <w:r>
        <w:lastRenderedPageBreak/>
        <w:t>Metabolism</w:t>
      </w:r>
    </w:p>
    <w:p w:rsidR="009A0465" w:rsidRDefault="009A0465" w:rsidP="009A0465">
      <w:pPr>
        <w:pStyle w:val="Heading2"/>
      </w:pPr>
      <w:r>
        <w:t>Redox</w:t>
      </w:r>
    </w:p>
    <w:p w:rsidR="009A0465" w:rsidRDefault="009A0465" w:rsidP="00B364DC">
      <w:r>
        <w:t xml:space="preserve">NADPH and NADH are both important redox cofactors in the cell. NADPH </w:t>
      </w:r>
      <w:r w:rsidRPr="009A0465">
        <w:t xml:space="preserve">chiefly operates in anabolic reactions, donating </w:t>
      </w:r>
      <w:r>
        <w:t>its</w:t>
      </w:r>
      <w:r w:rsidRPr="009A0465">
        <w:t xml:space="preserve"> electrons to energy-rich biological molecules.</w:t>
      </w:r>
      <w:r>
        <w:t xml:space="preserve"> NADH is an intermediate in catabolic reactions such as ATP generation from food. </w:t>
      </w:r>
    </w:p>
    <w:p w:rsidR="009A0465" w:rsidRDefault="009A0465" w:rsidP="009A0465">
      <w:pPr>
        <w:pStyle w:val="ListParagraph"/>
        <w:numPr>
          <w:ilvl w:val="0"/>
          <w:numId w:val="1"/>
        </w:numPr>
      </w:pPr>
      <w:r>
        <w:t>The phosphate doesn’t affect the functionality, but allows enzymes to differentiate the molecules, and they are regulated independently.</w:t>
      </w:r>
    </w:p>
    <w:p w:rsidR="009A0465" w:rsidRDefault="009A0465" w:rsidP="009A0465">
      <w:pPr>
        <w:pStyle w:val="ListParagraph"/>
        <w:numPr>
          <w:ilvl w:val="0"/>
          <w:numId w:val="1"/>
        </w:numPr>
      </w:pPr>
      <w:r>
        <w:t>The ratio of NAD+ to NADH is kept high, while the ratio of NADP+ to NADPH is kept low. This means there is plenty of NAD+ to act as an oxidizing agent, and plenty of NADPH to act as a reducing agent.</w:t>
      </w:r>
    </w:p>
    <w:p w:rsidR="009A0465" w:rsidRDefault="009A0465" w:rsidP="009A0465"/>
    <w:p w:rsidR="009A0465" w:rsidRDefault="009A0465" w:rsidP="009A0465">
      <w:bookmarkStart w:id="18" w:name="_GoBack"/>
      <w:bookmarkEnd w:id="18"/>
    </w:p>
    <w:p w:rsidR="00DB3C4F" w:rsidRDefault="00DB3C4F" w:rsidP="009A0465">
      <w:pPr>
        <w:pStyle w:val="Heading1"/>
      </w:pPr>
      <w:bookmarkStart w:id="19" w:name="_Toc472946205"/>
      <w:r>
        <w:t>Metabolic network reconstruction</w:t>
      </w:r>
      <w:bookmarkEnd w:id="19"/>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DB3C4F" w:rsidRDefault="00DB3C4F" w:rsidP="00B364DC"/>
    <w:p w:rsidR="0004666C" w:rsidRDefault="0004666C" w:rsidP="00B364DC">
      <w:pPr>
        <w:pStyle w:val="Heading2"/>
      </w:pPr>
      <w:bookmarkStart w:id="20" w:name="_Toc472946206"/>
      <w:r>
        <w:t>Flux balance analysis</w:t>
      </w:r>
      <w:bookmarkEnd w:id="20"/>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The vector v represents the flux through all of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t xml:space="preserve">There is information gained in analyzing S, but </w:t>
      </w:r>
      <w:r w:rsidR="00231239">
        <w:t>more detail analyses can be performed if</w:t>
      </w:r>
      <w:r>
        <w:t xml:space="preserve"> an objective function Z is defined. It could be maximize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If growth is being modelled, reactions that produce amino acids, nucleotides, lipids, etc are weighted strongly, and the the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lastRenderedPageBreak/>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The linear programming step can be carried out by many different software packages; the COBRA Toolbox is one such, and is a freely available Matlab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set oxygen uptake to unrealistically high level, and glucose uptake to something realistic (ex 18.5 mmol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Ex is to set O2 uptake to a realistic number, then vary glucose uptake from 0 through -20 mmol /gDW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800773" w:rsidRDefault="00800773" w:rsidP="00800773">
      <w:r>
        <w:t>The “shadow price” tells us how the governing constraints on the objective function change, and how the base optimal LP changes.</w:t>
      </w:r>
    </w:p>
    <w:p w:rsidR="00800773" w:rsidRDefault="00800773" w:rsidP="00800773">
      <w:pPr>
        <w:pStyle w:val="ListParagraph"/>
        <w:numPr>
          <w:ilvl w:val="0"/>
          <w:numId w:val="1"/>
        </w:numPr>
      </w:pPr>
      <w:r>
        <w:t>A negative shadow price (SP) indicates the metabolite has value to the metabolic network. These may be constraining factors for the current model, in that if more was available, more flux would be produced.</w:t>
      </w:r>
    </w:p>
    <w:p w:rsidR="00800773" w:rsidRDefault="00800773" w:rsidP="00800773">
      <w:pPr>
        <w:pStyle w:val="ListParagraph"/>
        <w:numPr>
          <w:ilvl w:val="0"/>
          <w:numId w:val="1"/>
        </w:numPr>
      </w:pPr>
      <w:r>
        <w:t>A positive SP indicates that the objective function would improve if less of this was made. It may indicate metabolites that are secreted.</w:t>
      </w:r>
    </w:p>
    <w:p w:rsidR="00800773" w:rsidRPr="00735F98" w:rsidRDefault="00800773" w:rsidP="00800773">
      <w:pPr>
        <w:pStyle w:val="ListParagraph"/>
        <w:numPr>
          <w:ilvl w:val="0"/>
          <w:numId w:val="1"/>
        </w:numPr>
      </w:pPr>
      <w:r>
        <w:t>An SP of zero indicates it has no value to the cell. May be secreted?</w:t>
      </w:r>
    </w:p>
    <w:p w:rsidR="000741C0" w:rsidRDefault="000741C0" w:rsidP="00AF394B"/>
    <w:p w:rsidR="00C93DBF" w:rsidRDefault="00F53AE5" w:rsidP="00C93DBF">
      <w:pPr>
        <w:pStyle w:val="Heading2"/>
      </w:pPr>
      <w:bookmarkStart w:id="21" w:name="_Toc472946207"/>
      <w:r>
        <w:t>Related m</w:t>
      </w:r>
      <w:r w:rsidR="00C93DBF">
        <w:t>ethods</w:t>
      </w:r>
      <w:bookmarkEnd w:id="21"/>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lastRenderedPageBreak/>
        <w:t>Any possible configuration of flux through a network can be obtained by a linear combination of the elementary modes.</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Uses a quadratic optimization function (probably sum of squares; ie distance).</w:t>
      </w:r>
    </w:p>
    <w:p w:rsidR="00F53AE5" w:rsidRDefault="00F53AE5" w:rsidP="00F53AE5">
      <w:r>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BC4AAE">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p>
    <w:p w:rsidR="004663BA" w:rsidRDefault="004663BA" w:rsidP="00F53AE5">
      <w:r>
        <w:t>rFBA (regulatory) is a method of incorporating transcriptional regulation as Boolean operators</w:t>
      </w:r>
      <w:r w:rsidR="00532D8C">
        <w:t xml:space="preserve"> by Palsson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FBA predicted high uptake of both glucose and lactose. rFBA predicted downregulating lactose uptake &amp; processing genes until glucose was gone, followed by their activation, and then the cell using lactose as the carbon source.</w:t>
      </w:r>
    </w:p>
    <w:p w:rsidR="00AA2366" w:rsidRDefault="0053029F" w:rsidP="00AA2366">
      <w:r>
        <w:lastRenderedPageBreak/>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r>
        <w:t>Less useful methods</w:t>
      </w:r>
    </w:p>
    <w:p w:rsidR="00CA44DA" w:rsidRDefault="00CA44DA" w:rsidP="00CA44DA">
      <w:r>
        <w:t>OptKnock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r>
        <w:t xml:space="preserve">FBAwMC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likely not scalable for me. Also probably requires a lot more biological data.</w:t>
      </w:r>
    </w:p>
    <w:p w:rsidR="00F53AE5" w:rsidRDefault="00F53AE5" w:rsidP="006E52D5"/>
    <w:p w:rsidR="00C93DBF" w:rsidRDefault="00C93DBF" w:rsidP="00AF394B"/>
    <w:p w:rsidR="00530462" w:rsidRDefault="009C06D0" w:rsidP="00530462">
      <w:pPr>
        <w:pStyle w:val="Heading2"/>
      </w:pPr>
      <w:bookmarkStart w:id="22" w:name="_Toc472946208"/>
      <w:r>
        <w:t>Implementation n</w:t>
      </w:r>
      <w:r w:rsidR="00530462">
        <w:t>otes</w:t>
      </w:r>
      <w:bookmarkEnd w:id="22"/>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(cutoff ILS &gt;=0.9, &gt;=5 positive hits</w:t>
      </w:r>
      <w:r w:rsidRPr="00C93DBF">
        <w:rPr>
          <w:vertAlign w:val="superscript"/>
        </w:rPr>
        <w:t>100</w:t>
      </w:r>
      <w:r>
        <w:t>), BLASTP against SWISSPROT enzymes (cutoff 1E-10), PRIAM (min prob &gt;0.5, profile coverage 70%, check catalytic – TRUE), KAAS, EFICAz,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lastRenderedPageBreak/>
        <w:t>Directionality of reactions was taken from KEGG. Reversible was indicated by lower bound -1000 &amp; upper bound 1000 mmol (gDW h)</w:t>
      </w:r>
      <w:r w:rsidRPr="00243D26">
        <w:rPr>
          <w:vertAlign w:val="superscript"/>
        </w:rPr>
        <w:t>-1</w:t>
      </w:r>
      <w:r>
        <w:t>, while irreversible was indicated by lower/upper of 0/1000.</w:t>
      </w:r>
    </w:p>
    <w:p w:rsidR="008C2C76" w:rsidRDefault="008C2C76" w:rsidP="008C2C76">
      <w:pPr>
        <w:pStyle w:val="ListParagraph"/>
        <w:numPr>
          <w:ilvl w:val="0"/>
          <w:numId w:val="1"/>
        </w:numPr>
      </w:pPr>
      <w:r>
        <w:t>Added a non-growth-associated maintenance (NGAM) equation of 5 mmol.</w:t>
      </w:r>
    </w:p>
    <w:p w:rsidR="008C2C76" w:rsidRDefault="008C2C76" w:rsidP="008C2C76">
      <w:pPr>
        <w:pStyle w:val="ListParagraph"/>
        <w:numPr>
          <w:ilvl w:val="0"/>
          <w:numId w:val="1"/>
        </w:numPr>
      </w:pPr>
      <w:r>
        <w:t>Glucose uptake set at max of 10 mmol.</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Model biomass equations taken from previous networks of Toxo and Leishmania.</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mmol gDW</w:t>
      </w:r>
      <w:r w:rsidRPr="00530462">
        <w:rPr>
          <w:vertAlign w:val="superscript"/>
        </w:rPr>
        <w:t>-1</w:t>
      </w:r>
      <w:r>
        <w:t>hr</w:t>
      </w:r>
      <w:r w:rsidRPr="00530462">
        <w:rPr>
          <w:vertAlign w:val="superscript"/>
        </w:rPr>
        <w:t>-1</w:t>
      </w:r>
      <w:r>
        <w:t>. Get this from literature?</w:t>
      </w:r>
    </w:p>
    <w:p w:rsidR="00C15E75" w:rsidRDefault="00C15E75" w:rsidP="00530462">
      <w:r>
        <w:t>If a reaction can be carried out by two different enzymes, the GPR (gene-protein-reaction) will read pqr-2 or pqr-3. So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5C66F4" w:rsidRDefault="005C66F4" w:rsidP="005C66F4">
      <w:pPr>
        <w:pStyle w:val="Heading2"/>
      </w:pPr>
      <w:r>
        <w:t>Resources</w:t>
      </w:r>
    </w:p>
    <w:p w:rsidR="005C66F4" w:rsidRDefault="00411F88" w:rsidP="00530462">
      <w:r>
        <w:t>Pathway databases:</w:t>
      </w:r>
    </w:p>
    <w:p w:rsidR="00411F88" w:rsidRDefault="00411F88" w:rsidP="00411F88">
      <w:pPr>
        <w:pStyle w:val="ListParagraph"/>
        <w:numPr>
          <w:ilvl w:val="0"/>
          <w:numId w:val="1"/>
        </w:numPr>
      </w:pPr>
      <w:r>
        <w:t>KEGG, BioCyc (</w:t>
      </w:r>
      <w:hyperlink r:id="rId9" w:history="1">
        <w:r w:rsidRPr="005574CC">
          <w:rPr>
            <w:rStyle w:val="Hyperlink"/>
          </w:rPr>
          <w:t>www.biocyc.org</w:t>
        </w:r>
      </w:hyperlink>
      <w:r>
        <w:t>), Biomodels (</w:t>
      </w:r>
      <w:hyperlink r:id="rId10" w:history="1">
        <w:r w:rsidRPr="005574CC">
          <w:rPr>
            <w:rStyle w:val="Hyperlink"/>
          </w:rPr>
          <w:t>www.biomodels.net</w:t>
        </w:r>
      </w:hyperlink>
      <w:r>
        <w:t xml:space="preserve">), SABIO-RK (analysis; </w:t>
      </w:r>
      <w:hyperlink r:id="rId11"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2" w:history="1">
        <w:r w:rsidRPr="005574CC">
          <w:rPr>
            <w:rStyle w:val="Hyperlink"/>
          </w:rPr>
          <w:t>www.brenda-enzymes.info</w:t>
        </w:r>
      </w:hyperlink>
      <w:r>
        <w:t>), PEDANT (</w:t>
      </w:r>
      <w:hyperlink r:id="rId13" w:history="1">
        <w:r w:rsidRPr="005574CC">
          <w:rPr>
            <w:rStyle w:val="Hyperlink"/>
          </w:rPr>
          <w:t>http://pedant.gsf.de</w:t>
        </w:r>
      </w:hyperlink>
      <w:r>
        <w:t xml:space="preserve">), Reactome (humans; </w:t>
      </w:r>
      <w:hyperlink r:id="rId14"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lastRenderedPageBreak/>
        <w:t>COBRA, MetaFluxNet, CellNetAnalyzer, SNA: Stoichiometric network analysis, Yana (also visualization), PathwayAnalyser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23" w:name="_Toc472946209"/>
      <w:r>
        <w:lastRenderedPageBreak/>
        <w:t>References</w:t>
      </w:r>
      <w:bookmarkEnd w:id="23"/>
    </w:p>
    <w:p w:rsidR="00BC4AAE" w:rsidRPr="00BC4AAE" w:rsidRDefault="007F4F16" w:rsidP="00BC4AAE">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C4AAE" w:rsidRPr="00BC4AAE">
        <w:rPr>
          <w:rFonts w:ascii="Calibri" w:hAnsi="Calibri" w:cs="Calibri"/>
          <w:noProof/>
          <w:szCs w:val="24"/>
        </w:rPr>
        <w:t xml:space="preserve">Aboobaker,A.A. and Blaxter,M.L. (2003) Use of RNA interference to investigate gene function in the human filarial nematode parasite Brugia malayi. </w:t>
      </w:r>
      <w:r w:rsidR="00BC4AAE" w:rsidRPr="00BC4AAE">
        <w:rPr>
          <w:rFonts w:ascii="Calibri" w:hAnsi="Calibri" w:cs="Calibri"/>
          <w:i/>
          <w:iCs/>
          <w:noProof/>
          <w:szCs w:val="24"/>
        </w:rPr>
        <w:t>Mol. Biochem. Parasitol.</w:t>
      </w:r>
      <w:r w:rsidR="00BC4AAE" w:rsidRPr="00BC4AAE">
        <w:rPr>
          <w:rFonts w:ascii="Calibri" w:hAnsi="Calibri" w:cs="Calibri"/>
          <w:noProof/>
          <w:szCs w:val="24"/>
        </w:rPr>
        <w:t xml:space="preserve">, </w:t>
      </w:r>
      <w:r w:rsidR="00BC4AAE" w:rsidRPr="00BC4AAE">
        <w:rPr>
          <w:rFonts w:ascii="Calibri" w:hAnsi="Calibri" w:cs="Calibri"/>
          <w:b/>
          <w:bCs/>
          <w:noProof/>
          <w:szCs w:val="24"/>
        </w:rPr>
        <w:t>129</w:t>
      </w:r>
      <w:r w:rsidR="00BC4AAE" w:rsidRPr="00BC4AAE">
        <w:rPr>
          <w:rFonts w:ascii="Calibri" w:hAnsi="Calibri" w:cs="Calibri"/>
          <w:noProof/>
          <w:szCs w:val="24"/>
        </w:rPr>
        <w:t>, 41–51.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Basler,G. </w:t>
      </w:r>
      <w:r w:rsidRPr="00BC4AAE">
        <w:rPr>
          <w:rFonts w:ascii="Calibri" w:hAnsi="Calibri" w:cs="Calibri"/>
          <w:i/>
          <w:iCs/>
          <w:noProof/>
          <w:szCs w:val="24"/>
        </w:rPr>
        <w:t>et al.</w:t>
      </w:r>
      <w:r w:rsidRPr="00BC4AAE">
        <w:rPr>
          <w:rFonts w:ascii="Calibri" w:hAnsi="Calibri" w:cs="Calibri"/>
          <w:noProof/>
          <w:szCs w:val="24"/>
        </w:rPr>
        <w:t xml:space="preserve"> (2016) Control of fluxes in metabolic networks. </w:t>
      </w:r>
      <w:r w:rsidRPr="00BC4AAE">
        <w:rPr>
          <w:rFonts w:ascii="Calibri" w:hAnsi="Calibri" w:cs="Calibri"/>
          <w:i/>
          <w:iCs/>
          <w:noProof/>
          <w:szCs w:val="24"/>
        </w:rPr>
        <w:t>Genome Res.</w:t>
      </w:r>
      <w:r w:rsidRPr="00BC4AAE">
        <w:rPr>
          <w:rFonts w:ascii="Calibri" w:hAnsi="Calibri" w:cs="Calibri"/>
          <w:noProof/>
          <w:szCs w:val="24"/>
        </w:rPr>
        <w:t xml:space="preserve">, </w:t>
      </w:r>
      <w:r w:rsidRPr="00BC4AAE">
        <w:rPr>
          <w:rFonts w:ascii="Calibri" w:hAnsi="Calibri" w:cs="Calibri"/>
          <w:b/>
          <w:bCs/>
          <w:noProof/>
          <w:szCs w:val="24"/>
        </w:rPr>
        <w:t>26</w:t>
      </w:r>
      <w:r w:rsidRPr="00BC4AAE">
        <w:rPr>
          <w:rFonts w:ascii="Calibri" w:hAnsi="Calibri" w:cs="Calibri"/>
          <w:noProof/>
          <w:szCs w:val="24"/>
        </w:rPr>
        <w:t>, 956–968.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Beard,D.A. </w:t>
      </w:r>
      <w:r w:rsidRPr="00BC4AAE">
        <w:rPr>
          <w:rFonts w:ascii="Calibri" w:hAnsi="Calibri" w:cs="Calibri"/>
          <w:i/>
          <w:iCs/>
          <w:noProof/>
          <w:szCs w:val="24"/>
        </w:rPr>
        <w:t>et al.</w:t>
      </w:r>
      <w:r w:rsidRPr="00BC4AAE">
        <w:rPr>
          <w:rFonts w:ascii="Calibri" w:hAnsi="Calibri" w:cs="Calibri"/>
          <w:noProof/>
          <w:szCs w:val="24"/>
        </w:rPr>
        <w:t xml:space="preserve"> (2002) Energy Balance for Analysis of Complex Metabolic Networks. </w:t>
      </w:r>
      <w:r w:rsidRPr="00BC4AAE">
        <w:rPr>
          <w:rFonts w:ascii="Calibri" w:hAnsi="Calibri" w:cs="Calibri"/>
          <w:i/>
          <w:iCs/>
          <w:noProof/>
          <w:szCs w:val="24"/>
        </w:rPr>
        <w:t>Biophys. J.</w:t>
      </w:r>
      <w:r w:rsidRPr="00BC4AAE">
        <w:rPr>
          <w:rFonts w:ascii="Calibri" w:hAnsi="Calibri" w:cs="Calibri"/>
          <w:noProof/>
          <w:szCs w:val="24"/>
        </w:rPr>
        <w:t xml:space="preserve">, </w:t>
      </w:r>
      <w:r w:rsidRPr="00BC4AAE">
        <w:rPr>
          <w:rFonts w:ascii="Calibri" w:hAnsi="Calibri" w:cs="Calibri"/>
          <w:b/>
          <w:bCs/>
          <w:noProof/>
          <w:szCs w:val="24"/>
        </w:rPr>
        <w:t>83</w:t>
      </w:r>
      <w:r w:rsidRPr="00BC4AAE">
        <w:rPr>
          <w:rFonts w:ascii="Calibri" w:hAnsi="Calibri" w:cs="Calibri"/>
          <w:noProof/>
          <w:szCs w:val="24"/>
        </w:rPr>
        <w:t>, 79–86.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Burgard,A.P. </w:t>
      </w:r>
      <w:r w:rsidRPr="00BC4AAE">
        <w:rPr>
          <w:rFonts w:ascii="Calibri" w:hAnsi="Calibri" w:cs="Calibri"/>
          <w:i/>
          <w:iCs/>
          <w:noProof/>
          <w:szCs w:val="24"/>
        </w:rPr>
        <w:t>et al.</w:t>
      </w:r>
      <w:r w:rsidRPr="00BC4AAE">
        <w:rPr>
          <w:rFonts w:ascii="Calibri" w:hAnsi="Calibri" w:cs="Calibri"/>
          <w:noProof/>
          <w:szCs w:val="24"/>
        </w:rPr>
        <w:t xml:space="preserve"> (2004) Flux coupling analysis of genome-scale metabolic network reconstructions. </w:t>
      </w:r>
      <w:r w:rsidRPr="00BC4AAE">
        <w:rPr>
          <w:rFonts w:ascii="Calibri" w:hAnsi="Calibri" w:cs="Calibri"/>
          <w:i/>
          <w:iCs/>
          <w:noProof/>
          <w:szCs w:val="24"/>
        </w:rPr>
        <w:t>Genome Res.</w:t>
      </w:r>
      <w:r w:rsidRPr="00BC4AAE">
        <w:rPr>
          <w:rFonts w:ascii="Calibri" w:hAnsi="Calibri" w:cs="Calibri"/>
          <w:noProof/>
          <w:szCs w:val="24"/>
        </w:rPr>
        <w:t xml:space="preserve">, </w:t>
      </w:r>
      <w:r w:rsidRPr="00BC4AAE">
        <w:rPr>
          <w:rFonts w:ascii="Calibri" w:hAnsi="Calibri" w:cs="Calibri"/>
          <w:b/>
          <w:bCs/>
          <w:noProof/>
          <w:szCs w:val="24"/>
        </w:rPr>
        <w:t>14</w:t>
      </w:r>
      <w:r w:rsidRPr="00BC4AAE">
        <w:rPr>
          <w:rFonts w:ascii="Calibri" w:hAnsi="Calibri" w:cs="Calibri"/>
          <w:noProof/>
          <w:szCs w:val="24"/>
        </w:rPr>
        <w:t>, 301–312.</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Cotton,J.A. </w:t>
      </w:r>
      <w:r w:rsidRPr="00BC4AAE">
        <w:rPr>
          <w:rFonts w:ascii="Calibri" w:hAnsi="Calibri" w:cs="Calibri"/>
          <w:i/>
          <w:iCs/>
          <w:noProof/>
          <w:szCs w:val="24"/>
        </w:rPr>
        <w:t>et al.</w:t>
      </w:r>
      <w:r w:rsidRPr="00BC4AAE">
        <w:rPr>
          <w:rFonts w:ascii="Calibri" w:hAnsi="Calibri" w:cs="Calibri"/>
          <w:noProof/>
          <w:szCs w:val="24"/>
        </w:rPr>
        <w:t xml:space="preserve"> (2016) The genome of Onchocerca volvulus, agent of river blindness. </w:t>
      </w:r>
      <w:r w:rsidRPr="00BC4AAE">
        <w:rPr>
          <w:rFonts w:ascii="Calibri" w:hAnsi="Calibri" w:cs="Calibri"/>
          <w:i/>
          <w:iCs/>
          <w:noProof/>
          <w:szCs w:val="24"/>
        </w:rPr>
        <w:t>Nat. Microbiol.</w:t>
      </w:r>
      <w:r w:rsidRPr="00BC4AAE">
        <w:rPr>
          <w:rFonts w:ascii="Calibri" w:hAnsi="Calibri" w:cs="Calibri"/>
          <w:noProof/>
          <w:szCs w:val="24"/>
        </w:rPr>
        <w:t xml:space="preserve">, </w:t>
      </w:r>
      <w:r w:rsidRPr="00BC4AAE">
        <w:rPr>
          <w:rFonts w:ascii="Calibri" w:hAnsi="Calibri" w:cs="Calibri"/>
          <w:b/>
          <w:bCs/>
          <w:noProof/>
          <w:szCs w:val="24"/>
        </w:rPr>
        <w:t>2</w:t>
      </w:r>
      <w:r w:rsidRPr="00BC4AAE">
        <w:rPr>
          <w:rFonts w:ascii="Calibri" w:hAnsi="Calibri" w:cs="Calibri"/>
          <w:noProof/>
          <w:szCs w:val="24"/>
        </w:rPr>
        <w:t>, 16216.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Foster,J. </w:t>
      </w:r>
      <w:r w:rsidRPr="00BC4AAE">
        <w:rPr>
          <w:rFonts w:ascii="Calibri" w:hAnsi="Calibri" w:cs="Calibri"/>
          <w:i/>
          <w:iCs/>
          <w:noProof/>
          <w:szCs w:val="24"/>
        </w:rPr>
        <w:t>et al.</w:t>
      </w:r>
      <w:r w:rsidRPr="00BC4AAE">
        <w:rPr>
          <w:rFonts w:ascii="Calibri" w:hAnsi="Calibri" w:cs="Calibri"/>
          <w:noProof/>
          <w:szCs w:val="24"/>
        </w:rPr>
        <w:t xml:space="preserve"> (2005) The Wolbachia genome of Brugia malayi: Endosymbiont evolution within a human pathogenic nematode. </w:t>
      </w:r>
      <w:r w:rsidRPr="00BC4AAE">
        <w:rPr>
          <w:rFonts w:ascii="Calibri" w:hAnsi="Calibri" w:cs="Calibri"/>
          <w:i/>
          <w:iCs/>
          <w:noProof/>
          <w:szCs w:val="24"/>
        </w:rPr>
        <w:t>PLoS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0599–0614.</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Ghedin,E. </w:t>
      </w:r>
      <w:r w:rsidRPr="00BC4AAE">
        <w:rPr>
          <w:rFonts w:ascii="Calibri" w:hAnsi="Calibri" w:cs="Calibri"/>
          <w:i/>
          <w:iCs/>
          <w:noProof/>
          <w:szCs w:val="24"/>
        </w:rPr>
        <w:t>et al.</w:t>
      </w:r>
      <w:r w:rsidRPr="00BC4AAE">
        <w:rPr>
          <w:rFonts w:ascii="Calibri" w:hAnsi="Calibri" w:cs="Calibri"/>
          <w:noProof/>
          <w:szCs w:val="24"/>
        </w:rPr>
        <w:t xml:space="preserve"> (2007) Draft genome of the filarial nematode parasite Brugia malayi. </w:t>
      </w:r>
      <w:r w:rsidRPr="00BC4AAE">
        <w:rPr>
          <w:rFonts w:ascii="Calibri" w:hAnsi="Calibri" w:cs="Calibri"/>
          <w:i/>
          <w:iCs/>
          <w:noProof/>
          <w:szCs w:val="24"/>
        </w:rPr>
        <w:t>Science</w:t>
      </w:r>
      <w:r w:rsidRPr="00BC4AAE">
        <w:rPr>
          <w:rFonts w:ascii="Calibri" w:hAnsi="Calibri" w:cs="Calibri"/>
          <w:noProof/>
          <w:szCs w:val="24"/>
        </w:rPr>
        <w:t xml:space="preserve">, </w:t>
      </w:r>
      <w:r w:rsidRPr="00BC4AAE">
        <w:rPr>
          <w:rFonts w:ascii="Calibri" w:hAnsi="Calibri" w:cs="Calibri"/>
          <w:b/>
          <w:bCs/>
          <w:noProof/>
          <w:szCs w:val="24"/>
        </w:rPr>
        <w:t>317</w:t>
      </w:r>
      <w:r w:rsidRPr="00BC4AAE">
        <w:rPr>
          <w:rFonts w:ascii="Calibri" w:hAnsi="Calibri" w:cs="Calibri"/>
          <w:noProof/>
          <w:szCs w:val="24"/>
        </w:rPr>
        <w:t>, 1756–60.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Hoppe,A. </w:t>
      </w:r>
      <w:r w:rsidRPr="00BC4AAE">
        <w:rPr>
          <w:rFonts w:ascii="Calibri" w:hAnsi="Calibri" w:cs="Calibri"/>
          <w:i/>
          <w:iCs/>
          <w:noProof/>
          <w:szCs w:val="24"/>
        </w:rPr>
        <w:t>et al.</w:t>
      </w:r>
      <w:r w:rsidRPr="00BC4AAE">
        <w:rPr>
          <w:rFonts w:ascii="Calibri" w:hAnsi="Calibri" w:cs="Calibri"/>
          <w:noProof/>
          <w:szCs w:val="24"/>
        </w:rPr>
        <w:t xml:space="preserve"> (2011) FASIMU: flexible software for flux-balance computation series in large metabolic networks. </w:t>
      </w:r>
      <w:r w:rsidRPr="00BC4AAE">
        <w:rPr>
          <w:rFonts w:ascii="Calibri" w:hAnsi="Calibri" w:cs="Calibri"/>
          <w:i/>
          <w:iCs/>
          <w:noProof/>
          <w:szCs w:val="24"/>
        </w:rPr>
        <w:t>BMC Bioinformatics</w:t>
      </w:r>
      <w:r w:rsidRPr="00BC4AAE">
        <w:rPr>
          <w:rFonts w:ascii="Calibri" w:hAnsi="Calibri" w:cs="Calibri"/>
          <w:noProof/>
          <w:szCs w:val="24"/>
        </w:rPr>
        <w:t xml:space="preserve">, </w:t>
      </w:r>
      <w:r w:rsidRPr="00BC4AAE">
        <w:rPr>
          <w:rFonts w:ascii="Calibri" w:hAnsi="Calibri" w:cs="Calibri"/>
          <w:b/>
          <w:bCs/>
          <w:noProof/>
          <w:szCs w:val="24"/>
        </w:rPr>
        <w:t>12</w:t>
      </w:r>
      <w:r w:rsidRPr="00BC4AAE">
        <w:rPr>
          <w:rFonts w:ascii="Calibri" w:hAnsi="Calibri" w:cs="Calibri"/>
          <w:noProof/>
          <w:szCs w:val="24"/>
        </w:rPr>
        <w:t>, 28.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Hotez,P.J. </w:t>
      </w:r>
      <w:r w:rsidRPr="00BC4AAE">
        <w:rPr>
          <w:rFonts w:ascii="Calibri" w:hAnsi="Calibri" w:cs="Calibri"/>
          <w:i/>
          <w:iCs/>
          <w:noProof/>
          <w:szCs w:val="24"/>
        </w:rPr>
        <w:t>et al.</w:t>
      </w:r>
      <w:r w:rsidRPr="00BC4AAE">
        <w:rPr>
          <w:rFonts w:ascii="Calibri" w:hAnsi="Calibri" w:cs="Calibri"/>
          <w:noProof/>
          <w:szCs w:val="24"/>
        </w:rPr>
        <w:t xml:space="preserve"> (2014) The Global Burden of Disease Study 2010: Interpretation and Implications for the Neglected Tropical Diseases. </w:t>
      </w:r>
      <w:r w:rsidRPr="00BC4AAE">
        <w:rPr>
          <w:rFonts w:ascii="Calibri" w:hAnsi="Calibri" w:cs="Calibri"/>
          <w:i/>
          <w:iCs/>
          <w:noProof/>
          <w:szCs w:val="24"/>
        </w:rPr>
        <w:t>PLoS Negl. Trop. Dis.</w:t>
      </w:r>
      <w:r w:rsidRPr="00BC4AAE">
        <w:rPr>
          <w:rFonts w:ascii="Calibri" w:hAnsi="Calibri" w:cs="Calibri"/>
          <w:noProof/>
          <w:szCs w:val="24"/>
        </w:rPr>
        <w:t xml:space="preserve">, </w:t>
      </w:r>
      <w:r w:rsidRPr="00BC4AAE">
        <w:rPr>
          <w:rFonts w:ascii="Calibri" w:hAnsi="Calibri" w:cs="Calibri"/>
          <w:b/>
          <w:bCs/>
          <w:noProof/>
          <w:szCs w:val="24"/>
        </w:rPr>
        <w:t>8</w:t>
      </w:r>
      <w:r w:rsidRPr="00BC4AAE">
        <w:rPr>
          <w:rFonts w:ascii="Calibri" w:hAnsi="Calibri" w:cs="Calibri"/>
          <w:noProof/>
          <w:szCs w:val="24"/>
        </w:rPr>
        <w:t>, e2865.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Kim,H.U. </w:t>
      </w:r>
      <w:r w:rsidRPr="00BC4AAE">
        <w:rPr>
          <w:rFonts w:ascii="Calibri" w:hAnsi="Calibri" w:cs="Calibri"/>
          <w:i/>
          <w:iCs/>
          <w:noProof/>
          <w:szCs w:val="24"/>
        </w:rPr>
        <w:t>et al.</w:t>
      </w:r>
      <w:r w:rsidRPr="00BC4AAE">
        <w:rPr>
          <w:rFonts w:ascii="Calibri" w:hAnsi="Calibri" w:cs="Calibri"/>
          <w:noProof/>
          <w:szCs w:val="24"/>
        </w:rPr>
        <w:t xml:space="preserve"> (2011) Integrative genome-scale metabolic analysis of Vibrio vulnificus for drug targeting and discovery.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7</w:t>
      </w:r>
      <w:r w:rsidRPr="00BC4AAE">
        <w:rPr>
          <w:rFonts w:ascii="Calibri" w:hAnsi="Calibri" w:cs="Calibri"/>
          <w:noProof/>
          <w:szCs w:val="24"/>
        </w:rPr>
        <w:t>, 460.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Lee,S. </w:t>
      </w:r>
      <w:r w:rsidRPr="00BC4AAE">
        <w:rPr>
          <w:rFonts w:ascii="Calibri" w:hAnsi="Calibri" w:cs="Calibri"/>
          <w:i/>
          <w:iCs/>
          <w:noProof/>
          <w:szCs w:val="24"/>
        </w:rPr>
        <w:t>et al.</w:t>
      </w:r>
      <w:r w:rsidRPr="00BC4AAE">
        <w:rPr>
          <w:rFonts w:ascii="Calibri" w:hAnsi="Calibri" w:cs="Calibri"/>
          <w:noProof/>
          <w:szCs w:val="24"/>
        </w:rPr>
        <w:t xml:space="preserve"> (2000) Recursive milp model for finding all the alternate optima in lp models for metabolic networks. In, </w:t>
      </w:r>
      <w:r w:rsidRPr="00BC4AAE">
        <w:rPr>
          <w:rFonts w:ascii="Calibri" w:hAnsi="Calibri" w:cs="Calibri"/>
          <w:i/>
          <w:iCs/>
          <w:noProof/>
          <w:szCs w:val="24"/>
        </w:rPr>
        <w:t>Computers and Chemical Engineering</w:t>
      </w:r>
      <w:r w:rsidRPr="00BC4AAE">
        <w:rPr>
          <w:rFonts w:ascii="Calibri" w:hAnsi="Calibri" w:cs="Calibri"/>
          <w:noProof/>
          <w:szCs w:val="24"/>
        </w:rPr>
        <w:t>., pp. 711–716.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Lewis,N.E. </w:t>
      </w:r>
      <w:r w:rsidRPr="00BC4AAE">
        <w:rPr>
          <w:rFonts w:ascii="Calibri" w:hAnsi="Calibri" w:cs="Calibri"/>
          <w:i/>
          <w:iCs/>
          <w:noProof/>
          <w:szCs w:val="24"/>
        </w:rPr>
        <w:t>et al.</w:t>
      </w:r>
      <w:r w:rsidRPr="00BC4AAE">
        <w:rPr>
          <w:rFonts w:ascii="Calibri" w:hAnsi="Calibri" w:cs="Calibri"/>
          <w:noProof/>
          <w:szCs w:val="24"/>
        </w:rPr>
        <w:t xml:space="preserve"> (2012) Constraining the metabolic genotype-phenotype relationship using a phylogeny of in silico methods. </w:t>
      </w:r>
      <w:r w:rsidRPr="00BC4AAE">
        <w:rPr>
          <w:rFonts w:ascii="Calibri" w:hAnsi="Calibri" w:cs="Calibri"/>
          <w:i/>
          <w:iCs/>
          <w:noProof/>
          <w:szCs w:val="24"/>
        </w:rPr>
        <w:t>Nat. Rev. Microbiol.</w:t>
      </w:r>
      <w:r w:rsidRPr="00BC4AAE">
        <w:rPr>
          <w:rFonts w:ascii="Calibri" w:hAnsi="Calibri" w:cs="Calibri"/>
          <w:noProof/>
          <w:szCs w:val="24"/>
        </w:rPr>
        <w:t xml:space="preserve">, </w:t>
      </w:r>
      <w:r w:rsidRPr="00BC4AAE">
        <w:rPr>
          <w:rFonts w:ascii="Calibri" w:hAnsi="Calibri" w:cs="Calibri"/>
          <w:b/>
          <w:bCs/>
          <w:noProof/>
          <w:szCs w:val="24"/>
        </w:rPr>
        <w:t>10</w:t>
      </w:r>
      <w:r w:rsidRPr="00BC4AAE">
        <w:rPr>
          <w:rFonts w:ascii="Calibri" w:hAnsi="Calibri" w:cs="Calibri"/>
          <w:noProof/>
          <w:szCs w:val="24"/>
        </w:rPr>
        <w:t>, 291–305.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Mclaren,D.J. </w:t>
      </w:r>
      <w:r w:rsidRPr="00BC4AAE">
        <w:rPr>
          <w:rFonts w:ascii="Calibri" w:hAnsi="Calibri" w:cs="Calibri"/>
          <w:i/>
          <w:iCs/>
          <w:noProof/>
          <w:szCs w:val="24"/>
        </w:rPr>
        <w:t>et al.</w:t>
      </w:r>
      <w:r w:rsidRPr="00BC4AAE">
        <w:rPr>
          <w:rFonts w:ascii="Calibri" w:hAnsi="Calibri" w:cs="Calibri"/>
          <w:noProof/>
          <w:szCs w:val="24"/>
        </w:rPr>
        <w:t xml:space="preserve"> (1975) Micro-organisms in filarial larvae (Nematoda). </w:t>
      </w:r>
      <w:r w:rsidRPr="00BC4AAE">
        <w:rPr>
          <w:rFonts w:ascii="Calibri" w:hAnsi="Calibri" w:cs="Calibri"/>
          <w:i/>
          <w:iCs/>
          <w:noProof/>
          <w:szCs w:val="24"/>
        </w:rPr>
        <w:t>Trans. R. Soc. Trop. Med. Hyg.</w:t>
      </w:r>
      <w:r w:rsidRPr="00BC4AAE">
        <w:rPr>
          <w:rFonts w:ascii="Calibri" w:hAnsi="Calibri" w:cs="Calibri"/>
          <w:noProof/>
          <w:szCs w:val="24"/>
        </w:rPr>
        <w:t xml:space="preserve">, </w:t>
      </w:r>
      <w:r w:rsidRPr="00BC4AAE">
        <w:rPr>
          <w:rFonts w:ascii="Calibri" w:hAnsi="Calibri" w:cs="Calibri"/>
          <w:b/>
          <w:bCs/>
          <w:noProof/>
          <w:szCs w:val="24"/>
        </w:rPr>
        <w:t>69</w:t>
      </w:r>
      <w:r w:rsidRPr="00BC4AAE">
        <w:rPr>
          <w:rFonts w:ascii="Calibri" w:hAnsi="Calibri" w:cs="Calibri"/>
          <w:noProof/>
          <w:szCs w:val="24"/>
        </w:rPr>
        <w:t>, 509–514.</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Nagrath,D. </w:t>
      </w:r>
      <w:r w:rsidRPr="00BC4AAE">
        <w:rPr>
          <w:rFonts w:ascii="Calibri" w:hAnsi="Calibri" w:cs="Calibri"/>
          <w:i/>
          <w:iCs/>
          <w:noProof/>
          <w:szCs w:val="24"/>
        </w:rPr>
        <w:t>et al.</w:t>
      </w:r>
      <w:r w:rsidRPr="00BC4AAE">
        <w:rPr>
          <w:rFonts w:ascii="Calibri" w:hAnsi="Calibri" w:cs="Calibri"/>
          <w:noProof/>
          <w:szCs w:val="24"/>
        </w:rPr>
        <w:t xml:space="preserve"> (2007) Integrated energy and flux balance based multiobjective framework for large-scale metabolic networks. </w:t>
      </w:r>
      <w:r w:rsidRPr="00BC4AAE">
        <w:rPr>
          <w:rFonts w:ascii="Calibri" w:hAnsi="Calibri" w:cs="Calibri"/>
          <w:i/>
          <w:iCs/>
          <w:noProof/>
          <w:szCs w:val="24"/>
        </w:rPr>
        <w:t>Ann Biomed Eng</w:t>
      </w:r>
      <w:r w:rsidRPr="00BC4AAE">
        <w:rPr>
          <w:rFonts w:ascii="Calibri" w:hAnsi="Calibri" w:cs="Calibri"/>
          <w:noProof/>
          <w:szCs w:val="24"/>
        </w:rPr>
        <w:t xml:space="preserve">, </w:t>
      </w:r>
      <w:r w:rsidRPr="00BC4AAE">
        <w:rPr>
          <w:rFonts w:ascii="Calibri" w:hAnsi="Calibri" w:cs="Calibri"/>
          <w:b/>
          <w:bCs/>
          <w:noProof/>
          <w:szCs w:val="24"/>
        </w:rPr>
        <w:t>35</w:t>
      </w:r>
      <w:r w:rsidRPr="00BC4AAE">
        <w:rPr>
          <w:rFonts w:ascii="Calibri" w:hAnsi="Calibri" w:cs="Calibri"/>
          <w:noProof/>
          <w:szCs w:val="24"/>
        </w:rPr>
        <w:t>, 863–885.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Orth,J.D. </w:t>
      </w:r>
      <w:r w:rsidRPr="00BC4AAE">
        <w:rPr>
          <w:rFonts w:ascii="Calibri" w:hAnsi="Calibri" w:cs="Calibri"/>
          <w:i/>
          <w:iCs/>
          <w:noProof/>
          <w:szCs w:val="24"/>
        </w:rPr>
        <w:t>et al.</w:t>
      </w:r>
      <w:r w:rsidRPr="00BC4AAE">
        <w:rPr>
          <w:rFonts w:ascii="Calibri" w:hAnsi="Calibri" w:cs="Calibri"/>
          <w:noProof/>
          <w:szCs w:val="24"/>
        </w:rPr>
        <w:t xml:space="preserve"> (2010) What is Flux Balance Analysis ? </w:t>
      </w:r>
      <w:r w:rsidRPr="00BC4AAE">
        <w:rPr>
          <w:rFonts w:ascii="Calibri" w:hAnsi="Calibri" w:cs="Calibri"/>
          <w:i/>
          <w:iCs/>
          <w:noProof/>
          <w:szCs w:val="24"/>
        </w:rPr>
        <w:t>Nat. Biotechnol.</w:t>
      </w:r>
      <w:r w:rsidRPr="00BC4AAE">
        <w:rPr>
          <w:rFonts w:ascii="Calibri" w:hAnsi="Calibri" w:cs="Calibri"/>
          <w:noProof/>
          <w:szCs w:val="24"/>
        </w:rPr>
        <w:t xml:space="preserve">, </w:t>
      </w:r>
      <w:r w:rsidRPr="00BC4AAE">
        <w:rPr>
          <w:rFonts w:ascii="Calibri" w:hAnsi="Calibri" w:cs="Calibri"/>
          <w:b/>
          <w:bCs/>
          <w:noProof/>
          <w:szCs w:val="24"/>
        </w:rPr>
        <w:t>28</w:t>
      </w:r>
      <w:r w:rsidRPr="00BC4AAE">
        <w:rPr>
          <w:rFonts w:ascii="Calibri" w:hAnsi="Calibri" w:cs="Calibri"/>
          <w:noProof/>
          <w:szCs w:val="24"/>
        </w:rPr>
        <w:t>, 245–248.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Papin,J.A. </w:t>
      </w:r>
      <w:r w:rsidRPr="00BC4AAE">
        <w:rPr>
          <w:rFonts w:ascii="Calibri" w:hAnsi="Calibri" w:cs="Calibri"/>
          <w:i/>
          <w:iCs/>
          <w:noProof/>
          <w:szCs w:val="24"/>
        </w:rPr>
        <w:t>et al.</w:t>
      </w:r>
      <w:r w:rsidRPr="00BC4AAE">
        <w:rPr>
          <w:rFonts w:ascii="Calibri" w:hAnsi="Calibri" w:cs="Calibri"/>
          <w:noProof/>
          <w:szCs w:val="24"/>
        </w:rPr>
        <w:t xml:space="preserve"> (2004) Comparison of network based pathway analysis methods. </w:t>
      </w:r>
      <w:r w:rsidRPr="00BC4AAE">
        <w:rPr>
          <w:rFonts w:ascii="Calibri" w:hAnsi="Calibri" w:cs="Calibri"/>
          <w:i/>
          <w:iCs/>
          <w:noProof/>
          <w:szCs w:val="24"/>
        </w:rPr>
        <w:t>Trends Biotechnol.</w:t>
      </w:r>
      <w:r w:rsidRPr="00BC4AAE">
        <w:rPr>
          <w:rFonts w:ascii="Calibri" w:hAnsi="Calibri" w:cs="Calibri"/>
          <w:noProof/>
          <w:szCs w:val="24"/>
        </w:rPr>
        <w:t xml:space="preserve">, </w:t>
      </w:r>
      <w:r w:rsidRPr="00BC4AAE">
        <w:rPr>
          <w:rFonts w:ascii="Calibri" w:hAnsi="Calibri" w:cs="Calibri"/>
          <w:b/>
          <w:bCs/>
          <w:noProof/>
          <w:szCs w:val="24"/>
        </w:rPr>
        <w:t>22</w:t>
      </w:r>
      <w:r w:rsidRPr="00BC4AAE">
        <w:rPr>
          <w:rFonts w:ascii="Calibri" w:hAnsi="Calibri" w:cs="Calibri"/>
          <w:noProof/>
          <w:szCs w:val="24"/>
        </w:rPr>
        <w:t>, 400–405.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Price,N.D. </w:t>
      </w:r>
      <w:r w:rsidRPr="00BC4AAE">
        <w:rPr>
          <w:rFonts w:ascii="Calibri" w:hAnsi="Calibri" w:cs="Calibri"/>
          <w:i/>
          <w:iCs/>
          <w:noProof/>
          <w:szCs w:val="24"/>
        </w:rPr>
        <w:t>et al.</w:t>
      </w:r>
      <w:r w:rsidRPr="00BC4AAE">
        <w:rPr>
          <w:rFonts w:ascii="Calibri" w:hAnsi="Calibri" w:cs="Calibri"/>
          <w:noProof/>
          <w:szCs w:val="24"/>
        </w:rPr>
        <w:t xml:space="preserve"> (2004) Genome-scale models of microbial cells: evaluating the consequences of constraints. </w:t>
      </w:r>
      <w:r w:rsidRPr="00BC4AAE">
        <w:rPr>
          <w:rFonts w:ascii="Calibri" w:hAnsi="Calibri" w:cs="Calibri"/>
          <w:i/>
          <w:iCs/>
          <w:noProof/>
          <w:szCs w:val="24"/>
        </w:rPr>
        <w:t>Nat. Rev. Microbiol.</w:t>
      </w:r>
      <w:r w:rsidRPr="00BC4AAE">
        <w:rPr>
          <w:rFonts w:ascii="Calibri" w:hAnsi="Calibri" w:cs="Calibri"/>
          <w:noProof/>
          <w:szCs w:val="24"/>
        </w:rPr>
        <w:t xml:space="preserve">, </w:t>
      </w:r>
      <w:r w:rsidRPr="00BC4AAE">
        <w:rPr>
          <w:rFonts w:ascii="Calibri" w:hAnsi="Calibri" w:cs="Calibri"/>
          <w:b/>
          <w:bCs/>
          <w:noProof/>
          <w:szCs w:val="24"/>
        </w:rPr>
        <w:t>2</w:t>
      </w:r>
      <w:r w:rsidRPr="00BC4AAE">
        <w:rPr>
          <w:rFonts w:ascii="Calibri" w:hAnsi="Calibri" w:cs="Calibri"/>
          <w:noProof/>
          <w:szCs w:val="24"/>
        </w:rPr>
        <w:t>, 886–897.</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Puchalka,J. </w:t>
      </w:r>
      <w:r w:rsidRPr="00BC4AAE">
        <w:rPr>
          <w:rFonts w:ascii="Calibri" w:hAnsi="Calibri" w:cs="Calibri"/>
          <w:i/>
          <w:iCs/>
          <w:noProof/>
          <w:szCs w:val="24"/>
        </w:rPr>
        <w:t>et al.</w:t>
      </w:r>
      <w:r w:rsidRPr="00BC4AAE">
        <w:rPr>
          <w:rFonts w:ascii="Calibri" w:hAnsi="Calibri" w:cs="Calibri"/>
          <w:noProof/>
          <w:szCs w:val="24"/>
        </w:rPr>
        <w:t xml:space="preserve"> (2008) Genome-scale reconstruction and analysis of the Pseudomonas putida KT2440 metabolic network facilitates applications in biotechnology. </w:t>
      </w:r>
      <w:r w:rsidRPr="00BC4AAE">
        <w:rPr>
          <w:rFonts w:ascii="Calibri" w:hAnsi="Calibri" w:cs="Calibri"/>
          <w:i/>
          <w:iCs/>
          <w:noProof/>
          <w:szCs w:val="24"/>
        </w:rPr>
        <w:t>PLoS Comput Biol</w:t>
      </w:r>
      <w:r w:rsidRPr="00BC4AAE">
        <w:rPr>
          <w:rFonts w:ascii="Calibri" w:hAnsi="Calibri" w:cs="Calibri"/>
          <w:noProof/>
          <w:szCs w:val="24"/>
        </w:rPr>
        <w:t xml:space="preserve">, </w:t>
      </w:r>
      <w:r w:rsidRPr="00BC4AAE">
        <w:rPr>
          <w:rFonts w:ascii="Calibri" w:hAnsi="Calibri" w:cs="Calibri"/>
          <w:b/>
          <w:bCs/>
          <w:noProof/>
          <w:szCs w:val="24"/>
        </w:rPr>
        <w:t>4</w:t>
      </w:r>
      <w:r w:rsidRPr="00BC4AAE">
        <w:rPr>
          <w:rFonts w:ascii="Calibri" w:hAnsi="Calibri" w:cs="Calibri"/>
          <w:noProof/>
          <w:szCs w:val="24"/>
        </w:rPr>
        <w:t>, e1000210.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Raman,K. and Chandra,N. (2009) Flux balance analysis of biological systems: Applications and challenges. </w:t>
      </w:r>
      <w:r w:rsidRPr="00BC4AAE">
        <w:rPr>
          <w:rFonts w:ascii="Calibri" w:hAnsi="Calibri" w:cs="Calibri"/>
          <w:i/>
          <w:iCs/>
          <w:noProof/>
          <w:szCs w:val="24"/>
        </w:rPr>
        <w:t>Brief. Bioinform.</w:t>
      </w:r>
      <w:r w:rsidRPr="00BC4AAE">
        <w:rPr>
          <w:rFonts w:ascii="Calibri" w:hAnsi="Calibri" w:cs="Calibri"/>
          <w:noProof/>
          <w:szCs w:val="24"/>
        </w:rPr>
        <w:t xml:space="preserve">, </w:t>
      </w:r>
      <w:r w:rsidRPr="00BC4AAE">
        <w:rPr>
          <w:rFonts w:ascii="Calibri" w:hAnsi="Calibri" w:cs="Calibri"/>
          <w:b/>
          <w:bCs/>
          <w:noProof/>
          <w:szCs w:val="24"/>
        </w:rPr>
        <w:t>10</w:t>
      </w:r>
      <w:r w:rsidRPr="00BC4AAE">
        <w:rPr>
          <w:rFonts w:ascii="Calibri" w:hAnsi="Calibri" w:cs="Calibri"/>
          <w:noProof/>
          <w:szCs w:val="24"/>
        </w:rPr>
        <w:t>, 435–449.</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Reed,J.L. </w:t>
      </w:r>
      <w:r w:rsidRPr="00BC4AAE">
        <w:rPr>
          <w:rFonts w:ascii="Calibri" w:hAnsi="Calibri" w:cs="Calibri"/>
          <w:i/>
          <w:iCs/>
          <w:noProof/>
          <w:szCs w:val="24"/>
        </w:rPr>
        <w:t>et al.</w:t>
      </w:r>
      <w:r w:rsidRPr="00BC4AAE">
        <w:rPr>
          <w:rFonts w:ascii="Calibri" w:hAnsi="Calibri" w:cs="Calibri"/>
          <w:noProof/>
          <w:szCs w:val="24"/>
        </w:rPr>
        <w:t xml:space="preserve"> (2006) Towards multidimensional genome annotation. </w:t>
      </w:r>
      <w:r w:rsidRPr="00BC4AAE">
        <w:rPr>
          <w:rFonts w:ascii="Calibri" w:hAnsi="Calibri" w:cs="Calibri"/>
          <w:i/>
          <w:iCs/>
          <w:noProof/>
          <w:szCs w:val="24"/>
        </w:rPr>
        <w:t>Nat. Rev. Genet.</w:t>
      </w:r>
      <w:r w:rsidRPr="00BC4AAE">
        <w:rPr>
          <w:rFonts w:ascii="Calibri" w:hAnsi="Calibri" w:cs="Calibri"/>
          <w:noProof/>
          <w:szCs w:val="24"/>
        </w:rPr>
        <w:t xml:space="preserve">, </w:t>
      </w:r>
      <w:r w:rsidRPr="00BC4AAE">
        <w:rPr>
          <w:rFonts w:ascii="Calibri" w:hAnsi="Calibri" w:cs="Calibri"/>
          <w:b/>
          <w:bCs/>
          <w:noProof/>
          <w:szCs w:val="24"/>
        </w:rPr>
        <w:t>7</w:t>
      </w:r>
      <w:r w:rsidRPr="00BC4AAE">
        <w:rPr>
          <w:rFonts w:ascii="Calibri" w:hAnsi="Calibri" w:cs="Calibri"/>
          <w:noProof/>
          <w:szCs w:val="24"/>
        </w:rPr>
        <w:t>, 130–141.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lastRenderedPageBreak/>
        <w:t xml:space="preserve">Schuetz,R. </w:t>
      </w:r>
      <w:r w:rsidRPr="00BC4AAE">
        <w:rPr>
          <w:rFonts w:ascii="Calibri" w:hAnsi="Calibri" w:cs="Calibri"/>
          <w:i/>
          <w:iCs/>
          <w:noProof/>
          <w:szCs w:val="24"/>
        </w:rPr>
        <w:t>et al.</w:t>
      </w:r>
      <w:r w:rsidRPr="00BC4AAE">
        <w:rPr>
          <w:rFonts w:ascii="Calibri" w:hAnsi="Calibri" w:cs="Calibri"/>
          <w:noProof/>
          <w:szCs w:val="24"/>
        </w:rPr>
        <w:t xml:space="preserve"> (2007) Systematic evaluation of objective functions for predicting intracellular fluxes in Escherichia coli.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119.</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Scott,A.L. and Ghedin,E. (2009) The genome of Brugia malayi - All worms are not created equal. </w:t>
      </w:r>
      <w:r w:rsidRPr="00BC4AAE">
        <w:rPr>
          <w:rFonts w:ascii="Calibri" w:hAnsi="Calibri" w:cs="Calibri"/>
          <w:i/>
          <w:iCs/>
          <w:noProof/>
          <w:szCs w:val="24"/>
        </w:rPr>
        <w:t>Parasitol. Int.</w:t>
      </w:r>
      <w:r w:rsidRPr="00BC4AAE">
        <w:rPr>
          <w:rFonts w:ascii="Calibri" w:hAnsi="Calibri" w:cs="Calibri"/>
          <w:noProof/>
          <w:szCs w:val="24"/>
        </w:rPr>
        <w:t xml:space="preserve">, </w:t>
      </w:r>
      <w:r w:rsidRPr="00BC4AAE">
        <w:rPr>
          <w:rFonts w:ascii="Calibri" w:hAnsi="Calibri" w:cs="Calibri"/>
          <w:b/>
          <w:bCs/>
          <w:noProof/>
          <w:szCs w:val="24"/>
        </w:rPr>
        <w:t>58</w:t>
      </w:r>
      <w:r w:rsidRPr="00BC4AAE">
        <w:rPr>
          <w:rFonts w:ascii="Calibri" w:hAnsi="Calibri" w:cs="Calibri"/>
          <w:noProof/>
          <w:szCs w:val="24"/>
        </w:rPr>
        <w:t>, 6–11.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Segrè,D. </w:t>
      </w:r>
      <w:r w:rsidRPr="00BC4AAE">
        <w:rPr>
          <w:rFonts w:ascii="Calibri" w:hAnsi="Calibri" w:cs="Calibri"/>
          <w:i/>
          <w:iCs/>
          <w:noProof/>
          <w:szCs w:val="24"/>
        </w:rPr>
        <w:t>et al.</w:t>
      </w:r>
      <w:r w:rsidRPr="00BC4AAE">
        <w:rPr>
          <w:rFonts w:ascii="Calibri" w:hAnsi="Calibri" w:cs="Calibri"/>
          <w:noProof/>
          <w:szCs w:val="24"/>
        </w:rPr>
        <w:t xml:space="preserve"> (2002) Analysis of optimality in natural and perturbed metabolic networks. </w:t>
      </w:r>
      <w:r w:rsidRPr="00BC4AAE">
        <w:rPr>
          <w:rFonts w:ascii="Calibri" w:hAnsi="Calibri" w:cs="Calibri"/>
          <w:i/>
          <w:iCs/>
          <w:noProof/>
          <w:szCs w:val="24"/>
        </w:rPr>
        <w:t>Proc. Natl. Acad. Sci. U. S. A.</w:t>
      </w:r>
      <w:r w:rsidRPr="00BC4AAE">
        <w:rPr>
          <w:rFonts w:ascii="Calibri" w:hAnsi="Calibri" w:cs="Calibri"/>
          <w:noProof/>
          <w:szCs w:val="24"/>
        </w:rPr>
        <w:t xml:space="preserve">, </w:t>
      </w:r>
      <w:r w:rsidRPr="00BC4AAE">
        <w:rPr>
          <w:rFonts w:ascii="Calibri" w:hAnsi="Calibri" w:cs="Calibri"/>
          <w:b/>
          <w:bCs/>
          <w:noProof/>
          <w:szCs w:val="24"/>
        </w:rPr>
        <w:t>99</w:t>
      </w:r>
      <w:r w:rsidRPr="00BC4AAE">
        <w:rPr>
          <w:rFonts w:ascii="Calibri" w:hAnsi="Calibri" w:cs="Calibri"/>
          <w:noProof/>
          <w:szCs w:val="24"/>
        </w:rPr>
        <w:t>, 15112–15117.</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Shlomi,T. </w:t>
      </w:r>
      <w:r w:rsidRPr="00BC4AAE">
        <w:rPr>
          <w:rFonts w:ascii="Calibri" w:hAnsi="Calibri" w:cs="Calibri"/>
          <w:i/>
          <w:iCs/>
          <w:noProof/>
          <w:szCs w:val="24"/>
        </w:rPr>
        <w:t>et al.</w:t>
      </w:r>
      <w:r w:rsidRPr="00BC4AAE">
        <w:rPr>
          <w:rFonts w:ascii="Calibri" w:hAnsi="Calibri" w:cs="Calibri"/>
          <w:noProof/>
          <w:szCs w:val="24"/>
        </w:rPr>
        <w:t xml:space="preserve"> (2007) A genome-scale computational study of the interplay between transcriptional regulation and metabolism.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101.</w:t>
      </w:r>
    </w:p>
    <w:p w:rsidR="00BC4AAE" w:rsidRPr="00BC4AAE" w:rsidRDefault="00BC4AAE" w:rsidP="00BC4AAE">
      <w:pPr>
        <w:widowControl w:val="0"/>
        <w:autoSpaceDE w:val="0"/>
        <w:autoSpaceDN w:val="0"/>
        <w:adjustRightInd w:val="0"/>
        <w:ind w:left="480" w:hanging="480"/>
        <w:rPr>
          <w:rFonts w:ascii="Calibri" w:hAnsi="Calibri" w:cs="Calibri"/>
          <w:noProof/>
        </w:rPr>
      </w:pPr>
      <w:r w:rsidRPr="00BC4AAE">
        <w:rPr>
          <w:rFonts w:ascii="Calibri" w:hAnsi="Calibri" w:cs="Calibri"/>
          <w:noProof/>
          <w:szCs w:val="24"/>
        </w:rPr>
        <w:t xml:space="preserve">Shlomi,T. </w:t>
      </w:r>
      <w:r w:rsidRPr="00BC4AAE">
        <w:rPr>
          <w:rFonts w:ascii="Calibri" w:hAnsi="Calibri" w:cs="Calibri"/>
          <w:i/>
          <w:iCs/>
          <w:noProof/>
          <w:szCs w:val="24"/>
        </w:rPr>
        <w:t>et al.</w:t>
      </w:r>
      <w:r w:rsidRPr="00BC4AAE">
        <w:rPr>
          <w:rFonts w:ascii="Calibri" w:hAnsi="Calibri" w:cs="Calibri"/>
          <w:noProof/>
          <w:szCs w:val="24"/>
        </w:rPr>
        <w:t xml:space="preserve"> (2005) Regulatory on/off minimization of metabolic flux changes after genetic perturbations. </w:t>
      </w:r>
      <w:r w:rsidRPr="00BC4AAE">
        <w:rPr>
          <w:rFonts w:ascii="Calibri" w:hAnsi="Calibri" w:cs="Calibri"/>
          <w:i/>
          <w:iCs/>
          <w:noProof/>
          <w:szCs w:val="24"/>
        </w:rPr>
        <w:t>Proc. Natl. Acad. Sci. U. S. A.</w:t>
      </w:r>
      <w:r w:rsidRPr="00BC4AAE">
        <w:rPr>
          <w:rFonts w:ascii="Calibri" w:hAnsi="Calibri" w:cs="Calibri"/>
          <w:noProof/>
          <w:szCs w:val="24"/>
        </w:rPr>
        <w:t xml:space="preserve">, </w:t>
      </w:r>
      <w:r w:rsidRPr="00BC4AAE">
        <w:rPr>
          <w:rFonts w:ascii="Calibri" w:hAnsi="Calibri" w:cs="Calibri"/>
          <w:b/>
          <w:bCs/>
          <w:noProof/>
          <w:szCs w:val="24"/>
        </w:rPr>
        <w:t>102</w:t>
      </w:r>
      <w:r w:rsidRPr="00BC4AAE">
        <w:rPr>
          <w:rFonts w:ascii="Calibri" w:hAnsi="Calibri" w:cs="Calibri"/>
          <w:noProof/>
          <w:szCs w:val="24"/>
        </w:rPr>
        <w:t>, 7695–7700.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0F1A84"/>
    <w:rsid w:val="0011302D"/>
    <w:rsid w:val="00131D6E"/>
    <w:rsid w:val="00154605"/>
    <w:rsid w:val="00163FFE"/>
    <w:rsid w:val="00180FD7"/>
    <w:rsid w:val="0019205D"/>
    <w:rsid w:val="001B05C1"/>
    <w:rsid w:val="001B06CA"/>
    <w:rsid w:val="001B1CE7"/>
    <w:rsid w:val="001F4670"/>
    <w:rsid w:val="001F654B"/>
    <w:rsid w:val="0021702B"/>
    <w:rsid w:val="002243FD"/>
    <w:rsid w:val="00231239"/>
    <w:rsid w:val="002323B5"/>
    <w:rsid w:val="00243D26"/>
    <w:rsid w:val="002871E9"/>
    <w:rsid w:val="00287767"/>
    <w:rsid w:val="00294B8E"/>
    <w:rsid w:val="002C3206"/>
    <w:rsid w:val="002D6A77"/>
    <w:rsid w:val="002E1FE2"/>
    <w:rsid w:val="003105EA"/>
    <w:rsid w:val="00335271"/>
    <w:rsid w:val="003459CD"/>
    <w:rsid w:val="003724C4"/>
    <w:rsid w:val="003A0DA9"/>
    <w:rsid w:val="003A1A3F"/>
    <w:rsid w:val="003B7092"/>
    <w:rsid w:val="003F32C8"/>
    <w:rsid w:val="00411F88"/>
    <w:rsid w:val="00435292"/>
    <w:rsid w:val="004652A0"/>
    <w:rsid w:val="004663BA"/>
    <w:rsid w:val="00497D65"/>
    <w:rsid w:val="004A1AFF"/>
    <w:rsid w:val="004B0A0A"/>
    <w:rsid w:val="004D0CD7"/>
    <w:rsid w:val="004E4E9E"/>
    <w:rsid w:val="004E6C4F"/>
    <w:rsid w:val="00512CF2"/>
    <w:rsid w:val="00526921"/>
    <w:rsid w:val="0053029F"/>
    <w:rsid w:val="00530462"/>
    <w:rsid w:val="00532D8C"/>
    <w:rsid w:val="00536D70"/>
    <w:rsid w:val="0056721E"/>
    <w:rsid w:val="005C66F4"/>
    <w:rsid w:val="00614D8E"/>
    <w:rsid w:val="0067338C"/>
    <w:rsid w:val="00697883"/>
    <w:rsid w:val="006E08CF"/>
    <w:rsid w:val="006E52D5"/>
    <w:rsid w:val="006F015A"/>
    <w:rsid w:val="00714DC3"/>
    <w:rsid w:val="007319FB"/>
    <w:rsid w:val="00735F98"/>
    <w:rsid w:val="00747E56"/>
    <w:rsid w:val="00755DB7"/>
    <w:rsid w:val="00781E06"/>
    <w:rsid w:val="00782711"/>
    <w:rsid w:val="007F4F16"/>
    <w:rsid w:val="00800773"/>
    <w:rsid w:val="00803173"/>
    <w:rsid w:val="00812F97"/>
    <w:rsid w:val="0084455F"/>
    <w:rsid w:val="008C2C76"/>
    <w:rsid w:val="008E0294"/>
    <w:rsid w:val="008F30EF"/>
    <w:rsid w:val="00912356"/>
    <w:rsid w:val="009452ED"/>
    <w:rsid w:val="0098043E"/>
    <w:rsid w:val="009A0465"/>
    <w:rsid w:val="009C06D0"/>
    <w:rsid w:val="009E446B"/>
    <w:rsid w:val="009F6C6D"/>
    <w:rsid w:val="00A00ED8"/>
    <w:rsid w:val="00A21444"/>
    <w:rsid w:val="00A436B6"/>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B43FB"/>
    <w:rsid w:val="00BC4AAE"/>
    <w:rsid w:val="00BD7311"/>
    <w:rsid w:val="00C15E75"/>
    <w:rsid w:val="00C332AB"/>
    <w:rsid w:val="00C479BE"/>
    <w:rsid w:val="00C5069D"/>
    <w:rsid w:val="00C57B4C"/>
    <w:rsid w:val="00C93DBF"/>
    <w:rsid w:val="00C9766E"/>
    <w:rsid w:val="00CA0F9F"/>
    <w:rsid w:val="00CA44DA"/>
    <w:rsid w:val="00CD35A7"/>
    <w:rsid w:val="00CD4FD2"/>
    <w:rsid w:val="00CF45DC"/>
    <w:rsid w:val="00D2633E"/>
    <w:rsid w:val="00D3474E"/>
    <w:rsid w:val="00D6316A"/>
    <w:rsid w:val="00D8624F"/>
    <w:rsid w:val="00DB3C4F"/>
    <w:rsid w:val="00E170FC"/>
    <w:rsid w:val="00E26D13"/>
    <w:rsid w:val="00E66B9E"/>
    <w:rsid w:val="00E90065"/>
    <w:rsid w:val="00EA19EE"/>
    <w:rsid w:val="00EB33C4"/>
    <w:rsid w:val="00EB49BF"/>
    <w:rsid w:val="00F34CD8"/>
    <w:rsid w:val="00F521F4"/>
    <w:rsid w:val="00F53AE5"/>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528B"/>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edant.gsf.de"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www.brenda-enzymes.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abio.villa-bosch.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omodels.net" TargetMode="External"/><Relationship Id="rId4" Type="http://schemas.openxmlformats.org/officeDocument/2006/relationships/settings" Target="settings.xml"/><Relationship Id="rId9" Type="http://schemas.openxmlformats.org/officeDocument/2006/relationships/hyperlink" Target="http://www.biocyc.org" TargetMode="External"/><Relationship Id="rId14" Type="http://schemas.openxmlformats.org/officeDocument/2006/relationships/hyperlink" Target="http://www.react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AD061-DADA-4081-A898-78541918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22661</TotalTime>
  <Pages>16</Pages>
  <Words>45542</Words>
  <Characters>259596</Characters>
  <Application>Microsoft Office Word</Application>
  <DocSecurity>0</DocSecurity>
  <Lines>2163</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51</cp:revision>
  <dcterms:created xsi:type="dcterms:W3CDTF">2017-01-12T19:09:00Z</dcterms:created>
  <dcterms:modified xsi:type="dcterms:W3CDTF">2017-02-14T21:05:00Z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