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C5E"/>
          <w:sz w:val="44"/>
          <w:szCs w:val="44"/>
        </w:rPr>
        <w:t xml:space="preserve">Meeting Notes</w:t>
      </w:r>
    </w:p>
    <w:p>
      <w:pPr>
        <w:spacing w:after="240" w:before="0"/>
      </w:pPr>
      <w:r>
        <w:rPr>
          <w:rFonts w:ascii="Arial" w:cs="Arial" w:eastAsia="Arial" w:hAnsi="Arial"/>
          <w:color w:val="555555"/>
          <w:sz w:val="26"/>
          <w:szCs w:val="26"/>
        </w:rPr>
        <w:t xml:space="preserve">MojoPay — Weekly Product Review: Platform Architecture, Nasika &amp; Gift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Week of 16 June 2026</w:t>
            </w:r>
          </w:p>
        </w:tc>
      </w:tr>
      <w:tr>
        <w:tc>
          <w:tcPr>
            <w:tcW w:type="dxa" w:w="2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sz w:val="20"/>
                <w:szCs w:val="20"/>
              </w:rPr>
              <w:t xml:space="preserve">Attendees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CEO · Deb (UX/Product) · Andrews · Esther</w:t>
            </w:r>
          </w:p>
        </w:tc>
      </w:tr>
      <w:tr>
        <w:tc>
          <w:tcPr>
            <w:tcW w:type="dxa" w:w="2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sz w:val="20"/>
                <w:szCs w:val="20"/>
              </w:rPr>
              <w:t xml:space="preserve">Topics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Platform architecture (Lego model) · Merchant onboarding platform · Password &amp; auth standards · Merchant console IA · Billing options · Nasika product review · Group savings / Susu models · Gift registry landing page · Fraud controls · FSEP · Next week plan</w:t>
            </w:r>
          </w:p>
        </w:tc>
      </w:tr>
    </w:tbl>
    <w:p>
      <w:pPr>
        <w:pBdr>
          <w:bottom w:val="single" w:color="CCCCCC" w:sz="4" w:space="1"/>
        </w:pBdr>
        <w:spacing w:after="160" w:before="160"/>
      </w:pPr>
    </w:p>
    <w:p>
      <w:pPr>
        <w:pBdr>
          <w:bottom w:val="single" w:color="1A3C5E" w:sz="8" w:space="1"/>
        </w:pBdr>
        <w:spacing w:after="200" w:before="200"/>
      </w:pPr>
    </w:p>
    <w:p>
      <w:pPr>
        <w:spacing w:after="80" w:before="0"/>
      </w:pPr>
      <w:r>
        <w:rPr>
          <w:rFonts w:ascii="Arial" w:cs="Arial" w:eastAsia="Arial" w:hAnsi="Arial"/>
          <w:b/>
          <w:bCs/>
          <w:color w:val="1A3C5E"/>
          <w:sz w:val="36"/>
          <w:szCs w:val="36"/>
        </w:rPr>
        <w:t xml:space="preserve">KEY FOCUS THEMES FOR DEB</w:t>
      </w:r>
    </w:p>
    <w:p>
      <w:pPr>
        <w:spacing w:after="200" w:before="0"/>
      </w:pPr>
      <w:r>
        <w:rPr>
          <w:rFonts w:ascii="Arial" w:cs="Arial" w:eastAsia="Arial" w:hAnsi="Arial"/>
          <w:color w:val="555555"/>
          <w:sz w:val="22"/>
          <w:szCs w:val="22"/>
        </w:rPr>
        <w:t xml:space="preserve">The six areas that emerged from this session as the most critical to focus on,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5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32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5E"/>
                <w:sz w:val="21"/>
                <w:szCs w:val="21"/>
              </w:rPr>
              <w:t xml:space="preserve">Platform Standards &amp; Auth Rules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Password policy, OTP rules, lockout behaviour, error messaging — not standardised across products. Every product currently does it differently. This is causing merchant lockouts and silent drop-offs. Must be unified and documented as a company-wide standard before more products are built on top.</w:t>
            </w:r>
          </w:p>
        </w:tc>
      </w:tr>
      <w:tr>
        <w:tc>
          <w:tcPr>
            <w:tcW w:type="dxa" w:w="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32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5E"/>
                <w:sz w:val="21"/>
                <w:szCs w:val="21"/>
              </w:rPr>
              <w:t xml:space="preserve">Merchant Onboarding Platform</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 product sign-ups (MojoLive, gift registry, vouchers, billing) must route through one central merchant onboarding platform. Deb has not yet seen it. This is the front door — if it is hard to use, merchants leave before they start. Critical to review, assess, and ensure all products redirect through it.</w:t>
            </w:r>
          </w:p>
        </w:tc>
      </w:tr>
      <w:tr>
        <w:tc>
          <w:tcPr>
            <w:tcW w:type="dxa" w:w="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32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5E"/>
                <w:sz w:val="21"/>
                <w:szCs w:val="21"/>
              </w:rPr>
              <w:t xml:space="preserve">Billing Capabilities Audit &amp; Merchant Console IA</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Merchants cannot be told clearly what billing options they have. Hierarchy billing, group billing, POS billing, email/WhatsApp billing, direct debit — all exist but are not mapped. The merchant console information architecture must be completed and shared with Gerard and Farouk for review.</w:t>
            </w:r>
          </w:p>
        </w:tc>
      </w:tr>
      <w:tr>
        <w:tc>
          <w:tcPr>
            <w:tcW w:type="dxa" w:w="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32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5E"/>
                <w:sz w:val="21"/>
                <w:szCs w:val="21"/>
              </w:rPr>
              <w:t xml:space="preserve">Nasika Product Review &amp; Partnership Decision</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CEO is evaluating acquiring or white-labelling Nasika (a digital financial services platform for SMEs/associations). Deb has completed a full review. A call with Ralph (Nasika founder) is happening Monday. Deb must be on that call, having reviewed the platform firsthand.</w:t>
            </w:r>
          </w:p>
        </w:tc>
      </w:tr>
      <w:tr>
        <w:tc>
          <w:tcPr>
            <w:tcW w:type="dxa" w:w="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32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5E"/>
                <w:sz w:val="21"/>
                <w:szCs w:val="21"/>
              </w:rPr>
              <w:t xml:space="preserve">Gift Registry Launch (Latex Home)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gift registry must go live with Latex Home next week. The landing page text is being finalised. The merchant onboarding redirect question is open. Fraud controls must be understood before the platform is opened beyond known reputable merchants.</w:t>
            </w:r>
          </w:p>
        </w:tc>
      </w:tr>
      <w:tr>
        <w:tc>
          <w:tcPr>
            <w:tcW w:type="dxa" w:w="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32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5E"/>
                <w:sz w:val="21"/>
                <w:szCs w:val="21"/>
              </w:rPr>
              <w:t xml:space="preserve">Tickets &amp; Events — User Stories for Tom</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Tom needs properly structured user stories (not a raw Excel) before he can produce useful designs. Deb to write the user stories for the tickets and events flow so Tom can begin the first feature design.</w:t>
            </w:r>
          </w:p>
        </w:tc>
      </w:tr>
    </w:tbl>
    <w:p>
      <w:pPr>
        <w:pBdr>
          <w:bottom w:val="single" w:color="1A3C5E" w:sz="8" w:space="1"/>
        </w:pBdr>
        <w:spacing w:after="200" w:before="200"/>
      </w:pPr>
    </w:p>
    <w:p>
      <w:pPr>
        <w:pStyle w:val="Heading1"/>
        <w:spacing w:after="120" w:before="320"/>
      </w:pPr>
      <w:r>
        <w:rPr>
          <w:rFonts w:ascii="Arial" w:cs="Arial" w:eastAsia="Arial" w:hAnsi="Arial"/>
          <w:b/>
          <w:bCs/>
          <w:color w:val="1A3C5E"/>
          <w:sz w:val="32"/>
          <w:szCs w:val="32"/>
        </w:rPr>
        <w:t xml:space="preserve">1. Platform Architecture — The Lego Model</w:t>
      </w:r>
    </w:p>
    <w:p>
      <w:pPr>
        <w:spacing w:after="60" w:before="60"/>
      </w:pPr>
      <w:r>
        <w:rPr>
          <w:rFonts w:ascii="Arial" w:cs="Arial" w:eastAsia="Arial" w:hAnsi="Arial"/>
          <w:sz w:val="22"/>
          <w:szCs w:val="22"/>
        </w:rPr>
        <w:t xml:space="preserve">The CEO articulated the platform architecture philosophy in detail. This is the foundational thinking for how all MojoPay products should be designed and connected.</w:t>
      </w:r>
    </w:p>
    <w:p>
      <w:pPr>
        <w:pStyle w:val="Heading2"/>
        <w:spacing w:after="80" w:before="240"/>
      </w:pPr>
      <w:r>
        <w:rPr>
          <w:rFonts w:ascii="Arial" w:cs="Arial" w:eastAsia="Arial" w:hAnsi="Arial"/>
          <w:b/>
          <w:bCs/>
          <w:color w:val="2E6BA8"/>
          <w:sz w:val="26"/>
          <w:szCs w:val="26"/>
        </w:rPr>
        <w:t xml:space="preserve">1.1  Three-Layer Model</w:t>
      </w:r>
    </w:p>
    <w:p>
      <w:pPr>
        <w:pStyle w:val="ListParagraph"/>
        <w:numPr>
          <w:ilvl w:val="0"/>
          <w:numId w:val="2"/>
        </w:numPr>
        <w:spacing w:after="40" w:before="40"/>
      </w:pPr>
      <w:r>
        <w:rPr>
          <w:rFonts w:ascii="Arial" w:cs="Arial" w:eastAsia="Arial" w:hAnsi="Arial"/>
          <w:sz w:val="22"/>
          <w:szCs w:val="22"/>
        </w:rPr>
        <w:t xml:space="preserve">Layer 1 — Payment rails / channels: the payment mechanisms available across the platform. Momo, AirtelTigo, Telecel, Visa, Mastercard, and others</w:t>
      </w:r>
    </w:p>
    <w:p>
      <w:pPr>
        <w:pStyle w:val="ListParagraph"/>
        <w:numPr>
          <w:ilvl w:val="0"/>
          <w:numId w:val="2"/>
        </w:numPr>
        <w:spacing w:after="40" w:before="40"/>
      </w:pPr>
      <w:r>
        <w:rPr>
          <w:rFonts w:ascii="Arial" w:cs="Arial" w:eastAsia="Arial" w:hAnsi="Arial"/>
          <w:sz w:val="22"/>
          <w:szCs w:val="22"/>
        </w:rPr>
        <w:t xml:space="preserve">Layer 2 — Communication channels: how users interact with the platform. App, website, USSD, WhatsApp, Telegram, chatbot, API. Each is a communication channel, not a product</w:t>
      </w:r>
    </w:p>
    <w:p>
      <w:pPr>
        <w:pStyle w:val="ListParagraph"/>
        <w:numPr>
          <w:ilvl w:val="0"/>
          <w:numId w:val="2"/>
        </w:numPr>
        <w:spacing w:after="40" w:before="40"/>
      </w:pPr>
      <w:r>
        <w:rPr>
          <w:rFonts w:ascii="Arial" w:cs="Arial" w:eastAsia="Arial" w:hAnsi="Arial"/>
          <w:sz w:val="22"/>
          <w:szCs w:val="22"/>
        </w:rPr>
        <w:t xml:space="preserve">Layer 3 — Products and their components: a product (e.g. Billing) is made up of reusable components (e.g. POS, email billing, WhatsApp billing, payment link, direct debit). A product is assembled from components, not built from scratch each time</w:t>
      </w:r>
    </w:p>
    <w:p>
      <w:pPr>
        <w:pStyle w:val="Heading2"/>
        <w:spacing w:after="80" w:before="240"/>
      </w:pPr>
      <w:r>
        <w:rPr>
          <w:rFonts w:ascii="Arial" w:cs="Arial" w:eastAsia="Arial" w:hAnsi="Arial"/>
          <w:b/>
          <w:bCs/>
          <w:color w:val="2E6BA8"/>
          <w:sz w:val="26"/>
          <w:szCs w:val="26"/>
        </w:rPr>
        <w:t xml:space="preserve">1.2  The Lego Principle</w:t>
      </w:r>
    </w:p>
    <w:p>
      <w:pPr>
        <w:pStyle w:val="ListParagraph"/>
        <w:numPr>
          <w:ilvl w:val="0"/>
          <w:numId w:val="2"/>
        </w:numPr>
        <w:spacing w:after="40" w:before="40"/>
      </w:pPr>
      <w:r>
        <w:rPr>
          <w:rFonts w:ascii="Arial" w:cs="Arial" w:eastAsia="Arial" w:hAnsi="Arial"/>
          <w:sz w:val="22"/>
          <w:szCs w:val="22"/>
        </w:rPr>
        <w:t xml:space="preserve">The goal: build once, reuse everywhere. Components like sign-up, checkout, OTP, and billing should be built as shared building blocks that every product plugs into</w:t>
      </w:r>
    </w:p>
    <w:p>
      <w:pPr>
        <w:pStyle w:val="ListParagraph"/>
        <w:numPr>
          <w:ilvl w:val="0"/>
          <w:numId w:val="2"/>
        </w:numPr>
        <w:spacing w:after="40" w:before="40"/>
      </w:pPr>
      <w:r>
        <w:rPr>
          <w:rFonts w:ascii="Arial" w:cs="Arial" w:eastAsia="Arial" w:hAnsi="Arial"/>
          <w:sz w:val="22"/>
          <w:szCs w:val="22"/>
        </w:rPr>
        <w:t xml:space="preserve">Example: Donations, Gift Registry, and Billing all need merchant sign-up, consumer sign-up, and checkout. These should be the same shared component — not rebuilt three times</w:t>
      </w:r>
    </w:p>
    <w:p>
      <w:pPr>
        <w:pStyle w:val="ListParagraph"/>
        <w:numPr>
          <w:ilvl w:val="0"/>
          <w:numId w:val="2"/>
        </w:numPr>
        <w:spacing w:after="40" w:before="40"/>
      </w:pPr>
      <w:r>
        <w:rPr>
          <w:rFonts w:ascii="Arial" w:cs="Arial" w:eastAsia="Arial" w:hAnsi="Arial"/>
          <w:sz w:val="22"/>
          <w:szCs w:val="22"/>
        </w:rPr>
        <w:t xml:space="preserve">Every product = payment rail(s) + communication channel(s) + reusable components, bundled into a service</w:t>
      </w:r>
    </w:p>
    <w:p>
      <w:pPr>
        <w:pStyle w:val="ListParagraph"/>
        <w:numPr>
          <w:ilvl w:val="0"/>
          <w:numId w:val="2"/>
        </w:numPr>
        <w:spacing w:after="40" w:before="40"/>
      </w:pPr>
      <w:r>
        <w:rPr>
          <w:rFonts w:ascii="Arial" w:cs="Arial" w:eastAsia="Arial" w:hAnsi="Arial"/>
          <w:sz w:val="22"/>
          <w:szCs w:val="22"/>
        </w:rPr>
        <w:t xml:space="preserve">CEO: “We do it this way already — but we’re not being deliberate about it. We need to map it properly so we stop rebuilding things.”</w:t>
      </w:r>
    </w:p>
    <w:p>
      <w:pPr>
        <w:pStyle w:val="Heading2"/>
        <w:spacing w:after="80" w:before="240"/>
      </w:pPr>
      <w:r>
        <w:rPr>
          <w:rFonts w:ascii="Arial" w:cs="Arial" w:eastAsia="Arial" w:hAnsi="Arial"/>
          <w:b/>
          <w:bCs/>
          <w:color w:val="2E6BA8"/>
          <w:sz w:val="26"/>
          <w:szCs w:val="26"/>
        </w:rPr>
        <w:t xml:space="preserve">1.3  What Needs to Be Mapped</w:t>
      </w:r>
    </w:p>
    <w:p>
      <w:pPr>
        <w:pStyle w:val="ListParagraph"/>
        <w:numPr>
          <w:ilvl w:val="0"/>
          <w:numId w:val="2"/>
        </w:numPr>
        <w:spacing w:after="40" w:before="40"/>
      </w:pPr>
      <w:r>
        <w:rPr>
          <w:rFonts w:ascii="Arial" w:cs="Arial" w:eastAsia="Arial" w:hAnsi="Arial"/>
          <w:sz w:val="22"/>
          <w:szCs w:val="22"/>
        </w:rPr>
        <w:t xml:space="preserve">Identify every component (sign-up, checkout, OTP, password reset, KYC upload, campaign creation, link generation, recurring payments, etc.)</w:t>
      </w:r>
    </w:p>
    <w:p>
      <w:pPr>
        <w:pStyle w:val="ListParagraph"/>
        <w:numPr>
          <w:ilvl w:val="0"/>
          <w:numId w:val="2"/>
        </w:numPr>
        <w:spacing w:after="40" w:before="40"/>
      </w:pPr>
      <w:r>
        <w:rPr>
          <w:rFonts w:ascii="Arial" w:cs="Arial" w:eastAsia="Arial" w:hAnsi="Arial"/>
          <w:sz w:val="22"/>
          <w:szCs w:val="22"/>
        </w:rPr>
        <w:t xml:space="preserve">Identify which products use which components</w:t>
      </w:r>
    </w:p>
    <w:p>
      <w:pPr>
        <w:pStyle w:val="ListParagraph"/>
        <w:numPr>
          <w:ilvl w:val="0"/>
          <w:numId w:val="2"/>
        </w:numPr>
        <w:spacing w:after="40" w:before="40"/>
      </w:pPr>
      <w:r>
        <w:rPr>
          <w:rFonts w:ascii="Arial" w:cs="Arial" w:eastAsia="Arial" w:hAnsi="Arial"/>
          <w:sz w:val="22"/>
          <w:szCs w:val="22"/>
        </w:rPr>
        <w:t xml:space="preserve">For each product, identify which payment channels and communication channels it currently supports — and which it should support in future (e.g. is Vouchers ready on USSD? On WhatsApp? As an API?)</w:t>
      </w:r>
    </w:p>
    <w:p>
      <w:pPr>
        <w:pStyle w:val="ListParagraph"/>
        <w:numPr>
          <w:ilvl w:val="0"/>
          <w:numId w:val="2"/>
        </w:numPr>
        <w:spacing w:after="40" w:before="40"/>
      </w:pPr>
      <w:r>
        <w:rPr>
          <w:rFonts w:ascii="Arial" w:cs="Arial" w:eastAsia="Arial" w:hAnsi="Arial"/>
          <w:sz w:val="22"/>
          <w:szCs w:val="22"/>
        </w:rPr>
        <w:t xml:space="preserve">This mapping is what allows the team to say: “Take the voucher component, configure it for UBA, put it on their POS, and give it to them via API”</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2. Platform Standards — Password, Auth &amp; Error Messaging</w:t>
      </w:r>
    </w:p>
    <w:p>
      <w:pPr>
        <w:spacing w:after="60" w:before="60"/>
      </w:pPr>
      <w:r>
        <w:rPr>
          <w:rFonts w:ascii="Arial" w:cs="Arial" w:eastAsia="Arial" w:hAnsi="Arial"/>
          <w:sz w:val="22"/>
          <w:szCs w:val="22"/>
        </w:rPr>
        <w:t xml:space="preserve">A major concern raised by the CEO: there are no shared standards across MojoPay products for authentication, password policy, lockout behaviour, or error messaging. Every product is currently doing it differently.</w:t>
      </w:r>
    </w:p>
    <w:p>
      <w:pPr>
        <w:pStyle w:val="Heading2"/>
        <w:spacing w:after="80" w:before="240"/>
      </w:pPr>
      <w:r>
        <w:rPr>
          <w:rFonts w:ascii="Arial" w:cs="Arial" w:eastAsia="Arial" w:hAnsi="Arial"/>
          <w:b/>
          <w:bCs/>
          <w:color w:val="2E6BA8"/>
          <w:sz w:val="26"/>
          <w:szCs w:val="26"/>
        </w:rPr>
        <w:t xml:space="preserve">2.1  The Problem</w:t>
      </w:r>
    </w:p>
    <w:p>
      <w:pPr>
        <w:pStyle w:val="ListParagraph"/>
        <w:numPr>
          <w:ilvl w:val="0"/>
          <w:numId w:val="2"/>
        </w:numPr>
        <w:spacing w:after="40" w:before="40"/>
      </w:pPr>
      <w:r>
        <w:rPr>
          <w:rFonts w:ascii="Arial" w:cs="Arial" w:eastAsia="Arial" w:hAnsi="Arial"/>
          <w:sz w:val="22"/>
          <w:szCs w:val="22"/>
        </w:rPr>
        <w:t xml:space="preserve">A real incident was cited: a merchant could not log in. After investigation, it emerged the account had been locked out after 10 failed attempts — but the platform showed nothing to the user. The user called the team, who called Kalim, who investigated the logs. This is a terrible experience</w:t>
      </w:r>
    </w:p>
    <w:p>
      <w:pPr>
        <w:pStyle w:val="ListParagraph"/>
        <w:numPr>
          <w:ilvl w:val="0"/>
          <w:numId w:val="2"/>
        </w:numPr>
        <w:spacing w:after="40" w:before="40"/>
      </w:pPr>
      <w:r>
        <w:rPr>
          <w:rFonts w:ascii="Arial" w:cs="Arial" w:eastAsia="Arial" w:hAnsi="Arial"/>
          <w:sz w:val="22"/>
          <w:szCs w:val="22"/>
        </w:rPr>
        <w:t xml:space="preserve">The merchant who complained eventually got help. But another merchant in the same situation would have simply walked away — and that merchant is lost</w:t>
      </w:r>
    </w:p>
    <w:p>
      <w:pPr>
        <w:pStyle w:val="ListParagraph"/>
        <w:numPr>
          <w:ilvl w:val="0"/>
          <w:numId w:val="2"/>
        </w:numPr>
        <w:spacing w:after="40" w:before="40"/>
      </w:pPr>
      <w:r>
        <w:rPr>
          <w:rFonts w:ascii="Arial" w:cs="Arial" w:eastAsia="Arial" w:hAnsi="Arial"/>
          <w:sz w:val="22"/>
          <w:szCs w:val="22"/>
        </w:rPr>
        <w:t xml:space="preserve">Different products have different password requirements: one requires 6 characters, another 10, another 12 plus a special character. A user moving between products faces inconsistent rules</w:t>
      </w:r>
    </w:p>
    <w:p>
      <w:pPr>
        <w:pStyle w:val="Heading2"/>
        <w:spacing w:after="80" w:before="240"/>
      </w:pPr>
      <w:r>
        <w:rPr>
          <w:rFonts w:ascii="Arial" w:cs="Arial" w:eastAsia="Arial" w:hAnsi="Arial"/>
          <w:b/>
          <w:bCs/>
          <w:color w:val="2E6BA8"/>
          <w:sz w:val="26"/>
          <w:szCs w:val="26"/>
        </w:rPr>
        <w:t xml:space="preserve">2.2  Standards That Must Be Defined</w:t>
      </w:r>
    </w:p>
    <w:p>
      <w:pPr>
        <w:pStyle w:val="ListParagraph"/>
        <w:numPr>
          <w:ilvl w:val="0"/>
          <w:numId w:val="2"/>
        </w:numPr>
        <w:spacing w:after="40" w:before="40"/>
      </w:pPr>
      <w:r>
        <w:rPr>
          <w:rFonts w:ascii="Arial" w:cs="Arial" w:eastAsia="Arial" w:hAnsi="Arial"/>
          <w:sz w:val="22"/>
          <w:szCs w:val="22"/>
        </w:rPr>
        <w:t xml:space="preserve">Password policy: minimum length, character requirements, expiry rules — one standard across all products</w:t>
      </w:r>
    </w:p>
    <w:p>
      <w:pPr>
        <w:pStyle w:val="ListParagraph"/>
        <w:numPr>
          <w:ilvl w:val="0"/>
          <w:numId w:val="2"/>
        </w:numPr>
        <w:spacing w:after="40" w:before="40"/>
      </w:pPr>
      <w:r>
        <w:rPr>
          <w:rFonts w:ascii="Arial" w:cs="Arial" w:eastAsia="Arial" w:hAnsi="Arial"/>
          <w:sz w:val="22"/>
          <w:szCs w:val="22"/>
        </w:rPr>
        <w:t xml:space="preserve">Account lockout: after how many failed attempts? What happens? What does the user see? What is the self-service unlock process?</w:t>
      </w:r>
    </w:p>
    <w:p>
      <w:pPr>
        <w:pStyle w:val="ListParagraph"/>
        <w:numPr>
          <w:ilvl w:val="0"/>
          <w:numId w:val="2"/>
        </w:numPr>
        <w:spacing w:after="40" w:before="40"/>
      </w:pPr>
      <w:r>
        <w:rPr>
          <w:rFonts w:ascii="Arial" w:cs="Arial" w:eastAsia="Arial" w:hAnsi="Arial"/>
          <w:sz w:val="22"/>
          <w:szCs w:val="22"/>
        </w:rPr>
        <w:t xml:space="preserve">Error messages: must be clear, actionable, and visible on the screen — never a silent failure</w:t>
      </w:r>
    </w:p>
    <w:p>
      <w:pPr>
        <w:pStyle w:val="ListParagraph"/>
        <w:numPr>
          <w:ilvl w:val="0"/>
          <w:numId w:val="2"/>
        </w:numPr>
        <w:spacing w:after="40" w:before="40"/>
      </w:pPr>
      <w:r>
        <w:rPr>
          <w:rFonts w:ascii="Arial" w:cs="Arial" w:eastAsia="Arial" w:hAnsi="Arial"/>
          <w:sz w:val="22"/>
          <w:szCs w:val="22"/>
        </w:rPr>
        <w:t xml:space="preserve">Password reset: how does it work? SMS link? Email link? OTP? One standard process</w:t>
      </w:r>
    </w:p>
    <w:p>
      <w:pPr>
        <w:pStyle w:val="ListParagraph"/>
        <w:numPr>
          <w:ilvl w:val="0"/>
          <w:numId w:val="2"/>
        </w:numPr>
        <w:spacing w:after="40" w:before="40"/>
      </w:pPr>
      <w:r>
        <w:rPr>
          <w:rFonts w:ascii="Arial" w:cs="Arial" w:eastAsia="Arial" w:hAnsi="Arial"/>
          <w:sz w:val="22"/>
          <w:szCs w:val="22"/>
        </w:rPr>
        <w:t xml:space="preserve">OTP policy: when is OTP required? When is it not? The rule proposed: larger, integrated merchants (e.g. Unity Link with a full API integration) require OTP. Small merchants (e.g. Northridge Cafe using a basic invoice link) should not be forced through OTP every login — they will leave</w:t>
      </w:r>
    </w:p>
    <w:p>
      <w:pPr>
        <w:pStyle w:val="ListParagraph"/>
        <w:numPr>
          <w:ilvl w:val="0"/>
          <w:numId w:val="2"/>
        </w:numPr>
        <w:spacing w:after="40" w:before="40"/>
      </w:pPr>
      <w:r>
        <w:rPr>
          <w:rFonts w:ascii="Arial" w:cs="Arial" w:eastAsia="Arial" w:hAnsi="Arial"/>
          <w:sz w:val="22"/>
          <w:szCs w:val="22"/>
        </w:rPr>
        <w:t xml:space="preserve">Biometrics: flagged as a future direction — worth exploring how to integrate fingerprint or face ID for merchant login. Not for now, but architecture should allow for it</w:t>
      </w:r>
    </w:p>
    <w:p>
      <w:pPr>
        <w:pStyle w:val="ListParagraph"/>
        <w:numPr>
          <w:ilvl w:val="0"/>
          <w:numId w:val="2"/>
        </w:numPr>
        <w:spacing w:after="40" w:before="40"/>
      </w:pPr>
      <w:r>
        <w:rPr>
          <w:rFonts w:ascii="Arial" w:cs="Arial" w:eastAsia="Arial" w:hAnsi="Arial"/>
          <w:sz w:val="22"/>
          <w:szCs w:val="22"/>
        </w:rPr>
        <w:t xml:space="preserve">The CEO’s standard: these rules must be decided, documented, and applied uniformly. Not product by product</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3. Merchant Onboarding Platform</w:t>
      </w:r>
    </w:p>
    <w:p>
      <w:pPr>
        <w:spacing w:after="60" w:before="60"/>
      </w:pPr>
      <w:r>
        <w:rPr>
          <w:rFonts w:ascii="Arial" w:cs="Arial" w:eastAsia="Arial" w:hAnsi="Arial"/>
          <w:sz w:val="22"/>
          <w:szCs w:val="22"/>
        </w:rPr>
        <w:t xml:space="preserve">The CEO confirmed that a dedicated merchant onboarding platform already exists. Deb has not yet seen it. This is a priority to review.</w:t>
      </w:r>
    </w:p>
    <w:p>
      <w:pPr>
        <w:pStyle w:val="ListParagraph"/>
        <w:numPr>
          <w:ilvl w:val="0"/>
          <w:numId w:val="2"/>
        </w:numPr>
        <w:spacing w:after="40" w:before="40"/>
      </w:pPr>
      <w:r>
        <w:rPr>
          <w:rFonts w:ascii="Arial" w:cs="Arial" w:eastAsia="Arial" w:hAnsi="Arial"/>
          <w:sz w:val="22"/>
          <w:szCs w:val="22"/>
        </w:rPr>
        <w:t xml:space="preserve">The platform is designed for self-service merchant onboarding: merchants come in, create a password, upload their documents (Ghana card, company certificate, passport, any required KYC material), and wait for approval</w:t>
      </w:r>
    </w:p>
    <w:p>
      <w:pPr>
        <w:pStyle w:val="ListParagraph"/>
        <w:numPr>
          <w:ilvl w:val="0"/>
          <w:numId w:val="2"/>
        </w:numPr>
        <w:spacing w:after="40" w:before="40"/>
      </w:pPr>
      <w:r>
        <w:rPr>
          <w:rFonts w:ascii="Arial" w:cs="Arial" w:eastAsia="Arial" w:hAnsi="Arial"/>
          <w:sz w:val="22"/>
          <w:szCs w:val="22"/>
        </w:rPr>
        <w:t xml:space="preserve">Once approved, the merchant gets access to: full API documentation, FAQs, integration guides, and their transaction history</w:t>
      </w:r>
    </w:p>
    <w:p>
      <w:pPr>
        <w:pStyle w:val="ListParagraph"/>
        <w:numPr>
          <w:ilvl w:val="0"/>
          <w:numId w:val="2"/>
        </w:numPr>
        <w:spacing w:after="40" w:before="40"/>
      </w:pPr>
      <w:r>
        <w:rPr>
          <w:rFonts w:ascii="Arial" w:cs="Arial" w:eastAsia="Arial" w:hAnsi="Arial"/>
          <w:sz w:val="22"/>
          <w:szCs w:val="22"/>
        </w:rPr>
        <w:t xml:space="preserve">Future vision: embed AI support so merchants can get help navigating the platform and documentation without human intervention</w:t>
      </w:r>
    </w:p>
    <w:p>
      <w:pPr>
        <w:pStyle w:val="ListParagraph"/>
        <w:numPr>
          <w:ilvl w:val="0"/>
          <w:numId w:val="2"/>
        </w:numPr>
        <w:spacing w:after="40" w:before="40"/>
      </w:pPr>
      <w:r>
        <w:rPr>
          <w:rFonts w:ascii="Arial" w:cs="Arial" w:eastAsia="Arial" w:hAnsi="Arial"/>
          <w:sz w:val="22"/>
          <w:szCs w:val="22"/>
        </w:rPr>
        <w:t xml:space="preserve">This platform is intended to be the primary interface for large, sophisticated merchants — banks, insurance companies, remittance companies, enterprise clients</w:t>
      </w:r>
    </w:p>
    <w:p>
      <w:pPr>
        <w:pStyle w:val="ListParagraph"/>
        <w:numPr>
          <w:ilvl w:val="0"/>
          <w:numId w:val="2"/>
        </w:numPr>
        <w:spacing w:after="40" w:before="40"/>
      </w:pPr>
      <w:r>
        <w:rPr>
          <w:rFonts w:ascii="Arial" w:cs="Arial" w:eastAsia="Arial" w:hAnsi="Arial"/>
          <w:sz w:val="22"/>
          <w:szCs w:val="22"/>
        </w:rPr>
        <w:t xml:space="preserve">It must also handle small merchants: when a small merchant (e.g. Northridge Cafe) signs up, the system should detect their scale and route them through a lightweight track — only Ghana card and address required — then bring them back to MojoLive or whichever product they came from</w:t>
      </w:r>
    </w:p>
    <w:p>
      <w:pPr>
        <w:pStyle w:val="ListParagraph"/>
        <w:numPr>
          <w:ilvl w:val="0"/>
          <w:numId w:val="2"/>
        </w:numPr>
        <w:spacing w:after="40" w:before="40"/>
      </w:pPr>
      <w:r>
        <w:rPr>
          <w:rFonts w:ascii="Arial" w:cs="Arial" w:eastAsia="Arial" w:hAnsi="Arial"/>
          <w:sz w:val="22"/>
          <w:szCs w:val="22"/>
        </w:rPr>
        <w:t xml:space="preserve">Critical design requirement: every product (MojoLive, gift registry, vouchers, billing) should redirect to this central onboarding platform for sign-up. Once onboarded, the merchant is brought back to the specific product they wanted. No separate sign-up per product</w:t>
      </w:r>
    </w:p>
    <w:p>
      <w:pPr>
        <w:pStyle w:val="ListParagraph"/>
        <w:numPr>
          <w:ilvl w:val="0"/>
          <w:numId w:val="2"/>
        </w:numPr>
        <w:spacing w:after="40" w:before="40"/>
      </w:pPr>
      <w:r>
        <w:rPr>
          <w:rFonts w:ascii="Arial" w:cs="Arial" w:eastAsia="Arial" w:hAnsi="Arial"/>
          <w:sz w:val="22"/>
          <w:szCs w:val="22"/>
        </w:rPr>
        <w:t xml:space="preserve">CEO analogy: “If I’ve come knocking and your door won’t open, I’ll walk away. And once I’ve integrated with a competitor, why would I come back to you?”</w:t>
      </w:r>
    </w:p>
    <w:p>
      <w:pPr>
        <w:pStyle w:val="ListParagraph"/>
        <w:numPr>
          <w:ilvl w:val="0"/>
          <w:numId w:val="2"/>
        </w:numPr>
        <w:spacing w:after="40" w:before="40"/>
      </w:pPr>
      <w:r>
        <w:rPr>
          <w:rFonts w:ascii="Arial" w:cs="Arial" w:eastAsia="Arial" w:hAnsi="Arial"/>
          <w:sz w:val="22"/>
          <w:szCs w:val="22"/>
        </w:rPr>
        <w:t xml:space="preserve">Esther confirmed she has asked Charles Akins to review the platform and has started looking at it</w:t>
      </w:r>
    </w:p>
    <w:p>
      <w:pPr>
        <w:pStyle w:val="ListParagraph"/>
        <w:numPr>
          <w:ilvl w:val="0"/>
          <w:numId w:val="2"/>
        </w:numPr>
        <w:spacing w:after="40" w:before="40"/>
      </w:pPr>
      <w:r>
        <w:rPr>
          <w:rFonts w:ascii="Arial" w:cs="Arial" w:eastAsia="Arial" w:hAnsi="Arial"/>
          <w:sz w:val="22"/>
          <w:szCs w:val="22"/>
        </w:rPr>
        <w:t xml:space="preserve">Action: Deb to ask Cromwell / Kalim for access and go through the merchant onboarding platform independently this week</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4. Merchant Console — Information Architecture</w:t>
      </w:r>
    </w:p>
    <w:p>
      <w:pPr>
        <w:spacing w:after="60" w:before="60"/>
      </w:pPr>
      <w:r>
        <w:rPr>
          <w:rFonts w:ascii="Arial" w:cs="Arial" w:eastAsia="Arial" w:hAnsi="Arial"/>
          <w:sz w:val="22"/>
          <w:szCs w:val="22"/>
        </w:rPr>
        <w:t xml:space="preserve">Deb shared an early draft of the MojoLive merchant console information architecture. The CEO reviewed and provided direction.</w:t>
      </w:r>
    </w:p>
    <w:p>
      <w:pPr>
        <w:pStyle w:val="ListParagraph"/>
        <w:numPr>
          <w:ilvl w:val="0"/>
          <w:numId w:val="2"/>
        </w:numPr>
        <w:spacing w:after="40" w:before="40"/>
      </w:pPr>
      <w:r>
        <w:rPr>
          <w:rFonts w:ascii="Arial" w:cs="Arial" w:eastAsia="Arial" w:hAnsi="Arial"/>
          <w:sz w:val="22"/>
          <w:szCs w:val="22"/>
        </w:rPr>
        <w:t xml:space="preserve">The draft covers: Events · Billing · Payout · Settings · Verification / KYC · Help</w:t>
      </w:r>
    </w:p>
    <w:p>
      <w:pPr>
        <w:pStyle w:val="ListParagraph"/>
        <w:numPr>
          <w:ilvl w:val="0"/>
          <w:numId w:val="2"/>
        </w:numPr>
        <w:spacing w:after="40" w:before="40"/>
      </w:pPr>
      <w:r>
        <w:rPr>
          <w:rFonts w:ascii="Arial" w:cs="Arial" w:eastAsia="Arial" w:hAnsi="Arial"/>
          <w:sz w:val="22"/>
          <w:szCs w:val="22"/>
        </w:rPr>
        <w:t xml:space="preserve">CEO’s feedback: the structure is directionally right but Billing needs more detail. Within billing, the sub-options (email billing, WhatsApp billing, POS, direct debit, payment link) must be clearly distinguished</w:t>
      </w:r>
    </w:p>
    <w:p>
      <w:pPr>
        <w:pStyle w:val="ListParagraph"/>
        <w:numPr>
          <w:ilvl w:val="0"/>
          <w:numId w:val="2"/>
        </w:numPr>
        <w:spacing w:after="40" w:before="40"/>
      </w:pPr>
      <w:r>
        <w:rPr>
          <w:rFonts w:ascii="Arial" w:cs="Arial" w:eastAsia="Arial" w:hAnsi="Arial"/>
          <w:sz w:val="22"/>
          <w:szCs w:val="22"/>
        </w:rPr>
        <w:t xml:space="preserve">GIS (Ghana International School) billing use case was walked through as a real example. The school was offered three billing options: (1) an open payment link anyone can use but requiring manual reconciliation, (2) integration with their school management system for automatic per-parent billing, or (3) a spreadsheet upload that bills all parents simultaneously</w:t>
      </w:r>
    </w:p>
    <w:p>
      <w:pPr>
        <w:pStyle w:val="ListParagraph"/>
        <w:numPr>
          <w:ilvl w:val="0"/>
          <w:numId w:val="2"/>
        </w:numPr>
        <w:spacing w:after="40" w:before="40"/>
      </w:pPr>
      <w:r>
        <w:rPr>
          <w:rFonts w:ascii="Arial" w:cs="Arial" w:eastAsia="Arial" w:hAnsi="Arial"/>
          <w:sz w:val="22"/>
          <w:szCs w:val="22"/>
        </w:rPr>
        <w:t xml:space="preserve">This real use case illustrates why billing must be presented as multiple distinct options with different capabilities — not one generic billing product</w:t>
      </w:r>
    </w:p>
    <w:p>
      <w:pPr>
        <w:pStyle w:val="ListParagraph"/>
        <w:numPr>
          <w:ilvl w:val="0"/>
          <w:numId w:val="2"/>
        </w:numPr>
        <w:spacing w:after="40" w:before="40"/>
      </w:pPr>
      <w:r>
        <w:rPr>
          <w:rFonts w:ascii="Arial" w:cs="Arial" w:eastAsia="Arial" w:hAnsi="Arial"/>
          <w:sz w:val="22"/>
          <w:szCs w:val="22"/>
        </w:rPr>
        <w:t xml:space="preserve">Mojo Bills group billing capability was discussed: a merchant should be able to bill 100 people in one go, or bill only one specific person, or create one bill and send it to a named list of five people. These are all distinct capabilities that must be surfaced</w:t>
      </w:r>
    </w:p>
    <w:p>
      <w:pPr>
        <w:pStyle w:val="ListParagraph"/>
        <w:numPr>
          <w:ilvl w:val="0"/>
          <w:numId w:val="2"/>
        </w:numPr>
        <w:spacing w:after="40" w:before="40"/>
      </w:pPr>
      <w:r>
        <w:rPr>
          <w:rFonts w:ascii="Arial" w:cs="Arial" w:eastAsia="Arial" w:hAnsi="Arial"/>
          <w:sz w:val="22"/>
          <w:szCs w:val="22"/>
        </w:rPr>
        <w:t xml:space="preserve">Decision: a merchant who has already onboarded to MojoLive should NOT need to go and sign up again for Mojo Bills to access group billing. If they are on MojoLive, they should already have access to all billing capabilities from one place</w:t>
      </w:r>
    </w:p>
    <w:p>
      <w:pPr>
        <w:pStyle w:val="ListParagraph"/>
        <w:numPr>
          <w:ilvl w:val="0"/>
          <w:numId w:val="2"/>
        </w:numPr>
        <w:spacing w:after="40" w:before="40"/>
      </w:pPr>
      <w:r>
        <w:rPr>
          <w:rFonts w:ascii="Arial" w:cs="Arial" w:eastAsia="Arial" w:hAnsi="Arial"/>
          <w:sz w:val="22"/>
          <w:szCs w:val="22"/>
        </w:rPr>
        <w:t xml:space="preserve">CEO: “I have noted this down hard. Let’s work on the billing more after the meeting with Gerard and Farouk.”</w:t>
      </w:r>
    </w:p>
    <w:p>
      <w:pPr>
        <w:pStyle w:val="ListParagraph"/>
        <w:numPr>
          <w:ilvl w:val="0"/>
          <w:numId w:val="2"/>
        </w:numPr>
        <w:spacing w:after="40" w:before="40"/>
      </w:pPr>
      <w:r>
        <w:rPr>
          <w:rFonts w:ascii="Arial" w:cs="Arial" w:eastAsia="Arial" w:hAnsi="Arial"/>
          <w:sz w:val="22"/>
          <w:szCs w:val="22"/>
        </w:rPr>
        <w:t xml:space="preserve">The user journey for the merchant console covers: Discover → Onboard → Create → Manage → Get Paid</w:t>
      </w:r>
    </w:p>
    <w:p>
      <w:pPr>
        <w:pStyle w:val="ListParagraph"/>
        <w:numPr>
          <w:ilvl w:val="0"/>
          <w:numId w:val="2"/>
        </w:numPr>
        <w:spacing w:after="40" w:before="40"/>
      </w:pPr>
      <w:r>
        <w:rPr>
          <w:rFonts w:ascii="Arial" w:cs="Arial" w:eastAsia="Arial" w:hAnsi="Arial"/>
          <w:sz w:val="22"/>
          <w:szCs w:val="22"/>
        </w:rPr>
        <w:t xml:space="preserve">Sign-up options must be confirmed and standardised: email or phone number? What happens at each step? These must be locked down before UI is designed</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5. Nasika 360 — Product Review</w:t>
      </w:r>
    </w:p>
    <w:p>
      <w:pPr>
        <w:spacing w:after="60" w:before="60"/>
      </w:pPr>
      <w:r>
        <w:rPr>
          <w:rFonts w:ascii="Arial" w:cs="Arial" w:eastAsia="Arial" w:hAnsi="Arial"/>
          <w:sz w:val="22"/>
          <w:szCs w:val="22"/>
        </w:rPr>
        <w:t xml:space="preserve">Deb presented her full review of Nasika, a digital financial services platform targeting SMEs and informal savings associations. The CEO is evaluating whether to acquire or white-label the platform.</w:t>
      </w:r>
    </w:p>
    <w:p>
      <w:pPr>
        <w:pStyle w:val="Heading2"/>
        <w:spacing w:after="80" w:before="240"/>
      </w:pPr>
      <w:r>
        <w:rPr>
          <w:rFonts w:ascii="Arial" w:cs="Arial" w:eastAsia="Arial" w:hAnsi="Arial"/>
          <w:b/>
          <w:bCs/>
          <w:color w:val="2E6BA8"/>
          <w:sz w:val="26"/>
          <w:szCs w:val="26"/>
        </w:rPr>
        <w:t xml:space="preserve">5.1  What Nasika Is</w:t>
      </w:r>
    </w:p>
    <w:p>
      <w:pPr>
        <w:pStyle w:val="ListParagraph"/>
        <w:numPr>
          <w:ilvl w:val="0"/>
          <w:numId w:val="2"/>
        </w:numPr>
        <w:spacing w:after="40" w:before="40"/>
      </w:pPr>
      <w:r>
        <w:rPr>
          <w:rFonts w:ascii="Arial" w:cs="Arial" w:eastAsia="Arial" w:hAnsi="Arial"/>
          <w:sz w:val="22"/>
          <w:szCs w:val="22"/>
        </w:rPr>
        <w:t xml:space="preserve">Nasika is a web-based (not native app) digital platform for financial services targeted at SMEs and savings associations in West Africa</w:t>
      </w:r>
    </w:p>
    <w:p>
      <w:pPr>
        <w:pStyle w:val="ListParagraph"/>
        <w:numPr>
          <w:ilvl w:val="0"/>
          <w:numId w:val="2"/>
        </w:numPr>
        <w:spacing w:after="40" w:before="40"/>
      </w:pPr>
      <w:r>
        <w:rPr>
          <w:rFonts w:ascii="Arial" w:cs="Arial" w:eastAsia="Arial" w:hAnsi="Arial"/>
          <w:sz w:val="22"/>
          <w:szCs w:val="22"/>
        </w:rPr>
        <w:t xml:space="preserve">Claims: 4 countries served, 50,000 clients, 24-hour service — but the sign-up flow only shows 2 countries, not 4</w:t>
      </w:r>
    </w:p>
    <w:p>
      <w:pPr>
        <w:pStyle w:val="ListParagraph"/>
        <w:numPr>
          <w:ilvl w:val="0"/>
          <w:numId w:val="2"/>
        </w:numPr>
        <w:spacing w:after="40" w:before="40"/>
      </w:pPr>
      <w:r>
        <w:rPr>
          <w:rFonts w:ascii="Arial" w:cs="Arial" w:eastAsia="Arial" w:hAnsi="Arial"/>
          <w:sz w:val="22"/>
          <w:szCs w:val="22"/>
        </w:rPr>
        <w:t xml:space="preserve">Tagline: “Turning informal saving habits to structured financial progress”</w:t>
      </w:r>
    </w:p>
    <w:p>
      <w:pPr>
        <w:pStyle w:val="ListParagraph"/>
        <w:numPr>
          <w:ilvl w:val="0"/>
          <w:numId w:val="2"/>
        </w:numPr>
        <w:spacing w:after="40" w:before="40"/>
      </w:pPr>
      <w:r>
        <w:rPr>
          <w:rFonts w:ascii="Arial" w:cs="Arial" w:eastAsia="Arial" w:hAnsi="Arial"/>
          <w:sz w:val="22"/>
          <w:szCs w:val="22"/>
        </w:rPr>
        <w:t xml:space="preserve">Product suite: Savings · Group (Susu) · Buy Now Pay Later (“Buy Stuff”) · Airtime &amp; Data Bills · Smart Buy · Insurance · Retail Pensions · Money Transfers</w:t>
      </w:r>
    </w:p>
    <w:p>
      <w:pPr>
        <w:pStyle w:val="ListParagraph"/>
        <w:numPr>
          <w:ilvl w:val="0"/>
          <w:numId w:val="2"/>
        </w:numPr>
        <w:spacing w:after="40" w:before="40"/>
      </w:pPr>
      <w:r>
        <w:rPr>
          <w:rFonts w:ascii="Arial" w:cs="Arial" w:eastAsia="Arial" w:hAnsi="Arial"/>
          <w:sz w:val="22"/>
          <w:szCs w:val="22"/>
        </w:rPr>
        <w:t xml:space="preserve">Notable: the pension product is already powered by MojoPay. The CEO was surprised to learn Nasika is independently building a pension app — this is wasteful duplication and the CEO has asked them to stop and let MojoPay supply it</w:t>
      </w:r>
    </w:p>
    <w:p>
      <w:pPr>
        <w:pStyle w:val="Heading2"/>
        <w:spacing w:after="80" w:before="240"/>
      </w:pPr>
      <w:r>
        <w:rPr>
          <w:rFonts w:ascii="Arial" w:cs="Arial" w:eastAsia="Arial" w:hAnsi="Arial"/>
          <w:b/>
          <w:bCs/>
          <w:color w:val="2E6BA8"/>
          <w:sz w:val="26"/>
          <w:szCs w:val="26"/>
        </w:rPr>
        <w:t xml:space="preserve">5.2  Competitive Landscape (Deb’s Analysis)</w:t>
      </w:r>
    </w:p>
    <w:p>
      <w:pPr>
        <w:pStyle w:val="ListParagraph"/>
        <w:numPr>
          <w:ilvl w:val="0"/>
          <w:numId w:val="2"/>
        </w:numPr>
        <w:spacing w:after="40" w:before="40"/>
      </w:pPr>
      <w:r>
        <w:rPr>
          <w:rFonts w:ascii="Arial" w:cs="Arial" w:eastAsia="Arial" w:hAnsi="Arial"/>
          <w:sz w:val="22"/>
          <w:szCs w:val="22"/>
        </w:rPr>
        <w:t xml:space="preserve">Deb compared Nasika against: MoMo (MTN), Bezel, MoneyFrika, Sika Circle, Fido, Chipper Cash, and Achieva by Petra</w:t>
      </w:r>
    </w:p>
    <w:p>
      <w:pPr>
        <w:pStyle w:val="ListParagraph"/>
        <w:numPr>
          <w:ilvl w:val="0"/>
          <w:numId w:val="2"/>
        </w:numPr>
        <w:spacing w:after="40" w:before="40"/>
      </w:pPr>
      <w:r>
        <w:rPr>
          <w:rFonts w:ascii="Arial" w:cs="Arial" w:eastAsia="Arial" w:hAnsi="Arial"/>
          <w:sz w:val="22"/>
          <w:szCs w:val="22"/>
        </w:rPr>
        <w:t xml:space="preserve">Standout competitors: Achieva by Petra and Fido. Both generate revenue primarily from loans and investments</w:t>
      </w:r>
    </w:p>
    <w:p>
      <w:pPr>
        <w:pStyle w:val="ListParagraph"/>
        <w:numPr>
          <w:ilvl w:val="0"/>
          <w:numId w:val="2"/>
        </w:numPr>
        <w:spacing w:after="40" w:before="40"/>
      </w:pPr>
      <w:r>
        <w:rPr>
          <w:rFonts w:ascii="Arial" w:cs="Arial" w:eastAsia="Arial" w:hAnsi="Arial"/>
          <w:sz w:val="22"/>
          <w:szCs w:val="22"/>
        </w:rPr>
        <w:t xml:space="preserve">Achieva by Petra uses a locked-investment model (similar to a minimum bank balance — once you reach a threshold, you cannot withdraw that portion). Revenue from the locked portion and returns</w:t>
      </w:r>
    </w:p>
    <w:p>
      <w:pPr>
        <w:pStyle w:val="ListParagraph"/>
        <w:numPr>
          <w:ilvl w:val="0"/>
          <w:numId w:val="2"/>
        </w:numPr>
        <w:spacing w:after="40" w:before="40"/>
      </w:pPr>
      <w:r>
        <w:rPr>
          <w:rFonts w:ascii="Arial" w:cs="Arial" w:eastAsia="Arial" w:hAnsi="Arial"/>
          <w:sz w:val="22"/>
          <w:szCs w:val="22"/>
        </w:rPr>
        <w:t xml:space="preserve">Nasika’s strengths: WhatsApp + Telegram + USSD + PWA — channel-first approach that meets users where they are. Award winner (Mission Billion Challenge). Strong inclusion credentials</w:t>
      </w:r>
    </w:p>
    <w:p>
      <w:pPr>
        <w:pStyle w:val="Heading2"/>
        <w:spacing w:after="80" w:before="240"/>
      </w:pPr>
      <w:r>
        <w:rPr>
          <w:rFonts w:ascii="Arial" w:cs="Arial" w:eastAsia="Arial" w:hAnsi="Arial"/>
          <w:b/>
          <w:bCs/>
          <w:color w:val="2E6BA8"/>
          <w:sz w:val="26"/>
          <w:szCs w:val="26"/>
        </w:rPr>
        <w:t xml:space="preserve">5.3  UX Issues Found</w:t>
      </w:r>
    </w:p>
    <w:p>
      <w:pPr>
        <w:pStyle w:val="ListParagraph"/>
        <w:numPr>
          <w:ilvl w:val="0"/>
          <w:numId w:val="2"/>
        </w:numPr>
        <w:spacing w:after="40" w:before="40"/>
      </w:pPr>
      <w:r>
        <w:rPr>
          <w:rFonts w:ascii="Arial" w:cs="Arial" w:eastAsia="Arial" w:hAnsi="Arial"/>
          <w:sz w:val="22"/>
          <w:szCs w:val="22"/>
        </w:rPr>
        <w:t xml:space="preserve">Typing a passcode in WhatsApp and Telegram is the primary security mechanism — no OTP, no biometric option. Security concern raised: merchants may leave phones accessible and typing passcodes in a chat window is not secure</w:t>
      </w:r>
    </w:p>
    <w:p>
      <w:pPr>
        <w:pStyle w:val="ListParagraph"/>
        <w:numPr>
          <w:ilvl w:val="0"/>
          <w:numId w:val="2"/>
        </w:numPr>
        <w:spacing w:after="40" w:before="40"/>
      </w:pPr>
      <w:r>
        <w:rPr>
          <w:rFonts w:ascii="Arial" w:cs="Arial" w:eastAsia="Arial" w:hAnsi="Arial"/>
          <w:sz w:val="22"/>
          <w:szCs w:val="22"/>
        </w:rPr>
        <w:t xml:space="preserve">Sign-up form has 8 fields, most of which are optional. Should be reduced to: name, phone number, country, passcode — nothing else at registration. Profile can be enriched later</w:t>
      </w:r>
    </w:p>
    <w:p>
      <w:pPr>
        <w:pStyle w:val="ListParagraph"/>
        <w:numPr>
          <w:ilvl w:val="0"/>
          <w:numId w:val="2"/>
        </w:numPr>
        <w:spacing w:after="40" w:before="40"/>
      </w:pPr>
      <w:r>
        <w:rPr>
          <w:rFonts w:ascii="Arial" w:cs="Arial" w:eastAsia="Arial" w:hAnsi="Arial"/>
          <w:sz w:val="22"/>
          <w:szCs w:val="22"/>
        </w:rPr>
        <w:t xml:space="preserve">A greeting message says “Greetings” on sign-in — no reason for this and it creates unnecessary repetition</w:t>
      </w:r>
    </w:p>
    <w:p>
      <w:pPr>
        <w:pStyle w:val="ListParagraph"/>
        <w:numPr>
          <w:ilvl w:val="0"/>
          <w:numId w:val="2"/>
        </w:numPr>
        <w:spacing w:after="40" w:before="40"/>
      </w:pPr>
      <w:r>
        <w:rPr>
          <w:rFonts w:ascii="Arial" w:cs="Arial" w:eastAsia="Arial" w:hAnsi="Arial"/>
          <w:sz w:val="22"/>
          <w:szCs w:val="22"/>
        </w:rPr>
        <w:t xml:space="preserve">Double/repeated authentication steps observed</w:t>
      </w:r>
    </w:p>
    <w:p>
      <w:pPr>
        <w:pStyle w:val="ListParagraph"/>
        <w:numPr>
          <w:ilvl w:val="0"/>
          <w:numId w:val="2"/>
        </w:numPr>
        <w:spacing w:after="40" w:before="40"/>
      </w:pPr>
      <w:r>
        <w:rPr>
          <w:rFonts w:ascii="Arial" w:cs="Arial" w:eastAsia="Arial" w:hAnsi="Arial"/>
          <w:sz w:val="22"/>
          <w:szCs w:val="22"/>
        </w:rPr>
        <w:t xml:space="preserve">Platform is split across multiple domains — the chatbots and key features do not sit on one unified domain. This creates a fragmented experience and trust issues</w:t>
      </w:r>
    </w:p>
    <w:p>
      <w:pPr>
        <w:pStyle w:val="ListParagraph"/>
        <w:numPr>
          <w:ilvl w:val="0"/>
          <w:numId w:val="2"/>
        </w:numPr>
        <w:spacing w:after="40" w:before="40"/>
      </w:pPr>
      <w:r>
        <w:rPr>
          <w:rFonts w:ascii="Arial" w:cs="Arial" w:eastAsia="Arial" w:hAnsi="Arial"/>
          <w:sz w:val="22"/>
          <w:szCs w:val="22"/>
        </w:rPr>
        <w:t xml:space="preserve">Deb tried a transaction and it took 15 minutes to receive a confirmation message. Balance showed zero for the entire 15 minutes. This is unacceptable for a financial platform</w:t>
      </w:r>
    </w:p>
    <w:p>
      <w:pPr>
        <w:pStyle w:val="Heading2"/>
        <w:spacing w:after="80" w:before="240"/>
      </w:pPr>
      <w:r>
        <w:rPr>
          <w:rFonts w:ascii="Arial" w:cs="Arial" w:eastAsia="Arial" w:hAnsi="Arial"/>
          <w:b/>
          <w:bCs/>
          <w:color w:val="2E6BA8"/>
          <w:sz w:val="26"/>
          <w:szCs w:val="26"/>
        </w:rPr>
        <w:t xml:space="preserve">5.4  Local Language Gap</w:t>
      </w:r>
    </w:p>
    <w:p>
      <w:pPr>
        <w:pStyle w:val="ListParagraph"/>
        <w:numPr>
          <w:ilvl w:val="0"/>
          <w:numId w:val="2"/>
        </w:numPr>
        <w:spacing w:after="40" w:before="40"/>
      </w:pPr>
      <w:r>
        <w:rPr>
          <w:rFonts w:ascii="Arial" w:cs="Arial" w:eastAsia="Arial" w:hAnsi="Arial"/>
          <w:sz w:val="22"/>
          <w:szCs w:val="22"/>
        </w:rPr>
        <w:t xml:space="preserve">The platform operates entirely in English. The target market (informal economy, market traders) includes people who are not comfortable in English</w:t>
      </w:r>
    </w:p>
    <w:p>
      <w:pPr>
        <w:pStyle w:val="ListParagraph"/>
        <w:numPr>
          <w:ilvl w:val="0"/>
          <w:numId w:val="2"/>
        </w:numPr>
        <w:spacing w:after="40" w:before="40"/>
      </w:pPr>
      <w:r>
        <w:rPr>
          <w:rFonts w:ascii="Arial" w:cs="Arial" w:eastAsia="Arial" w:hAnsi="Arial"/>
          <w:sz w:val="22"/>
          <w:szCs w:val="22"/>
        </w:rPr>
        <w:t xml:space="preserve">Recommendation: incorporate local languages (Twi, Ga, Ewe, Hausa as priority). WhatsApp and Telegram-based products can support this natively</w:t>
      </w:r>
    </w:p>
    <w:p>
      <w:pPr>
        <w:pStyle w:val="ListParagraph"/>
        <w:numPr>
          <w:ilvl w:val="0"/>
          <w:numId w:val="2"/>
        </w:numPr>
        <w:spacing w:after="40" w:before="40"/>
      </w:pPr>
      <w:r>
        <w:rPr>
          <w:rFonts w:ascii="Arial" w:cs="Arial" w:eastAsia="Arial" w:hAnsi="Arial"/>
          <w:sz w:val="22"/>
          <w:szCs w:val="22"/>
        </w:rPr>
        <w:t xml:space="preserve">This is identified as a key competitive differentiator for whoever builds it first in Ghana</w:t>
      </w:r>
    </w:p>
    <w:p>
      <w:pPr>
        <w:pStyle w:val="Heading2"/>
        <w:spacing w:after="80" w:before="240"/>
      </w:pPr>
      <w:r>
        <w:rPr>
          <w:rFonts w:ascii="Arial" w:cs="Arial" w:eastAsia="Arial" w:hAnsi="Arial"/>
          <w:b/>
          <w:bCs/>
          <w:color w:val="2E6BA8"/>
          <w:sz w:val="26"/>
          <w:szCs w:val="26"/>
        </w:rPr>
        <w:t xml:space="preserve">5.5  Strategic Options the CEO is Considering</w:t>
      </w:r>
    </w:p>
    <w:p>
      <w:pPr>
        <w:pStyle w:val="ListParagraph"/>
        <w:numPr>
          <w:ilvl w:val="0"/>
          <w:numId w:val="2"/>
        </w:numPr>
        <w:spacing w:after="40" w:before="40"/>
      </w:pPr>
      <w:r>
        <w:rPr>
          <w:rFonts w:ascii="Arial" w:cs="Arial" w:eastAsia="Arial" w:hAnsi="Arial"/>
          <w:sz w:val="22"/>
          <w:szCs w:val="22"/>
        </w:rPr>
        <w:t xml:space="preserve">Option A: White-label Nasika — take the platform, rebrand it, improve it with MojoPay’s branding, services (insurance via SIC, pensions via MojoPay), and distribution, and bring it to market under MojoPay</w:t>
      </w:r>
    </w:p>
    <w:p>
      <w:pPr>
        <w:pStyle w:val="ListParagraph"/>
        <w:numPr>
          <w:ilvl w:val="0"/>
          <w:numId w:val="2"/>
        </w:numPr>
        <w:spacing w:after="40" w:before="40"/>
      </w:pPr>
      <w:r>
        <w:rPr>
          <w:rFonts w:ascii="Arial" w:cs="Arial" w:eastAsia="Arial" w:hAnsi="Arial"/>
          <w:sz w:val="22"/>
          <w:szCs w:val="22"/>
        </w:rPr>
        <w:t xml:space="preserve">Option B: Acquire Nasika outright — take over the company entirely</w:t>
      </w:r>
    </w:p>
    <w:p>
      <w:pPr>
        <w:pStyle w:val="ListParagraph"/>
        <w:numPr>
          <w:ilvl w:val="0"/>
          <w:numId w:val="2"/>
        </w:numPr>
        <w:spacing w:after="40" w:before="40"/>
      </w:pPr>
      <w:r>
        <w:rPr>
          <w:rFonts w:ascii="Arial" w:cs="Arial" w:eastAsia="Arial" w:hAnsi="Arial"/>
          <w:sz w:val="22"/>
          <w:szCs w:val="22"/>
        </w:rPr>
        <w:t xml:space="preserve">The CEO has requested Nasika’s transaction history for the last two years: which products were used, how many transactions, how many people signed up. This data will inform the decision</w:t>
      </w:r>
    </w:p>
    <w:p>
      <w:pPr>
        <w:pStyle w:val="ListParagraph"/>
        <w:numPr>
          <w:ilvl w:val="0"/>
          <w:numId w:val="2"/>
        </w:numPr>
        <w:spacing w:after="40" w:before="40"/>
      </w:pPr>
      <w:r>
        <w:rPr>
          <w:rFonts w:ascii="Arial" w:cs="Arial" w:eastAsia="Arial" w:hAnsi="Arial"/>
          <w:sz w:val="22"/>
          <w:szCs w:val="22"/>
        </w:rPr>
        <w:t xml:space="preserve">Nasika currently holds a micro-credit/microfinance license valid only in the Takoradi area — it is not nationally licensed. MojoPay’s coverage and regulatory status would be a major asset if acquired</w:t>
      </w:r>
    </w:p>
    <w:p>
      <w:pPr>
        <w:pStyle w:val="ListParagraph"/>
        <w:numPr>
          <w:ilvl w:val="0"/>
          <w:numId w:val="2"/>
        </w:numPr>
        <w:spacing w:after="40" w:before="40"/>
      </w:pPr>
      <w:r>
        <w:rPr>
          <w:rFonts w:ascii="Arial" w:cs="Arial" w:eastAsia="Arial" w:hAnsi="Arial"/>
          <w:sz w:val="22"/>
          <w:szCs w:val="22"/>
        </w:rPr>
        <w:t xml:space="preserve">Nasika cannot act independently: no insurance license (SIC provides this), no pension license (MojoPay provides this), no national payment license. CEO: “He needs us more than we need him — but if the numbers make sense, there is a real opportunity here”</w:t>
      </w:r>
    </w:p>
    <w:p>
      <w:pPr>
        <w:pStyle w:val="Heading2"/>
        <w:spacing w:after="80" w:before="240"/>
      </w:pPr>
      <w:r>
        <w:rPr>
          <w:rFonts w:ascii="Arial" w:cs="Arial" w:eastAsia="Arial" w:hAnsi="Arial"/>
          <w:b/>
          <w:bCs/>
          <w:color w:val="2E6BA8"/>
          <w:sz w:val="26"/>
          <w:szCs w:val="26"/>
        </w:rPr>
        <w:t xml:space="preserve">5.6  Deb’s Recommendations for Nasika (If Taken Over)</w:t>
      </w:r>
    </w:p>
    <w:p>
      <w:pPr>
        <w:pStyle w:val="ListParagraph"/>
        <w:numPr>
          <w:ilvl w:val="0"/>
          <w:numId w:val="2"/>
        </w:numPr>
        <w:spacing w:after="40" w:before="40"/>
      </w:pPr>
      <w:r>
        <w:rPr>
          <w:rFonts w:ascii="Arial" w:cs="Arial" w:eastAsia="Arial" w:hAnsi="Arial"/>
          <w:sz w:val="22"/>
          <w:szCs w:val="22"/>
        </w:rPr>
        <w:t xml:space="preserve">SMS receipts for every transaction — immediate, no delays</w:t>
      </w:r>
    </w:p>
    <w:p>
      <w:pPr>
        <w:pStyle w:val="ListParagraph"/>
        <w:numPr>
          <w:ilvl w:val="0"/>
          <w:numId w:val="2"/>
        </w:numPr>
        <w:spacing w:after="40" w:before="40"/>
      </w:pPr>
      <w:r>
        <w:rPr>
          <w:rFonts w:ascii="Arial" w:cs="Arial" w:eastAsia="Arial" w:hAnsi="Arial"/>
          <w:sz w:val="22"/>
          <w:szCs w:val="22"/>
        </w:rPr>
        <w:t xml:space="preserve">Goal-based and social savings — save towards a specific goal, share progress</w:t>
      </w:r>
    </w:p>
    <w:p>
      <w:pPr>
        <w:pStyle w:val="ListParagraph"/>
        <w:numPr>
          <w:ilvl w:val="0"/>
          <w:numId w:val="2"/>
        </w:numPr>
        <w:spacing w:after="40" w:before="40"/>
      </w:pPr>
      <w:r>
        <w:rPr>
          <w:rFonts w:ascii="Arial" w:cs="Arial" w:eastAsia="Arial" w:hAnsi="Arial"/>
          <w:sz w:val="22"/>
          <w:szCs w:val="22"/>
        </w:rPr>
        <w:t xml:space="preserve">Credit unlocked by savings history — the more you save consistently, the more credit access you unlock</w:t>
      </w:r>
    </w:p>
    <w:p>
      <w:pPr>
        <w:pStyle w:val="ListParagraph"/>
        <w:numPr>
          <w:ilvl w:val="0"/>
          <w:numId w:val="2"/>
        </w:numPr>
        <w:spacing w:after="40" w:before="40"/>
      </w:pPr>
      <w:r>
        <w:rPr>
          <w:rFonts w:ascii="Arial" w:cs="Arial" w:eastAsia="Arial" w:hAnsi="Arial"/>
          <w:sz w:val="22"/>
          <w:szCs w:val="22"/>
        </w:rPr>
        <w:t xml:space="preserve">Local language plus voice interface — core to reaching the informal economy</w:t>
      </w:r>
    </w:p>
    <w:p>
      <w:pPr>
        <w:pStyle w:val="ListParagraph"/>
        <w:numPr>
          <w:ilvl w:val="0"/>
          <w:numId w:val="2"/>
        </w:numPr>
        <w:spacing w:after="40" w:before="40"/>
      </w:pPr>
      <w:r>
        <w:rPr>
          <w:rFonts w:ascii="Arial" w:cs="Arial" w:eastAsia="Arial" w:hAnsi="Arial"/>
          <w:sz w:val="22"/>
          <w:szCs w:val="22"/>
        </w:rPr>
        <w:t xml:space="preserve">Street rewards and collector-agent model — agents go to the market, sign people up, and show them how to use the platform. Agents do not handle money — they onboard and educate only</w:t>
      </w:r>
    </w:p>
    <w:p>
      <w:pPr>
        <w:pStyle w:val="ListParagraph"/>
        <w:numPr>
          <w:ilvl w:val="0"/>
          <w:numId w:val="2"/>
        </w:numPr>
        <w:spacing w:after="40" w:before="40"/>
      </w:pPr>
      <w:r>
        <w:rPr>
          <w:rFonts w:ascii="Arial" w:cs="Arial" w:eastAsia="Arial" w:hAnsi="Arial"/>
          <w:sz w:val="22"/>
          <w:szCs w:val="22"/>
        </w:rPr>
        <w:t xml:space="preserve">Free micro-insurance for active users — if a user has been consistently saving and active, offer them a small automatic insurance cover as a reward</w:t>
      </w:r>
    </w:p>
    <w:p>
      <w:pPr>
        <w:pStyle w:val="ListParagraph"/>
        <w:numPr>
          <w:ilvl w:val="0"/>
          <w:numId w:val="2"/>
        </w:numPr>
        <w:spacing w:after="40" w:before="40"/>
      </w:pPr>
      <w:r>
        <w:rPr>
          <w:rFonts w:ascii="Arial" w:cs="Arial" w:eastAsia="Arial" w:hAnsi="Arial"/>
          <w:sz w:val="22"/>
          <w:szCs w:val="22"/>
        </w:rPr>
        <w:t xml:space="preserve">Merchant working capital credit — introduce market women and small merchants to micro-loans with low interest rates via a licensed lending partner. Not MojoPay lending directly (outside our payment license) but facilitating the connection</w:t>
      </w:r>
    </w:p>
    <w:p>
      <w:pPr>
        <w:pStyle w:val="Heading2"/>
        <w:spacing w:after="80" w:before="240"/>
      </w:pPr>
      <w:r>
        <w:rPr>
          <w:rFonts w:ascii="Arial" w:cs="Arial" w:eastAsia="Arial" w:hAnsi="Arial"/>
          <w:b/>
          <w:bCs/>
          <w:color w:val="2E6BA8"/>
          <w:sz w:val="26"/>
          <w:szCs w:val="26"/>
        </w:rPr>
        <w:t xml:space="preserve">5.7  Metrics to Track (Deb’s Proposed Scorecard)</w:t>
      </w:r>
    </w:p>
    <w:p>
      <w:pPr>
        <w:pStyle w:val="ListParagraph"/>
        <w:numPr>
          <w:ilvl w:val="0"/>
          <w:numId w:val="2"/>
        </w:numPr>
        <w:spacing w:after="40" w:before="40"/>
      </w:pPr>
      <w:r>
        <w:rPr>
          <w:rFonts w:ascii="Arial" w:cs="Arial" w:eastAsia="Arial" w:hAnsi="Arial"/>
          <w:sz w:val="22"/>
          <w:szCs w:val="22"/>
        </w:rPr>
        <w:t xml:space="preserve">Total savings held · Active savers · Susu groups started · How many savers become borrowers · Loan book size · Non-performing loans · Active users · Revenue per active user · Cost to acquire a new user</w:t>
      </w:r>
    </w:p>
    <w:p>
      <w:pPr>
        <w:pStyle w:val="Heading2"/>
        <w:spacing w:after="80" w:before="240"/>
      </w:pPr>
      <w:r>
        <w:rPr>
          <w:rFonts w:ascii="Arial" w:cs="Arial" w:eastAsia="Arial" w:hAnsi="Arial"/>
          <w:b/>
          <w:bCs/>
          <w:color w:val="2E6BA8"/>
          <w:sz w:val="26"/>
          <w:szCs w:val="26"/>
        </w:rPr>
        <w:t xml:space="preserve">5.8  Risks Identified</w:t>
      </w:r>
    </w:p>
    <w:p>
      <w:pPr>
        <w:pStyle w:val="ListParagraph"/>
        <w:numPr>
          <w:ilvl w:val="0"/>
          <w:numId w:val="2"/>
        </w:numPr>
        <w:spacing w:after="40" w:before="40"/>
      </w:pPr>
      <w:r>
        <w:rPr>
          <w:rFonts w:ascii="Arial" w:cs="Arial" w:eastAsia="Arial" w:hAnsi="Arial"/>
          <w:sz w:val="22"/>
          <w:szCs w:val="22"/>
        </w:rPr>
        <w:t xml:space="preserve">Lending compliance: a payment service provider license does not permit lending directly. All lending must be done through a separately licensed partner</w:t>
      </w:r>
    </w:p>
    <w:p>
      <w:pPr>
        <w:pStyle w:val="ListParagraph"/>
        <w:numPr>
          <w:ilvl w:val="0"/>
          <w:numId w:val="2"/>
        </w:numPr>
        <w:spacing w:after="40" w:before="40"/>
      </w:pPr>
      <w:r>
        <w:rPr>
          <w:rFonts w:ascii="Arial" w:cs="Arial" w:eastAsia="Arial" w:hAnsi="Arial"/>
          <w:sz w:val="22"/>
          <w:szCs w:val="22"/>
        </w:rPr>
        <w:t xml:space="preserve">Trust damage: digital susu is heavy on trust. If one group has a problem, negative word-of-mouth can spread fast — especially in close-knit community groups</w:t>
      </w:r>
    </w:p>
    <w:p>
      <w:pPr>
        <w:pStyle w:val="ListParagraph"/>
        <w:numPr>
          <w:ilvl w:val="0"/>
          <w:numId w:val="2"/>
        </w:numPr>
        <w:spacing w:after="40" w:before="40"/>
      </w:pPr>
      <w:r>
        <w:rPr>
          <w:rFonts w:ascii="Arial" w:cs="Arial" w:eastAsia="Arial" w:hAnsi="Arial"/>
          <w:sz w:val="22"/>
          <w:szCs w:val="22"/>
        </w:rPr>
        <w:t xml:space="preserve">Competition moving up-market: Achieva and Fido may decide to move down-market and compete directly in the informal segment</w:t>
      </w:r>
    </w:p>
    <w:p>
      <w:pPr>
        <w:pStyle w:val="ListParagraph"/>
        <w:numPr>
          <w:ilvl w:val="0"/>
          <w:numId w:val="2"/>
        </w:numPr>
        <w:spacing w:after="40" w:before="40"/>
      </w:pPr>
      <w:r>
        <w:rPr>
          <w:rFonts w:ascii="Arial" w:cs="Arial" w:eastAsia="Arial" w:hAnsi="Arial"/>
          <w:sz w:val="22"/>
          <w:szCs w:val="22"/>
        </w:rPr>
        <w:t xml:space="preserve">Regulatory capital: if the platform grows to involve lending or investment, capital requirements may apply</w:t>
      </w:r>
    </w:p>
    <w:p>
      <w:pPr>
        <w:pStyle w:val="ListParagraph"/>
        <w:numPr>
          <w:ilvl w:val="0"/>
          <w:numId w:val="2"/>
        </w:numPr>
        <w:spacing w:after="40" w:before="40"/>
      </w:pPr>
      <w:r>
        <w:rPr>
          <w:rFonts w:ascii="Arial" w:cs="Arial" w:eastAsia="Arial" w:hAnsi="Arial"/>
          <w:sz w:val="22"/>
          <w:szCs w:val="22"/>
        </w:rPr>
        <w:t xml:space="preserve">Spreading too thin: adding too many product lines risks diluting focus and quality</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6. Group Savings &amp; Susu — Models &amp; Strategy</w:t>
      </w:r>
    </w:p>
    <w:p>
      <w:pPr>
        <w:spacing w:after="60" w:before="60"/>
      </w:pPr>
      <w:r>
        <w:rPr>
          <w:rFonts w:ascii="Arial" w:cs="Arial" w:eastAsia="Arial" w:hAnsi="Arial"/>
          <w:sz w:val="22"/>
          <w:szCs w:val="22"/>
        </w:rPr>
        <w:t xml:space="preserve">The CEO gave a detailed explanation of the different susu and group savings models, and how MojoPay should think about this space.</w:t>
      </w:r>
    </w:p>
    <w:p>
      <w:pPr>
        <w:pStyle w:val="Heading2"/>
        <w:spacing w:after="80" w:before="240"/>
      </w:pPr>
      <w:r>
        <w:rPr>
          <w:rFonts w:ascii="Arial" w:cs="Arial" w:eastAsia="Arial" w:hAnsi="Arial"/>
          <w:b/>
          <w:bCs/>
          <w:color w:val="2E6BA8"/>
          <w:sz w:val="26"/>
          <w:szCs w:val="26"/>
        </w:rPr>
        <w:t xml:space="preserve">6.1  The MTN Group Savings Model</w:t>
      </w:r>
    </w:p>
    <w:p>
      <w:pPr>
        <w:pStyle w:val="ListParagraph"/>
        <w:numPr>
          <w:ilvl w:val="0"/>
          <w:numId w:val="2"/>
        </w:numPr>
        <w:spacing w:after="40" w:before="40"/>
      </w:pPr>
      <w:r>
        <w:rPr>
          <w:rFonts w:ascii="Arial" w:cs="Arial" w:eastAsia="Arial" w:hAnsi="Arial"/>
          <w:sz w:val="22"/>
          <w:szCs w:val="22"/>
        </w:rPr>
        <w:t xml:space="preserve">Each member saves individually — money stays separate per person. The group creates accountability and motivation but the funds never mix</w:t>
      </w:r>
    </w:p>
    <w:p>
      <w:pPr>
        <w:pStyle w:val="ListParagraph"/>
        <w:numPr>
          <w:ilvl w:val="0"/>
          <w:numId w:val="2"/>
        </w:numPr>
        <w:spacing w:after="40" w:before="40"/>
      </w:pPr>
      <w:r>
        <w:rPr>
          <w:rFonts w:ascii="Arial" w:cs="Arial" w:eastAsia="Arial" w:hAnsi="Arial"/>
          <w:sz w:val="22"/>
          <w:szCs w:val="22"/>
        </w:rPr>
        <w:t xml:space="preserve">This is the current MojoPay Group Savings product model</w:t>
      </w:r>
    </w:p>
    <w:p>
      <w:pPr>
        <w:pStyle w:val="Heading2"/>
        <w:spacing w:after="80" w:before="240"/>
      </w:pPr>
      <w:r>
        <w:rPr>
          <w:rFonts w:ascii="Arial" w:cs="Arial" w:eastAsia="Arial" w:hAnsi="Arial"/>
          <w:b/>
          <w:bCs/>
          <w:color w:val="2E6BA8"/>
          <w:sz w:val="26"/>
          <w:szCs w:val="26"/>
        </w:rPr>
        <w:t xml:space="preserve">6.2  The Rotating Susu (ROSCA Model)</w:t>
      </w:r>
    </w:p>
    <w:p>
      <w:pPr>
        <w:pStyle w:val="ListParagraph"/>
        <w:numPr>
          <w:ilvl w:val="0"/>
          <w:numId w:val="2"/>
        </w:numPr>
        <w:spacing w:after="40" w:before="40"/>
      </w:pPr>
      <w:r>
        <w:rPr>
          <w:rFonts w:ascii="Arial" w:cs="Arial" w:eastAsia="Arial" w:hAnsi="Arial"/>
          <w:sz w:val="22"/>
          <w:szCs w:val="22"/>
        </w:rPr>
        <w:t xml:space="preserve">All members contribute the same amount each cycle. Each cycle, the full pot goes to one member. The order rotates. No interest, no returns — pure liquidity access</w:t>
      </w:r>
    </w:p>
    <w:p>
      <w:pPr>
        <w:pStyle w:val="ListParagraph"/>
        <w:numPr>
          <w:ilvl w:val="0"/>
          <w:numId w:val="2"/>
        </w:numPr>
        <w:spacing w:after="40" w:before="40"/>
      </w:pPr>
      <w:r>
        <w:rPr>
          <w:rFonts w:ascii="Arial" w:cs="Arial" w:eastAsia="Arial" w:hAnsi="Arial"/>
          <w:sz w:val="22"/>
          <w:szCs w:val="22"/>
        </w:rPr>
        <w:t xml:space="preserve">The CEO’s view: not exciting as a product because there is no financial return — it is simply a structured way to access your own money faster</w:t>
      </w:r>
    </w:p>
    <w:p>
      <w:pPr>
        <w:pStyle w:val="Heading2"/>
        <w:spacing w:after="80" w:before="240"/>
      </w:pPr>
      <w:r>
        <w:rPr>
          <w:rFonts w:ascii="Arial" w:cs="Arial" w:eastAsia="Arial" w:hAnsi="Arial"/>
          <w:b/>
          <w:bCs/>
          <w:color w:val="2E6BA8"/>
          <w:sz w:val="26"/>
          <w:szCs w:val="26"/>
        </w:rPr>
        <w:t xml:space="preserve">6.3  The VSLA Model (Village Savings and Loan Association)</w:t>
      </w:r>
    </w:p>
    <w:p>
      <w:pPr>
        <w:pStyle w:val="ListParagraph"/>
        <w:numPr>
          <w:ilvl w:val="0"/>
          <w:numId w:val="2"/>
        </w:numPr>
        <w:spacing w:after="40" w:before="40"/>
      </w:pPr>
      <w:r>
        <w:rPr>
          <w:rFonts w:ascii="Arial" w:cs="Arial" w:eastAsia="Arial" w:hAnsi="Arial"/>
          <w:sz w:val="22"/>
          <w:szCs w:val="22"/>
        </w:rPr>
        <w:t xml:space="preserve">All members contribute to a shared pool. Members can borrow from the pool (at interest). At the end of the cycle (usually one year), all savings plus interest are distributed back proportionally. Group dissolves and restarts</w:t>
      </w:r>
    </w:p>
    <w:p>
      <w:pPr>
        <w:pStyle w:val="ListParagraph"/>
        <w:numPr>
          <w:ilvl w:val="0"/>
          <w:numId w:val="2"/>
        </w:numPr>
        <w:spacing w:after="40" w:before="40"/>
      </w:pPr>
      <w:r>
        <w:rPr>
          <w:rFonts w:ascii="Arial" w:cs="Arial" w:eastAsia="Arial" w:hAnsi="Arial"/>
          <w:sz w:val="22"/>
          <w:szCs w:val="22"/>
        </w:rPr>
        <w:t xml:space="preserve">The CEO’s view: heavily trust-dependent. Works best with people who know each other (family, colleagues, schoolmates). Difficult to fully digitise because enforcement is social, not legal</w:t>
      </w:r>
    </w:p>
    <w:p>
      <w:pPr>
        <w:pStyle w:val="Heading2"/>
        <w:spacing w:after="80" w:before="240"/>
      </w:pPr>
      <w:r>
        <w:rPr>
          <w:rFonts w:ascii="Arial" w:cs="Arial" w:eastAsia="Arial" w:hAnsi="Arial"/>
          <w:b/>
          <w:bCs/>
          <w:color w:val="2E6BA8"/>
          <w:sz w:val="26"/>
          <w:szCs w:val="26"/>
        </w:rPr>
        <w:t xml:space="preserve">6.4  The Dukan Model (Pakistan) — CEO’s Reference</w:t>
      </w:r>
    </w:p>
    <w:p>
      <w:pPr>
        <w:pStyle w:val="ListParagraph"/>
        <w:numPr>
          <w:ilvl w:val="0"/>
          <w:numId w:val="2"/>
        </w:numPr>
        <w:spacing w:after="40" w:before="40"/>
      </w:pPr>
      <w:r>
        <w:rPr>
          <w:rFonts w:ascii="Arial" w:cs="Arial" w:eastAsia="Arial" w:hAnsi="Arial"/>
          <w:sz w:val="22"/>
          <w:szCs w:val="22"/>
        </w:rPr>
        <w:t xml:space="preserve">A Pakistani startup (Dukan) has cracked the trust problem: they run a rotating susu but guarantee every member will receive their payout. They do credit scoring on every applicant before admission to a group</w:t>
      </w:r>
    </w:p>
    <w:p>
      <w:pPr>
        <w:pStyle w:val="ListParagraph"/>
        <w:numPr>
          <w:ilvl w:val="0"/>
          <w:numId w:val="2"/>
        </w:numPr>
        <w:spacing w:after="40" w:before="40"/>
      </w:pPr>
      <w:r>
        <w:rPr>
          <w:rFonts w:ascii="Arial" w:cs="Arial" w:eastAsia="Arial" w:hAnsi="Arial"/>
          <w:sz w:val="22"/>
          <w:szCs w:val="22"/>
        </w:rPr>
        <w:t xml:space="preserve">The mechanism: members bid for when they want their money. If you want your money in the first month, you receive less (e.g. 800 instead of 1,000) — the discount covers the platform’s guarantee and operating cost. If you wait until the last month, you receive more (e.g. 1,200). The early and late takers’ spreads fund the platform</w:t>
      </w:r>
    </w:p>
    <w:p>
      <w:pPr>
        <w:pStyle w:val="ListParagraph"/>
        <w:numPr>
          <w:ilvl w:val="0"/>
          <w:numId w:val="2"/>
        </w:numPr>
        <w:spacing w:after="40" w:before="40"/>
      </w:pPr>
      <w:r>
        <w:rPr>
          <w:rFonts w:ascii="Arial" w:cs="Arial" w:eastAsia="Arial" w:hAnsi="Arial"/>
          <w:sz w:val="22"/>
          <w:szCs w:val="22"/>
        </w:rPr>
        <w:t xml:space="preserve">Dukan shows open groups on the platform: “100-cedi group, 2 spots left”. Members apply, are scored, and admitted or declined within hours</w:t>
      </w:r>
    </w:p>
    <w:p>
      <w:pPr>
        <w:pStyle w:val="ListParagraph"/>
        <w:numPr>
          <w:ilvl w:val="0"/>
          <w:numId w:val="2"/>
        </w:numPr>
        <w:spacing w:after="40" w:before="40"/>
      </w:pPr>
      <w:r>
        <w:rPr>
          <w:rFonts w:ascii="Arial" w:cs="Arial" w:eastAsia="Arial" w:hAnsi="Arial"/>
          <w:sz w:val="22"/>
          <w:szCs w:val="22"/>
        </w:rPr>
        <w:t xml:space="preserve">CEO takeaway: this model solves the trust and guarantee problem. MojoPay should study it. If Nasika is taken over, this could be a future product evolution</w:t>
      </w:r>
    </w:p>
    <w:p>
      <w:pPr>
        <w:pStyle w:val="Heading2"/>
        <w:spacing w:after="80" w:before="240"/>
      </w:pPr>
      <w:r>
        <w:rPr>
          <w:rFonts w:ascii="Arial" w:cs="Arial" w:eastAsia="Arial" w:hAnsi="Arial"/>
          <w:b/>
          <w:bCs/>
          <w:color w:val="2E6BA8"/>
          <w:sz w:val="26"/>
          <w:szCs w:val="26"/>
        </w:rPr>
        <w:t xml:space="preserve">6.5  Strategic Framing</w:t>
      </w:r>
    </w:p>
    <w:p>
      <w:pPr>
        <w:pStyle w:val="ListParagraph"/>
        <w:numPr>
          <w:ilvl w:val="0"/>
          <w:numId w:val="2"/>
        </w:numPr>
        <w:spacing w:after="40" w:before="40"/>
      </w:pPr>
      <w:r>
        <w:rPr>
          <w:rFonts w:ascii="Arial" w:cs="Arial" w:eastAsia="Arial" w:hAnsi="Arial"/>
          <w:sz w:val="22"/>
          <w:szCs w:val="22"/>
        </w:rPr>
        <w:t xml:space="preserve">Group savings must be treated as a product roadmap question — what is the next logical step beyond the current model?</w:t>
      </w:r>
    </w:p>
    <w:p>
      <w:pPr>
        <w:pStyle w:val="ListParagraph"/>
        <w:numPr>
          <w:ilvl w:val="0"/>
          <w:numId w:val="2"/>
        </w:numPr>
        <w:spacing w:after="40" w:before="40"/>
      </w:pPr>
      <w:r>
        <w:rPr>
          <w:rFonts w:ascii="Arial" w:cs="Arial" w:eastAsia="Arial" w:hAnsi="Arial"/>
          <w:sz w:val="22"/>
          <w:szCs w:val="22"/>
        </w:rPr>
        <w:t xml:space="preserve">Key requirement: whatever model is built, users must feel their money is safe and protected. Nasika’s website even states it is not liable if it fails to pay — this is disqualifying language that will scare users away. Any MojoPay product must offer clear guarantees or clearly licensed protection</w:t>
      </w:r>
    </w:p>
    <w:p>
      <w:pPr>
        <w:pStyle w:val="ListParagraph"/>
        <w:numPr>
          <w:ilvl w:val="0"/>
          <w:numId w:val="2"/>
        </w:numPr>
        <w:spacing w:after="40" w:before="40"/>
      </w:pPr>
      <w:r>
        <w:rPr>
          <w:rFonts w:ascii="Arial" w:cs="Arial" w:eastAsia="Arial" w:hAnsi="Arial"/>
          <w:sz w:val="22"/>
          <w:szCs w:val="22"/>
        </w:rPr>
        <w:t xml:space="preserve">Agent model for susu acquisition: do not send agents to collect money. Send them to educate, sign people up, and show them how to use the app. Agents touch nothing financial</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7. Gift Registry — Landing Page &amp; Fraud Controls</w:t>
      </w:r>
    </w:p>
    <w:p>
      <w:pPr>
        <w:pStyle w:val="Heading2"/>
        <w:spacing w:after="80" w:before="240"/>
      </w:pPr>
      <w:r>
        <w:rPr>
          <w:rFonts w:ascii="Arial" w:cs="Arial" w:eastAsia="Arial" w:hAnsi="Arial"/>
          <w:b/>
          <w:bCs/>
          <w:color w:val="2E6BA8"/>
          <w:sz w:val="26"/>
          <w:szCs w:val="26"/>
        </w:rPr>
        <w:t xml:space="preserve">7.1  Landing Page Status</w:t>
      </w:r>
    </w:p>
    <w:p>
      <w:pPr>
        <w:pStyle w:val="ListParagraph"/>
        <w:numPr>
          <w:ilvl w:val="0"/>
          <w:numId w:val="2"/>
        </w:numPr>
        <w:spacing w:after="40" w:before="40"/>
      </w:pPr>
      <w:r>
        <w:rPr>
          <w:rFonts w:ascii="Arial" w:cs="Arial" w:eastAsia="Arial" w:hAnsi="Arial"/>
          <w:sz w:val="22"/>
          <w:szCs w:val="22"/>
        </w:rPr>
        <w:t xml:space="preserve">Deb built and shared a working prototype of the gift registry landing page with Kwame for review and to guide the copy and layout</w:t>
      </w:r>
    </w:p>
    <w:p>
      <w:pPr>
        <w:pStyle w:val="ListParagraph"/>
        <w:numPr>
          <w:ilvl w:val="0"/>
          <w:numId w:val="2"/>
        </w:numPr>
        <w:spacing w:after="40" w:before="40"/>
      </w:pPr>
      <w:r>
        <w:rPr>
          <w:rFonts w:ascii="Arial" w:cs="Arial" w:eastAsia="Arial" w:hAnsi="Arial"/>
          <w:sz w:val="22"/>
          <w:szCs w:val="22"/>
        </w:rPr>
        <w:t xml:space="preserve">Three pages have been designed: (1) the general MojoPay gift registry page (merchant acquisition — inviting retailers to apply), (2) the merchant-specific page (e.g. Latex Home gift registry), and (3) the consumer-facing registry page (what the registrant’s donors see)</w:t>
      </w:r>
    </w:p>
    <w:p>
      <w:pPr>
        <w:pStyle w:val="ListParagraph"/>
        <w:numPr>
          <w:ilvl w:val="0"/>
          <w:numId w:val="2"/>
        </w:numPr>
        <w:spacing w:after="40" w:before="40"/>
      </w:pPr>
      <w:r>
        <w:rPr>
          <w:rFonts w:ascii="Arial" w:cs="Arial" w:eastAsia="Arial" w:hAnsi="Arial"/>
          <w:sz w:val="22"/>
          <w:szCs w:val="22"/>
        </w:rPr>
        <w:t xml:space="preserve">The prototype is working. Kwame is using it to understand the required text and structure</w:t>
      </w:r>
    </w:p>
    <w:p>
      <w:pPr>
        <w:pStyle w:val="ListParagraph"/>
        <w:numPr>
          <w:ilvl w:val="0"/>
          <w:numId w:val="2"/>
        </w:numPr>
        <w:spacing w:after="40" w:before="40"/>
      </w:pPr>
      <w:r>
        <w:rPr>
          <w:rFonts w:ascii="Arial" w:cs="Arial" w:eastAsia="Arial" w:hAnsi="Arial"/>
          <w:sz w:val="22"/>
          <w:szCs w:val="22"/>
        </w:rPr>
        <w:t xml:space="preserve">CEO direction: keep it extremely simple and minimal. Everything must be self-explanatory. If you have to explain it, redesign it</w:t>
      </w:r>
    </w:p>
    <w:p>
      <w:pPr>
        <w:pStyle w:val="ListParagraph"/>
        <w:numPr>
          <w:ilvl w:val="0"/>
          <w:numId w:val="2"/>
        </w:numPr>
        <w:spacing w:after="40" w:before="40"/>
      </w:pPr>
      <w:r>
        <w:rPr>
          <w:rFonts w:ascii="Arial" w:cs="Arial" w:eastAsia="Arial" w:hAnsi="Arial"/>
          <w:sz w:val="22"/>
          <w:szCs w:val="22"/>
        </w:rPr>
        <w:t xml:space="preserve">Design philosophy confirmed: follow Google’s approach — maximum simplicity, minimal text, clear calls to action</w:t>
      </w:r>
    </w:p>
    <w:p>
      <w:pPr>
        <w:pStyle w:val="ListParagraph"/>
        <w:numPr>
          <w:ilvl w:val="0"/>
          <w:numId w:val="2"/>
        </w:numPr>
        <w:spacing w:after="40" w:before="40"/>
      </w:pPr>
      <w:r>
        <w:rPr>
          <w:rFonts w:ascii="Arial" w:cs="Arial" w:eastAsia="Arial" w:hAnsi="Arial"/>
          <w:sz w:val="22"/>
          <w:szCs w:val="22"/>
        </w:rPr>
        <w:t xml:space="preserve">Domain name strategy: must be distinct per audience. If the page is for merchants, the URL/domain must reflect that. If it is for consumers (registrants and donors), the URL must reflect that. Do not mix audiences on one domain</w:t>
      </w:r>
    </w:p>
    <w:p>
      <w:pPr>
        <w:pStyle w:val="ListParagraph"/>
        <w:numPr>
          <w:ilvl w:val="0"/>
          <w:numId w:val="2"/>
        </w:numPr>
        <w:spacing w:after="40" w:before="40"/>
      </w:pPr>
      <w:r>
        <w:rPr>
          <w:rFonts w:ascii="Arial" w:cs="Arial" w:eastAsia="Arial" w:hAnsi="Arial"/>
          <w:sz w:val="22"/>
          <w:szCs w:val="22"/>
        </w:rPr>
        <w:t xml:space="preserve">User routing: add a simple entry question — “Are you a business or an individual?” If business, go to merchant application. If individual, go to the registrant journey or show a list of partner merchants they can register through</w:t>
      </w:r>
    </w:p>
    <w:p>
      <w:pPr>
        <w:pStyle w:val="Heading2"/>
        <w:spacing w:after="80" w:before="240"/>
      </w:pPr>
      <w:r>
        <w:rPr>
          <w:rFonts w:ascii="Arial" w:cs="Arial" w:eastAsia="Arial" w:hAnsi="Arial"/>
          <w:b/>
          <w:bCs/>
          <w:color w:val="2E6BA8"/>
          <w:sz w:val="26"/>
          <w:szCs w:val="26"/>
        </w:rPr>
        <w:t xml:space="preserve">7.2  Merchant Application Flow</w:t>
      </w:r>
    </w:p>
    <w:p>
      <w:pPr>
        <w:pStyle w:val="ListParagraph"/>
        <w:numPr>
          <w:ilvl w:val="0"/>
          <w:numId w:val="2"/>
        </w:numPr>
        <w:spacing w:after="40" w:before="40"/>
      </w:pPr>
      <w:r>
        <w:rPr>
          <w:rFonts w:ascii="Arial" w:cs="Arial" w:eastAsia="Arial" w:hAnsi="Arial"/>
          <w:sz w:val="22"/>
          <w:szCs w:val="22"/>
        </w:rPr>
        <w:t xml:space="preserve">Current design: merchants apply via a form on the gift registry landing page. Approval is then handled manually by MojoPay</w:t>
      </w:r>
    </w:p>
    <w:p>
      <w:pPr>
        <w:pStyle w:val="ListParagraph"/>
        <w:numPr>
          <w:ilvl w:val="0"/>
          <w:numId w:val="2"/>
        </w:numPr>
        <w:spacing w:after="40" w:before="40"/>
      </w:pPr>
      <w:r>
        <w:rPr>
          <w:rFonts w:ascii="Arial" w:cs="Arial" w:eastAsia="Arial" w:hAnsi="Arial"/>
          <w:sz w:val="22"/>
          <w:szCs w:val="22"/>
        </w:rPr>
        <w:t xml:space="preserve">Ideal design (future): the ‘Apply Now’ button on the gift registry page should redirect directly to the central merchant onboarding platform. Once the merchant completes onboarding, they are automatically brought back to the gift registry product and given their link</w:t>
      </w:r>
    </w:p>
    <w:p>
      <w:pPr>
        <w:pStyle w:val="ListParagraph"/>
        <w:numPr>
          <w:ilvl w:val="0"/>
          <w:numId w:val="2"/>
        </w:numPr>
        <w:spacing w:after="40" w:before="40"/>
      </w:pPr>
      <w:r>
        <w:rPr>
          <w:rFonts w:ascii="Arial" w:cs="Arial" w:eastAsia="Arial" w:hAnsi="Arial"/>
          <w:sz w:val="22"/>
          <w:szCs w:val="22"/>
        </w:rPr>
        <w:t xml:space="preserve">Blocker: this redirect is not yet possible because the merchant onboarding platform and the gift registry are not yet integrated. A manual form process is acceptable for now</w:t>
      </w:r>
    </w:p>
    <w:p>
      <w:pPr>
        <w:pStyle w:val="ListParagraph"/>
        <w:numPr>
          <w:ilvl w:val="0"/>
          <w:numId w:val="2"/>
        </w:numPr>
        <w:spacing w:after="40" w:before="40"/>
      </w:pPr>
      <w:r>
        <w:rPr>
          <w:rFonts w:ascii="Arial" w:cs="Arial" w:eastAsia="Arial" w:hAnsi="Arial"/>
          <w:sz w:val="22"/>
          <w:szCs w:val="22"/>
        </w:rPr>
        <w:t xml:space="preserve">CEO: “If we can’t find a smooth way to redirect the merchant to the onboarding platform and back, we manage it manually until we can. But make sure it’s on the list.”</w:t>
      </w:r>
    </w:p>
    <w:p>
      <w:pPr>
        <w:pStyle w:val="ListParagraph"/>
        <w:numPr>
          <w:ilvl w:val="0"/>
          <w:numId w:val="2"/>
        </w:numPr>
        <w:spacing w:after="40" w:before="40"/>
      </w:pPr>
      <w:r>
        <w:rPr>
          <w:rFonts w:ascii="Arial" w:cs="Arial" w:eastAsia="Arial" w:hAnsi="Arial"/>
          <w:sz w:val="22"/>
          <w:szCs w:val="22"/>
        </w:rPr>
        <w:t xml:space="preserve">Andrews is working on the merchant credentials component</w:t>
      </w:r>
    </w:p>
    <w:p>
      <w:pPr>
        <w:pStyle w:val="Heading2"/>
        <w:spacing w:after="80" w:before="240"/>
      </w:pPr>
      <w:r>
        <w:rPr>
          <w:rFonts w:ascii="Arial" w:cs="Arial" w:eastAsia="Arial" w:hAnsi="Arial"/>
          <w:b/>
          <w:bCs/>
          <w:color w:val="2E6BA8"/>
          <w:sz w:val="26"/>
          <w:szCs w:val="26"/>
        </w:rPr>
        <w:t xml:space="preserve">7.3  Fraud Controls — CEO Direction</w:t>
      </w:r>
    </w:p>
    <w:p>
      <w:pPr>
        <w:pStyle w:val="ListParagraph"/>
        <w:numPr>
          <w:ilvl w:val="0"/>
          <w:numId w:val="2"/>
        </w:numPr>
        <w:spacing w:after="40" w:before="40"/>
      </w:pPr>
      <w:r>
        <w:rPr>
          <w:rFonts w:ascii="Arial" w:cs="Arial" w:eastAsia="Arial" w:hAnsi="Arial"/>
          <w:sz w:val="22"/>
          <w:szCs w:val="22"/>
        </w:rPr>
        <w:t xml:space="preserve">The CEO raised fraud as a non-negotiable risk that must be addressed before the platform is opened broadly</w:t>
      </w:r>
    </w:p>
    <w:p>
      <w:pPr>
        <w:pStyle w:val="ListParagraph"/>
        <w:numPr>
          <w:ilvl w:val="0"/>
          <w:numId w:val="2"/>
        </w:numPr>
        <w:spacing w:after="40" w:before="40"/>
      </w:pPr>
      <w:r>
        <w:rPr>
          <w:rFonts w:ascii="Arial" w:cs="Arial" w:eastAsia="Arial" w:hAnsi="Arial"/>
          <w:sz w:val="22"/>
          <w:szCs w:val="22"/>
        </w:rPr>
        <w:t xml:space="preserve">Real case cited from past experience: a fundraising platform was launched, fake NGOs registered, and the team started seeing high volumes of stolen card transactions being processed to themselves. The NGO did not exist — or had been set up specifically to commit fraud. Even with a document showing the NGO exists, the team cannot verify it fully</w:t>
      </w:r>
    </w:p>
    <w:p>
      <w:pPr>
        <w:pStyle w:val="ListParagraph"/>
        <w:numPr>
          <w:ilvl w:val="0"/>
          <w:numId w:val="2"/>
        </w:numPr>
        <w:spacing w:after="40" w:before="40"/>
      </w:pPr>
      <w:r>
        <w:rPr>
          <w:rFonts w:ascii="Arial" w:cs="Arial" w:eastAsia="Arial" w:hAnsi="Arial"/>
          <w:sz w:val="22"/>
          <w:szCs w:val="22"/>
        </w:rPr>
        <w:t xml:space="preserve">Gift registries carry the same risk: a bad actor creates a fake profile using stolen photos from WhatsApp/Facebook/social media, sets up a registry, and tricks friends and family of the real person into contributing</w:t>
      </w:r>
    </w:p>
    <w:p>
      <w:pPr>
        <w:pStyle w:val="ListParagraph"/>
        <w:numPr>
          <w:ilvl w:val="0"/>
          <w:numId w:val="2"/>
        </w:numPr>
        <w:spacing w:after="40" w:before="40"/>
      </w:pPr>
      <w:r>
        <w:rPr>
          <w:rFonts w:ascii="Arial" w:cs="Arial" w:eastAsia="Arial" w:hAnsi="Arial"/>
          <w:sz w:val="22"/>
          <w:szCs w:val="22"/>
        </w:rPr>
        <w:t xml:space="preserve">Decision: do NOT open the platform to all merchants at launch. Start only with verified, known, reputable retailers: Latex Home, CompuGhana, Ashfoam, Game, ShopRite, Melcom, Decathlon, Northridge Cafe</w:t>
      </w:r>
    </w:p>
    <w:p>
      <w:pPr>
        <w:pStyle w:val="ListParagraph"/>
        <w:numPr>
          <w:ilvl w:val="0"/>
          <w:numId w:val="2"/>
        </w:numPr>
        <w:spacing w:after="40" w:before="40"/>
      </w:pPr>
      <w:r>
        <w:rPr>
          <w:rFonts w:ascii="Arial" w:cs="Arial" w:eastAsia="Arial" w:hAnsi="Arial"/>
          <w:sz w:val="22"/>
          <w:szCs w:val="22"/>
        </w:rPr>
        <w:t xml:space="preserve">Once those partners are comfortable and the fraud controls are proven, expand down to neighbourhood shops — but only with a process to verify the merchant is genuine</w:t>
      </w:r>
    </w:p>
    <w:p>
      <w:pPr>
        <w:pStyle w:val="ListParagraph"/>
        <w:numPr>
          <w:ilvl w:val="0"/>
          <w:numId w:val="2"/>
        </w:numPr>
        <w:spacing w:after="40" w:before="40"/>
      </w:pPr>
      <w:r>
        <w:rPr>
          <w:rFonts w:ascii="Arial" w:cs="Arial" w:eastAsia="Arial" w:hAnsi="Arial"/>
          <w:sz w:val="22"/>
          <w:szCs w:val="22"/>
        </w:rPr>
        <w:t xml:space="preserve">Question to resolve: is the merchant onboarding platform ready and suitable to handle this verification? If yes, redirect there. If not, manage manually for now</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8. Financial Services Exchange Platform (FSEP)</w:t>
      </w:r>
    </w:p>
    <w:p>
      <w:pPr>
        <w:spacing w:after="60" w:before="60"/>
      </w:pPr>
      <w:r>
        <w:rPr>
          <w:rFonts w:ascii="Arial" w:cs="Arial" w:eastAsia="Arial" w:hAnsi="Arial"/>
          <w:sz w:val="22"/>
          <w:szCs w:val="22"/>
        </w:rPr>
        <w:t xml:space="preserve">The CEO introduced FSEP as a major strategic product component that Deb was not yet aware of.</w:t>
      </w:r>
    </w:p>
    <w:p>
      <w:pPr>
        <w:pStyle w:val="ListParagraph"/>
        <w:numPr>
          <w:ilvl w:val="0"/>
          <w:numId w:val="2"/>
        </w:numPr>
        <w:spacing w:after="40" w:before="40"/>
      </w:pPr>
      <w:r>
        <w:rPr>
          <w:rFonts w:ascii="Arial" w:cs="Arial" w:eastAsia="Arial" w:hAnsi="Arial"/>
          <w:sz w:val="22"/>
          <w:szCs w:val="22"/>
        </w:rPr>
        <w:t xml:space="preserve">FSEP is MojoPay’s financial services marketplace. It aggregates financial products from multiple providers: pensions, savings, insurance, investments</w:t>
      </w:r>
    </w:p>
    <w:p>
      <w:pPr>
        <w:pStyle w:val="ListParagraph"/>
        <w:numPr>
          <w:ilvl w:val="0"/>
          <w:numId w:val="2"/>
        </w:numPr>
        <w:spacing w:after="40" w:before="40"/>
      </w:pPr>
      <w:r>
        <w:rPr>
          <w:rFonts w:ascii="Arial" w:cs="Arial" w:eastAsia="Arial" w:hAnsi="Arial"/>
          <w:sz w:val="22"/>
          <w:szCs w:val="22"/>
        </w:rPr>
        <w:t xml:space="preserve">A bank, microfinance company, or savings and loans institution takes one API from FSEP and gains access to all aggregated financial products — 10 pension providers, 10 insurance options, 10 investment products — without having to integrate each one individually</w:t>
      </w:r>
    </w:p>
    <w:p>
      <w:pPr>
        <w:pStyle w:val="ListParagraph"/>
        <w:numPr>
          <w:ilvl w:val="0"/>
          <w:numId w:val="2"/>
        </w:numPr>
        <w:spacing w:after="40" w:before="40"/>
      </w:pPr>
      <w:r>
        <w:rPr>
          <w:rFonts w:ascii="Arial" w:cs="Arial" w:eastAsia="Arial" w:hAnsi="Arial"/>
          <w:sz w:val="22"/>
          <w:szCs w:val="22"/>
        </w:rPr>
        <w:t xml:space="preserve">All parties make money from every transaction routed through the API</w:t>
      </w:r>
    </w:p>
    <w:p>
      <w:pPr>
        <w:pStyle w:val="ListParagraph"/>
        <w:numPr>
          <w:ilvl w:val="0"/>
          <w:numId w:val="2"/>
        </w:numPr>
        <w:spacing w:after="40" w:before="40"/>
      </w:pPr>
      <w:r>
        <w:rPr>
          <w:rFonts w:ascii="Arial" w:cs="Arial" w:eastAsia="Arial" w:hAnsi="Arial"/>
          <w:sz w:val="22"/>
          <w:szCs w:val="22"/>
        </w:rPr>
        <w:t xml:space="preserve">FSEP becomes the front-end consumer marketplace: a user comes to FSEP, sees all available financial products, selects one, and transacts — similar to how a financial services comparison and purchase platform works</w:t>
      </w:r>
    </w:p>
    <w:p>
      <w:pPr>
        <w:pStyle w:val="ListParagraph"/>
        <w:numPr>
          <w:ilvl w:val="0"/>
          <w:numId w:val="2"/>
        </w:numPr>
        <w:spacing w:after="40" w:before="40"/>
      </w:pPr>
      <w:r>
        <w:rPr>
          <w:rFonts w:ascii="Arial" w:cs="Arial" w:eastAsia="Arial" w:hAnsi="Arial"/>
          <w:sz w:val="22"/>
          <w:szCs w:val="22"/>
        </w:rPr>
        <w:t xml:space="preserve">Long-term vision: FSEP and MojoLive plug into each other. A MojoLive user who wants to invest or buy insurance sees FSEP products inside MojoLive. It’s the same underlying components, configured for different audiences</w:t>
      </w:r>
    </w:p>
    <w:p>
      <w:pPr>
        <w:pStyle w:val="ListParagraph"/>
        <w:numPr>
          <w:ilvl w:val="0"/>
          <w:numId w:val="2"/>
        </w:numPr>
        <w:spacing w:after="40" w:before="40"/>
      </w:pPr>
      <w:r>
        <w:rPr>
          <w:rFonts w:ascii="Arial" w:cs="Arial" w:eastAsia="Arial" w:hAnsi="Arial"/>
          <w:sz w:val="22"/>
          <w:szCs w:val="22"/>
        </w:rPr>
        <w:t xml:space="preserve">CEO: “It’s the same Lego bricks. You just configure them differently depending on who you are serving.”</w:t>
      </w:r>
    </w:p>
    <w:p>
      <w:pPr>
        <w:pStyle w:val="ListParagraph"/>
        <w:numPr>
          <w:ilvl w:val="0"/>
          <w:numId w:val="2"/>
        </w:numPr>
        <w:spacing w:after="40" w:before="40"/>
      </w:pPr>
      <w:r>
        <w:rPr>
          <w:rFonts w:ascii="Arial" w:cs="Arial" w:eastAsia="Arial" w:hAnsi="Arial"/>
          <w:sz w:val="22"/>
          <w:szCs w:val="22"/>
        </w:rPr>
        <w:t xml:space="preserve">Deb to review FSEP fully — this is a foundational product she must understand</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9. Deb’s Plan for Next Week</w:t>
      </w:r>
    </w:p>
    <w:p>
      <w:pPr>
        <w:pStyle w:val="ListParagraph"/>
        <w:numPr>
          <w:ilvl w:val="0"/>
          <w:numId w:val="2"/>
        </w:numPr>
        <w:spacing w:after="40" w:before="40"/>
      </w:pPr>
      <w:r>
        <w:rPr>
          <w:rFonts w:ascii="Arial" w:cs="Arial" w:eastAsia="Arial" w:hAnsi="Arial"/>
          <w:sz w:val="22"/>
          <w:szCs w:val="22"/>
        </w:rPr>
        <w:t xml:space="preserve">Call Ralph (Nasika founder) today — agree a time for the Monday call and run through the platform review findings with him</w:t>
      </w:r>
    </w:p>
    <w:p>
      <w:pPr>
        <w:pStyle w:val="ListParagraph"/>
        <w:numPr>
          <w:ilvl w:val="0"/>
          <w:numId w:val="2"/>
        </w:numPr>
        <w:spacing w:after="40" w:before="40"/>
      </w:pPr>
      <w:r>
        <w:rPr>
          <w:rFonts w:ascii="Arial" w:cs="Arial" w:eastAsia="Arial" w:hAnsi="Arial"/>
          <w:sz w:val="22"/>
          <w:szCs w:val="22"/>
        </w:rPr>
        <w:t xml:space="preserve">Monday: be on the call with Ralph and the CEO to present the Nasika review and discuss the partnership / acquisition options</w:t>
      </w:r>
    </w:p>
    <w:p>
      <w:pPr>
        <w:pStyle w:val="ListParagraph"/>
        <w:numPr>
          <w:ilvl w:val="0"/>
          <w:numId w:val="2"/>
        </w:numPr>
        <w:spacing w:after="40" w:before="40"/>
      </w:pPr>
      <w:r>
        <w:rPr>
          <w:rFonts w:ascii="Arial" w:cs="Arial" w:eastAsia="Arial" w:hAnsi="Arial"/>
          <w:sz w:val="22"/>
          <w:szCs w:val="22"/>
        </w:rPr>
        <w:t xml:space="preserve">Meeting with Gerard: share the billing capabilities information and the merchant console IA for review</w:t>
      </w:r>
    </w:p>
    <w:p>
      <w:pPr>
        <w:pStyle w:val="ListParagraph"/>
        <w:numPr>
          <w:ilvl w:val="0"/>
          <w:numId w:val="2"/>
        </w:numPr>
        <w:spacing w:after="40" w:before="40"/>
      </w:pPr>
      <w:r>
        <w:rPr>
          <w:rFonts w:ascii="Arial" w:cs="Arial" w:eastAsia="Arial" w:hAnsi="Arial"/>
          <w:sz w:val="22"/>
          <w:szCs w:val="22"/>
        </w:rPr>
        <w:t xml:space="preserve">Share the back-issues log with the team (formatted Excel)</w:t>
      </w:r>
    </w:p>
    <w:p>
      <w:pPr>
        <w:pStyle w:val="ListParagraph"/>
        <w:numPr>
          <w:ilvl w:val="0"/>
          <w:numId w:val="2"/>
        </w:numPr>
        <w:spacing w:after="40" w:before="40"/>
      </w:pPr>
      <w:r>
        <w:rPr>
          <w:rFonts w:ascii="Arial" w:cs="Arial" w:eastAsia="Arial" w:hAnsi="Arial"/>
          <w:sz w:val="22"/>
          <w:szCs w:val="22"/>
        </w:rPr>
        <w:t xml:space="preserve">Reach out to Tom: if the user stories for tickets and events are structured properly and shared with him, he can begin designing the first feature. Aim to get this to Tom so he can start</w:t>
      </w:r>
    </w:p>
    <w:p>
      <w:pPr>
        <w:pStyle w:val="ListParagraph"/>
        <w:numPr>
          <w:ilvl w:val="0"/>
          <w:numId w:val="2"/>
        </w:numPr>
        <w:spacing w:after="40" w:before="40"/>
      </w:pPr>
      <w:r>
        <w:rPr>
          <w:rFonts w:ascii="Arial" w:cs="Arial" w:eastAsia="Arial" w:hAnsi="Arial"/>
          <w:sz w:val="22"/>
          <w:szCs w:val="22"/>
        </w:rPr>
        <w:t xml:space="preserve">Write the user stories for tickets and events (Mojo Live merchant flow)</w:t>
      </w:r>
    </w:p>
    <w:p>
      <w:pPr>
        <w:pBdr>
          <w:bottom w:val="single" w:color="CCCCCC" w:sz="4" w:space="1"/>
        </w:pBdr>
        <w:spacing w:after="160" w:before="160"/>
      </w:pPr>
    </w:p>
    <w:p>
      <w:pPr>
        <w:pStyle w:val="Heading1"/>
        <w:spacing w:after="120" w:before="320"/>
      </w:pPr>
      <w:r>
        <w:rPr>
          <w:rFonts w:ascii="Arial" w:cs="Arial" w:eastAsia="Arial" w:hAnsi="Arial"/>
          <w:b/>
          <w:bCs/>
          <w:color w:val="1A3C5E"/>
          <w:sz w:val="32"/>
          <w:szCs w:val="32"/>
        </w:rPr>
        <w:t xml:space="preserve">10.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c>
          <w:tcPr>
            <w:tcW w:type="dxa" w:w="5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Call Ralph (Nasika founder) today to agree time for Monday platform review call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w:t>
            </w:r>
          </w:p>
        </w:tc>
        <w:tc>
          <w:tcPr>
            <w:tcW w:type="dxa" w:w="1960"/>
            <w:tcBorders>
              <w:top w:val="single" w:color="DDDDDD" w:sz="1"/>
              <w:left w:val="single" w:color="DDDDDD" w:sz="1"/>
              <w:bottom w:val="single" w:color="DDDDDD" w:sz="1"/>
              <w:right w:val="single" w:color="DDDDDD" w:sz="1"/>
            </w:tcBorders>
            <w:shd w:fill="FFE0E0" w:val="clear"/>
            <w:tcMar>
              <w:top w:type="dxa" w:w="80"/>
              <w:left w:type="dxa" w:w="120"/>
              <w:bottom w:type="dxa" w:w="80"/>
              <w:right w:type="dxa" w:w="120"/>
            </w:tcMar>
          </w:tcPr>
          <w:p>
            <w:r>
              <w:rPr>
                <w:rFonts w:ascii="Arial" w:cs="Arial" w:eastAsia="Arial" w:hAnsi="Arial"/>
                <w:sz w:val="20"/>
                <w:szCs w:val="20"/>
              </w:rPr>
              <w:t xml:space="preserve">Today</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Be on the Monday call with Ralph and CEO — present Nasika review findings; discuss white-label vs. acquisition options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 + CEO</w:t>
            </w:r>
          </w:p>
        </w:tc>
        <w:tc>
          <w:tcPr>
            <w:tcW w:type="dxa" w:w="1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Monday</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Get access to the merchant onboarding platform — ask Cromwell / Kalim. Go through it independently and assess: look, feel, ease of use, completeness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 + Esther</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Map all platform components (sign-up, checkout, OTP, KYC, link generation, etc.) and identify which products currently use which components — the Lego map</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 + Andrews</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 unified platform standards: password policy, account lockout rules, error messaging, OTP trigger conditions, password reset flow. One standard for all products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 + Andrews</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Complete billing capabilities audit with Gerard and Farouk: list every billing option, its use case, and who it is for. Map which are already in MojoLive vs. separate products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 + Gerard + Farouk</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Finalise and share the merchant console information architecture with Gerard and Farouk for review</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Write user stories for tickets and events (merchant flow) and share with Tom so he can begin designing the first feature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Share the back-issues log (formatted Excel) with the full team</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Meeting with Gerard: walk through billing capabilities and merchant console IA</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 + Gerard</w:t>
            </w:r>
          </w:p>
        </w:tc>
        <w:tc>
          <w:tcPr>
            <w:tcW w:type="dxa" w:w="19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sz w:val="20"/>
                <w:szCs w:val="20"/>
              </w:rPr>
              <w:t xml:space="preserve">Next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Review FSEP (Financial Services Exchange Platform) fully — understand its architecture, what it aggregates, and how it connects to MojoLive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w:t>
            </w:r>
          </w:p>
        </w:tc>
        <w:tc>
          <w:tcPr>
            <w:tcW w:type="dxa" w:w="19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sz w:val="20"/>
                <w:szCs w:val="20"/>
              </w:rPr>
              <w:t xml:space="preserve">Next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Resolve the gift registry merchant application flow: check if the merchant onboarding platform can handle the redirect from the gift registry apply button and bring the merchant back. If not, document the manual process clearly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 + Andrews + Kwame</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Restrict gift registry launch to verified reputable merchants only (Latex Home, CompuGhana, Ashfoam, Game, ShopRite, Melcom, Decathlon). Do not open broadly until fraud controls are confirmed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CEO + Deb</w:t>
            </w:r>
          </w:p>
        </w:tc>
        <w:tc>
          <w:tcPr>
            <w:tcW w:type="dxa" w:w="1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Before launch</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Continue experiencing MojoLive as a consumer — Deb has done the merchant side; now go through the consumer journey end to end independently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CEO to request Nasika’s 2-year transaction history: product breakdown, sign-ups, and transaction volumes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CEO</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Andrews to complete the merchant credentials component for the gift registry onboarding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Andrews</w:t>
            </w:r>
          </w:p>
        </w:tc>
        <w:tc>
          <w:tcPr>
            <w:tcW w:type="dxa" w:w="19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sz w:val="20"/>
                <w:szCs w:val="20"/>
              </w:rPr>
              <w:t xml:space="preserve">This week</w:t>
            </w:r>
          </w:p>
        </w:tc>
      </w:tr>
    </w:tbl>
    <w:p>
      <w:pPr>
        <w:pBdr>
          <w:bottom w:val="single" w:color="CCCCCC" w:sz="4" w:space="1"/>
        </w:pBdr>
        <w:spacing w:after="160" w:before="160"/>
      </w:pPr>
    </w:p>
    <w:p>
      <w:pPr>
        <w:spacing w:before="120"/>
        <w:jc w:val="center"/>
      </w:pPr>
      <w:r>
        <w:rPr>
          <w:rFonts w:ascii="Arial" w:cs="Arial" w:eastAsia="Arial" w:hAnsi="Arial"/>
          <w:i/>
          <w:iCs/>
          <w:color w:val="888888"/>
          <w:sz w:val="18"/>
          <w:szCs w:val="18"/>
        </w:rPr>
        <w:t xml:space="preserve">Notes compiled from session audio · Week of 16 June 2026 · MojoPay Offices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2026-06-19T12:56:33.893Z</dcterms:created>
  <dcterms:modified xsi:type="dcterms:W3CDTF">2026-06-19T12:56:33.909Z</dcterms:modified>
</cp:coreProperties>
</file>

<file path=docProps/custom.xml><?xml version="1.0" encoding="utf-8"?>
<Properties xmlns="http://schemas.openxmlformats.org/officeDocument/2006/custom-properties" xmlns:vt="http://schemas.openxmlformats.org/officeDocument/2006/docPropsVTypes"/>
</file>