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1.png" ContentType="image/png"/>
  <Override PartName="/word/media/rId29.png" ContentType="image/png"/>
  <Override PartName="/word/media/rId32.png" ContentType="image/png"/>
  <Override PartName="/word/media/rId35.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Exercise</w:t>
      </w:r>
      <w:r>
        <w:t xml:space="preserve"> </w:t>
      </w:r>
      <w:r>
        <w:t xml:space="preserve">7.2</w:t>
      </w:r>
      <w:r>
        <w:t xml:space="preserve"> </w:t>
      </w:r>
      <w:r>
        <w:t xml:space="preserve">Calculate</w:t>
      </w:r>
      <w:r>
        <w:t xml:space="preserve"> </w:t>
      </w:r>
      <w:r>
        <w:t xml:space="preserve">Spectral</w:t>
      </w:r>
      <w:r>
        <w:t xml:space="preserve"> </w:t>
      </w:r>
      <w:r>
        <w:t xml:space="preserve">Indices</w:t>
      </w:r>
    </w:p>
    <w:p>
      <w:pPr>
        <w:pStyle w:val="Date"/>
      </w:pPr>
      <w:r>
        <w:t xml:space="preserve">2024-07-30</w:t>
      </w:r>
    </w:p>
    <w:bookmarkStart w:id="20" w:name="required-time-30-minutes"/>
    <w:p>
      <w:pPr>
        <w:pStyle w:val="Heading1"/>
      </w:pPr>
      <w:r>
        <w:t xml:space="preserve">Required time: 30 minutes</w:t>
      </w:r>
    </w:p>
    <w:bookmarkEnd w:id="20"/>
    <w:bookmarkStart w:id="25" w:name="data-reqired"/>
    <w:p>
      <w:pPr>
        <w:pStyle w:val="Heading1"/>
      </w:pPr>
      <w:r>
        <w:t xml:space="preserve">Data reqired:</w:t>
      </w:r>
    </w:p>
    <w:p>
      <w:pPr>
        <w:pStyle w:val="FirstParagraph"/>
      </w:pPr>
      <w:r>
        <w:t xml:space="preserve">R-script:</w:t>
      </w:r>
      <w:r>
        <w:t xml:space="preserve"> </w:t>
      </w:r>
      <w:hyperlink r:id="rId21">
        <w:r>
          <w:rPr>
            <w:rStyle w:val="Hyperlink"/>
          </w:rPr>
          <w:t xml:space="preserve">https://link</w:t>
        </w:r>
      </w:hyperlink>
      <w:r>
        <w:t xml:space="preserve"> </w:t>
      </w:r>
      <w:r>
        <w:t xml:space="preserve">to final script.r</w:t>
      </w:r>
    </w:p>
    <w:p>
      <w:pPr>
        <w:pStyle w:val="BodyText"/>
      </w:pPr>
      <w:r>
        <w:t xml:space="preserve">The cloud optimized geotiff (COG) used in this exercise is a median composite of Harmonized Sentinel 2 MSI surface reflectance data for the San Rafael Swell Area of Utah. It was compiled using the code editor in Google Earth Engine.</w:t>
      </w:r>
    </w:p>
    <w:p>
      <w:pPr>
        <w:pStyle w:val="BodyText"/>
      </w:pPr>
      <w:r>
        <w:t xml:space="preserve">COG URL:</w:t>
      </w:r>
      <w:r>
        <w:t xml:space="preserve"> </w:t>
      </w:r>
      <w:hyperlink r:id="rId22">
        <w:r>
          <w:rPr>
            <w:rStyle w:val="Hyperlink"/>
          </w:rPr>
          <w:t xml:space="preserve">https://storage.googleapis.com/rsssa-bucket/sen2_srSwell_2015-2020.tif</w:t>
        </w:r>
      </w:hyperlink>
    </w:p>
    <w:p>
      <w:pPr>
        <w:pStyle w:val="BodyText"/>
      </w:pPr>
      <w:r>
        <w:t xml:space="preserve">Code for San Rafael Swell data set :</w:t>
      </w:r>
      <w:r>
        <w:t xml:space="preserve"> </w:t>
      </w:r>
      <w:hyperlink r:id="rId23">
        <w:r>
          <w:rPr>
            <w:rStyle w:val="Hyperlink"/>
          </w:rPr>
          <w:t xml:space="preserve">https://code.earthengine.google.com/47e01ed669f664ff1a4a052b0f1d1afb?noload=1</w:t>
        </w:r>
      </w:hyperlink>
    </w:p>
    <w:p>
      <w:pPr>
        <w:pStyle w:val="BodyText"/>
      </w:pPr>
      <w:r>
        <w:t xml:space="preserve">The composite stack includes the following Sentinel2</w:t>
      </w:r>
      <w:r>
        <w:br/>
      </w:r>
      <w:r>
        <w:t xml:space="preserve">bands: [</w:t>
      </w:r>
      <w:r>
        <w:t xml:space="preserve">‘</w:t>
      </w:r>
      <w:r>
        <w:t xml:space="preserve">B2</w:t>
      </w:r>
      <w:r>
        <w:t xml:space="preserve">’</w:t>
      </w:r>
      <w:r>
        <w:t xml:space="preserve">,</w:t>
      </w:r>
      <w:r>
        <w:t xml:space="preserve">‘</w:t>
      </w:r>
      <w:r>
        <w:t xml:space="preserve">B3</w:t>
      </w:r>
      <w:r>
        <w:t xml:space="preserve">’</w:t>
      </w:r>
      <w:r>
        <w:t xml:space="preserve">,</w:t>
      </w:r>
      <w:r>
        <w:t xml:space="preserve">‘</w:t>
      </w:r>
      <w:r>
        <w:t xml:space="preserve">B4</w:t>
      </w:r>
      <w:r>
        <w:t xml:space="preserve">’</w:t>
      </w:r>
      <w:r>
        <w:t xml:space="preserve">,</w:t>
      </w:r>
      <w:r>
        <w:t xml:space="preserve">‘</w:t>
      </w:r>
      <w:r>
        <w:t xml:space="preserve">B5</w:t>
      </w:r>
      <w:r>
        <w:t xml:space="preserve">’</w:t>
      </w:r>
      <w:r>
        <w:t xml:space="preserve">,</w:t>
      </w:r>
      <w:r>
        <w:t xml:space="preserve">‘</w:t>
      </w:r>
      <w:r>
        <w:t xml:space="preserve">B6</w:t>
      </w:r>
      <w:r>
        <w:t xml:space="preserve">’</w:t>
      </w:r>
      <w:r>
        <w:t xml:space="preserve">,</w:t>
      </w:r>
      <w:r>
        <w:t xml:space="preserve">‘</w:t>
      </w:r>
      <w:r>
        <w:t xml:space="preserve">B7</w:t>
      </w:r>
      <w:r>
        <w:t xml:space="preserve">’</w:t>
      </w:r>
      <w:r>
        <w:t xml:space="preserve">,</w:t>
      </w:r>
      <w:r>
        <w:t xml:space="preserve">‘</w:t>
      </w:r>
      <w:r>
        <w:t xml:space="preserve">B8</w:t>
      </w:r>
      <w:r>
        <w:t xml:space="preserve">’</w:t>
      </w:r>
      <w:r>
        <w:t xml:space="preserve">,</w:t>
      </w:r>
      <w:r>
        <w:t xml:space="preserve">‘</w:t>
      </w:r>
      <w:r>
        <w:t xml:space="preserve">B8A</w:t>
      </w:r>
      <w:r>
        <w:t xml:space="preserve">’</w:t>
      </w:r>
      <w:r>
        <w:t xml:space="preserve">,</w:t>
      </w:r>
      <w:r>
        <w:t xml:space="preserve"> </w:t>
      </w:r>
      <w:r>
        <w:t xml:space="preserve">‘</w:t>
      </w:r>
      <w:r>
        <w:t xml:space="preserve">B11</w:t>
      </w:r>
      <w:r>
        <w:t xml:space="preserve">’</w:t>
      </w:r>
      <w:r>
        <w:t xml:space="preserve">,</w:t>
      </w:r>
      <w:r>
        <w:t xml:space="preserve">‘</w:t>
      </w:r>
      <w:r>
        <w:t xml:space="preserve">B12</w:t>
      </w:r>
      <w:r>
        <w:t xml:space="preserve">’</w:t>
      </w:r>
      <w:r>
        <w:t xml:space="preserve">]</w:t>
      </w:r>
      <w:r>
        <w:br/>
      </w:r>
      <w:r>
        <w:t xml:space="preserve">renamed to: [</w:t>
      </w:r>
      <w:r>
        <w:t xml:space="preserve">‘</w:t>
      </w:r>
      <w:r>
        <w:t xml:space="preserve">blue</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re1</w:t>
      </w:r>
      <w:r>
        <w:t xml:space="preserve">’</w:t>
      </w:r>
      <w:r>
        <w:t xml:space="preserve">,</w:t>
      </w:r>
      <w:r>
        <w:t xml:space="preserve">‘</w:t>
      </w:r>
      <w:r>
        <w:t xml:space="preserve">re2</w:t>
      </w:r>
      <w:r>
        <w:t xml:space="preserve">’</w:t>
      </w:r>
      <w:r>
        <w:t xml:space="preserve">,</w:t>
      </w:r>
      <w:r>
        <w:t xml:space="preserve">‘</w:t>
      </w:r>
      <w:r>
        <w:t xml:space="preserve">re3</w:t>
      </w:r>
      <w:r>
        <w:t xml:space="preserve">’</w:t>
      </w:r>
      <w:r>
        <w:t xml:space="preserve">,</w:t>
      </w:r>
      <w:r>
        <w:t xml:space="preserve">‘</w:t>
      </w:r>
      <w:r>
        <w:t xml:space="preserve">nir</w:t>
      </w:r>
      <w:r>
        <w:t xml:space="preserve">’</w:t>
      </w:r>
      <w:r>
        <w:t xml:space="preserve">,</w:t>
      </w:r>
      <w:r>
        <w:t xml:space="preserve"> </w:t>
      </w:r>
      <w:r>
        <w:t xml:space="preserve">‘</w:t>
      </w:r>
      <w:r>
        <w:t xml:space="preserve">nir2</w:t>
      </w:r>
      <w:r>
        <w:t xml:space="preserve">’</w:t>
      </w:r>
      <w:r>
        <w:t xml:space="preserve">,</w:t>
      </w:r>
      <w:r>
        <w:t xml:space="preserve"> </w:t>
      </w:r>
      <w:r>
        <w:t xml:space="preserve">‘</w:t>
      </w:r>
      <w:r>
        <w:t xml:space="preserve">swir1</w:t>
      </w:r>
      <w:r>
        <w:t xml:space="preserve">’</w:t>
      </w:r>
      <w:r>
        <w:t xml:space="preserve">,</w:t>
      </w:r>
      <w:r>
        <w:t xml:space="preserve"> </w:t>
      </w:r>
      <w:r>
        <w:t xml:space="preserve">‘</w:t>
      </w:r>
      <w:r>
        <w:t xml:space="preserve">swir2</w:t>
      </w:r>
      <w:r>
        <w:t xml:space="preserve">’</w:t>
      </w:r>
      <w:r>
        <w:t xml:space="preserve">].</w:t>
      </w:r>
    </w:p>
    <w:p>
      <w:pPr>
        <w:pStyle w:val="BodyText"/>
      </w:pPr>
      <w:r>
        <w:t xml:space="preserve">For more information on the Harmonized Sentinel 2 dataset:</w:t>
      </w:r>
      <w:r>
        <w:t xml:space="preserve"> </w:t>
      </w:r>
      <w:hyperlink r:id="rId24">
        <w:r>
          <w:rPr>
            <w:rStyle w:val="Hyperlink"/>
          </w:rPr>
          <w:t xml:space="preserve">https://developers.google.com/earth-engine/datasets/catalog/COPERNICUS_S2_SR_HARMONIZED</w:t>
        </w:r>
      </w:hyperlink>
    </w:p>
    <w:bookmarkEnd w:id="25"/>
    <w:bookmarkStart w:id="26" w:name="objectives"/>
    <w:p>
      <w:pPr>
        <w:pStyle w:val="Heading1"/>
      </w:pPr>
      <w:r>
        <w:t xml:space="preserve">Objectives:</w:t>
      </w:r>
    </w:p>
    <w:p>
      <w:pPr>
        <w:numPr>
          <w:ilvl w:val="0"/>
          <w:numId w:val="1001"/>
        </w:numPr>
        <w:pStyle w:val="Compact"/>
      </w:pPr>
      <w:r>
        <w:t xml:space="preserve">Display RGB composite image from cloud optimized geotiffs</w:t>
      </w:r>
    </w:p>
    <w:p>
      <w:pPr>
        <w:numPr>
          <w:ilvl w:val="0"/>
          <w:numId w:val="1001"/>
        </w:numPr>
        <w:pStyle w:val="Compact"/>
      </w:pPr>
      <w:r>
        <w:t xml:space="preserve">Define normalized difference function, calculate indices and plot</w:t>
      </w:r>
    </w:p>
    <w:p>
      <w:pPr>
        <w:numPr>
          <w:ilvl w:val="0"/>
          <w:numId w:val="1001"/>
        </w:numPr>
        <w:pStyle w:val="Compact"/>
      </w:pPr>
      <w:r>
        <w:t xml:space="preserve">Calculate other well known spectral indices and plot</w:t>
      </w:r>
    </w:p>
    <w:bookmarkEnd w:id="26"/>
    <w:bookmarkStart w:id="50" w:name="calculate-spectaral-indices-overview"/>
    <w:p>
      <w:pPr>
        <w:pStyle w:val="Heading1"/>
      </w:pPr>
      <w:r>
        <w:t xml:space="preserve">Calculate spectaral indices overview</w:t>
      </w:r>
    </w:p>
    <w:p>
      <w:pPr>
        <w:pStyle w:val="BlockText"/>
      </w:pPr>
      <w:r>
        <w:t xml:space="preserve">In this exercise you will work with a cloud optimized geotiff or COG. This COG contains a composite image of Sentinel2 data. You will visualize this data assigning different bands to each of the different color channel R,G,B. The data will then be used to calculate various spectral indices.</w:t>
      </w:r>
    </w:p>
    <w:bookmarkStart w:id="27" w:name="load-important-libraries"/>
    <w:p>
      <w:pPr>
        <w:pStyle w:val="Heading2"/>
      </w:pPr>
      <w:r>
        <w:t xml:space="preserve">Load important libraries</w:t>
      </w:r>
    </w:p>
    <w:p>
      <w:pPr>
        <w:pStyle w:val="SourceCode"/>
      </w:pPr>
      <w:r>
        <w:rPr>
          <w:rStyle w:val="FunctionTok"/>
        </w:rPr>
        <w:t xml:space="preserve">library</w:t>
      </w:r>
      <w:r>
        <w:rPr>
          <w:rStyle w:val="NormalTok"/>
        </w:rPr>
        <w:t xml:space="preserve">(terra)</w:t>
      </w:r>
    </w:p>
    <w:p>
      <w:pPr>
        <w:pStyle w:val="SourceCode"/>
      </w:pPr>
      <w:r>
        <w:rPr>
          <w:rStyle w:val="VerbatimChar"/>
        </w:rPr>
        <w:t xml:space="preserve">## terra 1.7.69</w:t>
      </w:r>
    </w:p>
    <w:bookmarkEnd w:id="27"/>
    <w:bookmarkStart w:id="28" w:name="load-raster-data"/>
    <w:p>
      <w:pPr>
        <w:pStyle w:val="Heading2"/>
      </w:pPr>
      <w:r>
        <w:t xml:space="preserve">Load raster data</w:t>
      </w:r>
    </w:p>
    <w:p>
      <w:pPr>
        <w:pStyle w:val="SourceCode"/>
      </w:pPr>
      <w:r>
        <w:rPr>
          <w:rStyle w:val="CommentTok"/>
        </w:rPr>
        <w:t xml:space="preserve"># The raster data for this example is a cloud optimized geotiff</w:t>
      </w:r>
      <w:r>
        <w:br/>
      </w:r>
      <w:r>
        <w:rPr>
          <w:rStyle w:val="NormalTok"/>
        </w:rPr>
        <w:t xml:space="preserve">s2 </w:t>
      </w:r>
      <w:r>
        <w:rPr>
          <w:rStyle w:val="OtherTok"/>
        </w:rPr>
        <w:t xml:space="preserve">&lt;-</w:t>
      </w:r>
      <w:r>
        <w:rPr>
          <w:rStyle w:val="NormalTok"/>
        </w:rPr>
        <w:t xml:space="preserve"> </w:t>
      </w:r>
      <w:r>
        <w:rPr>
          <w:rStyle w:val="FunctionTok"/>
        </w:rPr>
        <w:t xml:space="preserve">rast</w:t>
      </w:r>
      <w:r>
        <w:rPr>
          <w:rStyle w:val="NormalTok"/>
        </w:rPr>
        <w:t xml:space="preserve">(</w:t>
      </w:r>
      <w:r>
        <w:rPr>
          <w:rStyle w:val="StringTok"/>
        </w:rPr>
        <w:t xml:space="preserve">'https://storage.googleapis.com/rsssa-bucket/sen2_srSwell_2015-2020.tif'</w:t>
      </w:r>
      <w:r>
        <w:rPr>
          <w:rStyle w:val="NormalTok"/>
        </w:rPr>
        <w:t xml:space="preserve">)</w:t>
      </w:r>
      <w:r>
        <w:br/>
      </w:r>
      <w:r>
        <w:br/>
      </w:r>
      <w:r>
        <w:rPr>
          <w:rStyle w:val="CommentTok"/>
        </w:rPr>
        <w:t xml:space="preserve"># inspect raster names in the s2 stack</w:t>
      </w:r>
      <w:r>
        <w:br/>
      </w:r>
      <w:r>
        <w:rPr>
          <w:rStyle w:val="FunctionTok"/>
        </w:rPr>
        <w:t xml:space="preserve">names</w:t>
      </w:r>
      <w:r>
        <w:rPr>
          <w:rStyle w:val="NormalTok"/>
        </w:rPr>
        <w:t xml:space="preserve">(s2)</w:t>
      </w:r>
    </w:p>
    <w:p>
      <w:pPr>
        <w:pStyle w:val="SourceCode"/>
      </w:pPr>
      <w:r>
        <w:rPr>
          <w:rStyle w:val="VerbatimChar"/>
        </w:rPr>
        <w:t xml:space="preserve">##  [1] "blue"  "green" "red"   "re1"   "re2"   "re3"   "nir"   "nir2"  "swir1"</w:t>
      </w:r>
      <w:r>
        <w:br/>
      </w:r>
      <w:r>
        <w:rPr>
          <w:rStyle w:val="VerbatimChar"/>
        </w:rPr>
        <w:t xml:space="preserve">## [10] "swir2"</w:t>
      </w:r>
    </w:p>
    <w:p>
      <w:pPr>
        <w:pStyle w:val="FirstParagraph"/>
      </w:pPr>
      <w:r>
        <w:t xml:space="preserve">Get the min/max values from the raster stack. This is needed to display the RGB compoite image</w:t>
      </w:r>
    </w:p>
    <w:p>
      <w:pPr>
        <w:pStyle w:val="SourceCode"/>
      </w:pPr>
      <w:r>
        <w:rPr>
          <w:rStyle w:val="FunctionTok"/>
        </w:rPr>
        <w:t xml:space="preserve">setMinMax</w:t>
      </w:r>
      <w:r>
        <w:rPr>
          <w:rStyle w:val="NormalTok"/>
        </w:rPr>
        <w:t xml:space="preserve">(s2)</w:t>
      </w:r>
    </w:p>
    <w:p>
      <w:pPr>
        <w:pStyle w:val="SourceCode"/>
      </w:pPr>
      <w:r>
        <w:rPr>
          <w:rStyle w:val="VerbatimChar"/>
        </w:rPr>
        <w:t xml:space="preserve">## class       : SpatRaster </w:t>
      </w:r>
      <w:r>
        <w:br/>
      </w:r>
      <w:r>
        <w:rPr>
          <w:rStyle w:val="VerbatimChar"/>
        </w:rPr>
        <w:t xml:space="preserve">## dimensions  : 655, 709, 10  (nrow, ncol, nlyr)</w:t>
      </w:r>
      <w:r>
        <w:br/>
      </w:r>
      <w:r>
        <w:rPr>
          <w:rStyle w:val="VerbatimChar"/>
        </w:rPr>
        <w:t xml:space="preserve">## resolution  : 10, 10  (x, y)</w:t>
      </w:r>
      <w:r>
        <w:br/>
      </w:r>
      <w:r>
        <w:rPr>
          <w:rStyle w:val="VerbatimChar"/>
        </w:rPr>
        <w:t xml:space="preserve">## extent      : 506810, 513900, 4322960, 4329510  (xmin, xmax, ymin, ymax)</w:t>
      </w:r>
      <w:r>
        <w:br/>
      </w:r>
      <w:r>
        <w:rPr>
          <w:rStyle w:val="VerbatimChar"/>
        </w:rPr>
        <w:t xml:space="preserve">## coord. ref. : NAD83 / UTM zone 12N (EPSG:26912) </w:t>
      </w:r>
      <w:r>
        <w:br/>
      </w:r>
      <w:r>
        <w:rPr>
          <w:rStyle w:val="VerbatimChar"/>
        </w:rPr>
        <w:t xml:space="preserve">## source      : sen2_srSwell_2015-2020.tif </w:t>
      </w:r>
      <w:r>
        <w:br/>
      </w:r>
      <w:r>
        <w:rPr>
          <w:rStyle w:val="VerbatimChar"/>
        </w:rPr>
        <w:t xml:space="preserve">## names       : blue, green,  red,  re1,  re2,  re3, ... </w:t>
      </w:r>
      <w:r>
        <w:br/>
      </w:r>
      <w:r>
        <w:rPr>
          <w:rStyle w:val="VerbatimChar"/>
        </w:rPr>
        <w:t xml:space="preserve">## min values  :  129,   224,  343,  861, 1048, 1127, ... </w:t>
      </w:r>
      <w:r>
        <w:br/>
      </w:r>
      <w:r>
        <w:rPr>
          <w:rStyle w:val="VerbatimChar"/>
        </w:rPr>
        <w:t xml:space="preserve">## max values  : 3950,  4476, 5028, 5040, 5123, 5294, ...</w:t>
      </w:r>
    </w:p>
    <w:bookmarkEnd w:id="28"/>
    <w:bookmarkStart w:id="49" w:name="plot-spectral-composite"/>
    <w:p>
      <w:pPr>
        <w:pStyle w:val="Heading2"/>
      </w:pPr>
      <w:r>
        <w:t xml:space="preserve">Plot Spectral Composite</w:t>
      </w:r>
    </w:p>
    <w:p>
      <w:pPr>
        <w:pStyle w:val="FirstParagraph"/>
      </w:pPr>
      <w:r>
        <w:t xml:space="preserve">We can use the</w:t>
      </w:r>
      <w:r>
        <w:t xml:space="preserve"> </w:t>
      </w:r>
      <w:r>
        <w:rPr>
          <w:rStyle w:val="VerbatimChar"/>
        </w:rPr>
        <w:t xml:space="preserve">plotRGB</w:t>
      </w:r>
      <w:r>
        <w:t xml:space="preserve"> </w:t>
      </w:r>
      <w:r>
        <w:t xml:space="preserve">function of the terra package to view the composite image. To do this you call the SpatRaster object, s2, and assign a band to each color channel.</w:t>
      </w:r>
    </w:p>
    <w:p>
      <w:pPr>
        <w:pStyle w:val="SourceCode"/>
      </w:pPr>
      <w:r>
        <w:rPr>
          <w:rStyle w:val="CommentTok"/>
        </w:rPr>
        <w:t xml:space="preserve"># plot a R,G,B view of the composite image</w:t>
      </w:r>
      <w:r>
        <w:br/>
      </w:r>
      <w:r>
        <w:rPr>
          <w:rStyle w:val="FunctionTok"/>
        </w:rPr>
        <w:t xml:space="preserve">plotRGB</w:t>
      </w:r>
      <w:r>
        <w:rPr>
          <w:rStyle w:val="NormalTok"/>
        </w:rPr>
        <w:t xml:space="preserve">(s2,</w:t>
      </w:r>
      <w:r>
        <w:br/>
      </w:r>
      <w:r>
        <w:rPr>
          <w:rStyle w:val="NormalTok"/>
        </w:rPr>
        <w:t xml:space="preserve">        </w:t>
      </w:r>
      <w:r>
        <w:rPr>
          <w:rStyle w:val="AttributeTok"/>
        </w:rPr>
        <w:t xml:space="preserve">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g =</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StringTok"/>
        </w:rPr>
        <w:t xml:space="preserve">'blue'</w:t>
      </w:r>
      <w:r>
        <w:rPr>
          <w:rStyle w:val="NormalTok"/>
        </w:rPr>
        <w:t xml:space="preserve">)</w:t>
      </w:r>
    </w:p>
    <w:p>
      <w:pPr>
        <w:pStyle w:val="CaptionedFigure"/>
      </w:pPr>
      <w:r>
        <w:drawing>
          <wp:inline>
            <wp:extent cx="4620126" cy="3696101"/>
            <wp:effectExtent b="0" l="0" r="0" t="0"/>
            <wp:docPr descr="RGB view of San Rafael Swell Area" title="" id="30" name="Picture"/>
            <a:graphic>
              <a:graphicData uri="http://schemas.openxmlformats.org/drawingml/2006/picture">
                <pic:pic>
                  <pic:nvPicPr>
                    <pic:cNvPr descr="7.2.calculate-spectral-indices_files/figure-docx/rgbPlotting-1.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RGB view of San Rafael Swell Area</w:t>
      </w:r>
    </w:p>
    <w:p>
      <w:pPr>
        <w:pStyle w:val="BodyText"/>
      </w:pPr>
      <w:r>
        <w:t xml:space="preserve">It can be helpful to apply a linear or historgram equalization stretch of the SpatRaster to aid in visualization.</w:t>
      </w:r>
    </w:p>
    <w:p>
      <w:pPr>
        <w:pStyle w:val="SourceCode"/>
      </w:pPr>
      <w:r>
        <w:rPr>
          <w:rStyle w:val="CommentTok"/>
        </w:rPr>
        <w:t xml:space="preserve"># apply a linear stretch</w:t>
      </w:r>
      <w:r>
        <w:br/>
      </w:r>
      <w:r>
        <w:rPr>
          <w:rStyle w:val="FunctionTok"/>
        </w:rPr>
        <w:t xml:space="preserve">plotRGB</w:t>
      </w:r>
      <w:r>
        <w:rPr>
          <w:rStyle w:val="NormalTok"/>
        </w:rPr>
        <w:t xml:space="preserve">(s2,</w:t>
      </w:r>
      <w:r>
        <w:br/>
      </w:r>
      <w:r>
        <w:rPr>
          <w:rStyle w:val="NormalTok"/>
        </w:rPr>
        <w:t xml:space="preserve">          </w:t>
      </w:r>
      <w:r>
        <w:rPr>
          <w:rStyle w:val="AttributeTok"/>
        </w:rPr>
        <w:t xml:space="preserve">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g =</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stretch =</w:t>
      </w:r>
      <w:r>
        <w:rPr>
          <w:rStyle w:val="NormalTok"/>
        </w:rPr>
        <w:t xml:space="preserve"> </w:t>
      </w:r>
      <w:r>
        <w:rPr>
          <w:rStyle w:val="StringTok"/>
        </w:rPr>
        <w:t xml:space="preserve">'lin'</w:t>
      </w:r>
      <w:r>
        <w:rPr>
          <w:rStyle w:val="NormalTok"/>
        </w:rPr>
        <w:t xml:space="preserve">) </w:t>
      </w:r>
      <w:r>
        <w:rPr>
          <w:rStyle w:val="CommentTok"/>
        </w:rPr>
        <w:t xml:space="preserve"># 'hist'</w:t>
      </w:r>
    </w:p>
    <w:p>
      <w:pPr>
        <w:pStyle w:val="FirstParagraph"/>
      </w:pPr>
      <w:r>
        <w:drawing>
          <wp:inline>
            <wp:extent cx="4620126" cy="3696101"/>
            <wp:effectExtent b="0" l="0" r="0" t="0"/>
            <wp:docPr descr="" title="" id="33" name="Picture"/>
            <a:graphic>
              <a:graphicData uri="http://schemas.openxmlformats.org/drawingml/2006/picture">
                <pic:pic>
                  <pic:nvPicPr>
                    <pic:cNvPr descr="7.2.calculate-spectral-indices_files/figure-docx/rgblin-1.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a smoother visual output, set smooth option = TRUE</w:t>
      </w:r>
    </w:p>
    <w:p>
      <w:pPr>
        <w:pStyle w:val="SourceCode"/>
      </w:pPr>
      <w:r>
        <w:rPr>
          <w:rStyle w:val="CommentTok"/>
        </w:rPr>
        <w:t xml:space="preserve"># add smoothing to the plot</w:t>
      </w:r>
      <w:r>
        <w:br/>
      </w:r>
      <w:r>
        <w:rPr>
          <w:rStyle w:val="FunctionTok"/>
        </w:rPr>
        <w:t xml:space="preserve">plotRGB</w:t>
      </w:r>
      <w:r>
        <w:rPr>
          <w:rStyle w:val="NormalTok"/>
        </w:rPr>
        <w:t xml:space="preserve">(s2,</w:t>
      </w:r>
      <w:r>
        <w:br/>
      </w:r>
      <w:r>
        <w:rPr>
          <w:rStyle w:val="NormalTok"/>
        </w:rPr>
        <w:t xml:space="preserve">        </w:t>
      </w:r>
      <w:r>
        <w:rPr>
          <w:rStyle w:val="AttributeTok"/>
        </w:rPr>
        <w:t xml:space="preserve">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g =</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stretch =</w:t>
      </w:r>
      <w:r>
        <w:rPr>
          <w:rStyle w:val="NormalTok"/>
        </w:rPr>
        <w:t xml:space="preserve"> </w:t>
      </w:r>
      <w:r>
        <w:rPr>
          <w:rStyle w:val="StringTok"/>
        </w:rPr>
        <w:t xml:space="preserve">'lin'</w:t>
      </w:r>
      <w:r>
        <w:rPr>
          <w:rStyle w:val="NormalTok"/>
        </w:rPr>
        <w:t xml:space="preserve">,</w:t>
      </w:r>
      <w:r>
        <w:br/>
      </w:r>
      <w:r>
        <w:rPr>
          <w:rStyle w:val="NormalTok"/>
        </w:rPr>
        <w:t xml:space="preserve">        </w:t>
      </w:r>
      <w:r>
        <w:rPr>
          <w:rStyle w:val="AttributeTok"/>
        </w:rPr>
        <w:t xml:space="preserve">smooth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36" name="Picture"/>
            <a:graphic>
              <a:graphicData uri="http://schemas.openxmlformats.org/drawingml/2006/picture">
                <pic:pic>
                  <pic:nvPicPr>
                    <pic:cNvPr descr="7.2.calculate-spectral-indices_files/figure-docx/rgbsmooth-1.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change which bands are shown in the plot. Set the red color channel to swir2, the green color channel to nir, and the blue channel to green. This combination has many useful applications, from minerological differences in arid landscapes to differentiating between land cover classes.</w:t>
      </w:r>
    </w:p>
    <w:p>
      <w:pPr>
        <w:pStyle w:val="SourceCode"/>
      </w:pPr>
      <w:r>
        <w:rPr>
          <w:rStyle w:val="FunctionTok"/>
        </w:rPr>
        <w:t xml:space="preserve">plotRGB</w:t>
      </w:r>
      <w:r>
        <w:rPr>
          <w:rStyle w:val="NormalTok"/>
        </w:rPr>
        <w:t xml:space="preserve">(s2,</w:t>
      </w:r>
      <w:r>
        <w:br/>
      </w:r>
      <w:r>
        <w:rPr>
          <w:rStyle w:val="NormalTok"/>
        </w:rPr>
        <w:t xml:space="preserve">        </w:t>
      </w:r>
      <w:r>
        <w:rPr>
          <w:rStyle w:val="AttributeTok"/>
        </w:rPr>
        <w:t xml:space="preserve">r =</w:t>
      </w:r>
      <w:r>
        <w:rPr>
          <w:rStyle w:val="NormalTok"/>
        </w:rPr>
        <w:t xml:space="preserve"> </w:t>
      </w:r>
      <w:r>
        <w:rPr>
          <w:rStyle w:val="StringTok"/>
        </w:rPr>
        <w:t xml:space="preserve">'swir2'</w:t>
      </w:r>
      <w:r>
        <w:rPr>
          <w:rStyle w:val="NormalTok"/>
        </w:rPr>
        <w:t xml:space="preserve">,</w:t>
      </w:r>
      <w:r>
        <w:br/>
      </w:r>
      <w:r>
        <w:rPr>
          <w:rStyle w:val="NormalTok"/>
        </w:rPr>
        <w:t xml:space="preserve">        </w:t>
      </w:r>
      <w:r>
        <w:rPr>
          <w:rStyle w:val="AttributeTok"/>
        </w:rPr>
        <w:t xml:space="preserve">g =</w:t>
      </w:r>
      <w:r>
        <w:rPr>
          <w:rStyle w:val="NormalTok"/>
        </w:rPr>
        <w:t xml:space="preserve"> </w:t>
      </w:r>
      <w:r>
        <w:rPr>
          <w:rStyle w:val="StringTok"/>
        </w:rPr>
        <w:t xml:space="preserve">'nir'</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stretch =</w:t>
      </w:r>
      <w:r>
        <w:rPr>
          <w:rStyle w:val="NormalTok"/>
        </w:rPr>
        <w:t xml:space="preserve"> </w:t>
      </w:r>
      <w:r>
        <w:rPr>
          <w:rStyle w:val="StringTok"/>
        </w:rPr>
        <w:t xml:space="preserve">"lin"</w:t>
      </w:r>
      <w:r>
        <w:rPr>
          <w:rStyle w:val="NormalTok"/>
        </w:rPr>
        <w:t xml:space="preserve">,</w:t>
      </w:r>
      <w:r>
        <w:br/>
      </w:r>
      <w:r>
        <w:rPr>
          <w:rStyle w:val="NormalTok"/>
        </w:rPr>
        <w:t xml:space="preserve">        </w:t>
      </w:r>
      <w:r>
        <w:rPr>
          <w:rStyle w:val="AttributeTok"/>
        </w:rPr>
        <w:t xml:space="preserve">smooth =</w:t>
      </w:r>
      <w:r>
        <w:rPr>
          <w:rStyle w:val="NormalTok"/>
        </w:rPr>
        <w:t xml:space="preserve"> T)</w:t>
      </w:r>
    </w:p>
    <w:p>
      <w:pPr>
        <w:pStyle w:val="FirstParagraph"/>
      </w:pPr>
      <w:r>
        <w:drawing>
          <wp:inline>
            <wp:extent cx="4620126" cy="3696101"/>
            <wp:effectExtent b="0" l="0" r="0" t="0"/>
            <wp:docPr descr="" title="" id="39" name="Picture"/>
            <a:graphic>
              <a:graphicData uri="http://schemas.openxmlformats.org/drawingml/2006/picture">
                <pic:pic>
                  <pic:nvPicPr>
                    <pic:cNvPr descr="7.2.calculate-spectral-indices_files/figure-docx/enhancedPlot-1.png" id="4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various spectral indices involve raster math. To simplify these equations, we have opted to store each band as its own object with the name of the band as the object name.</w:t>
      </w:r>
    </w:p>
    <w:p>
      <w:pPr>
        <w:pStyle w:val="SourceCode"/>
      </w:pPr>
      <w:r>
        <w:rPr>
          <w:rStyle w:val="CommentTok"/>
        </w:rPr>
        <w:t xml:space="preserve"># get individual bands for calculations</w:t>
      </w:r>
      <w:r>
        <w:br/>
      </w:r>
      <w:r>
        <w:rPr>
          <w:rStyle w:val="NormalTok"/>
        </w:rPr>
        <w:t xml:space="preserve">blue </w:t>
      </w:r>
      <w:r>
        <w:rPr>
          <w:rStyle w:val="OtherTok"/>
        </w:rPr>
        <w:t xml:space="preserve">&lt;-</w:t>
      </w:r>
      <w:r>
        <w:rPr>
          <w:rStyle w:val="NormalTok"/>
        </w:rPr>
        <w:t xml:space="preserve"> s2</w:t>
      </w:r>
      <w:r>
        <w:rPr>
          <w:rStyle w:val="SpecialCharTok"/>
        </w:rPr>
        <w:t xml:space="preserve">$</w:t>
      </w:r>
      <w:r>
        <w:rPr>
          <w:rStyle w:val="NormalTok"/>
        </w:rPr>
        <w:t xml:space="preserve">blue</w:t>
      </w:r>
      <w:r>
        <w:br/>
      </w:r>
      <w:r>
        <w:rPr>
          <w:rStyle w:val="NormalTok"/>
        </w:rPr>
        <w:t xml:space="preserve">green </w:t>
      </w:r>
      <w:r>
        <w:rPr>
          <w:rStyle w:val="OtherTok"/>
        </w:rPr>
        <w:t xml:space="preserve">&lt;-</w:t>
      </w:r>
      <w:r>
        <w:rPr>
          <w:rStyle w:val="NormalTok"/>
        </w:rPr>
        <w:t xml:space="preserve"> s2</w:t>
      </w:r>
      <w:r>
        <w:rPr>
          <w:rStyle w:val="SpecialCharTok"/>
        </w:rPr>
        <w:t xml:space="preserve">$</w:t>
      </w:r>
      <w:r>
        <w:rPr>
          <w:rStyle w:val="NormalTok"/>
        </w:rPr>
        <w:t xml:space="preserve">green</w:t>
      </w:r>
      <w:r>
        <w:br/>
      </w:r>
      <w:r>
        <w:rPr>
          <w:rStyle w:val="NormalTok"/>
        </w:rPr>
        <w:t xml:space="preserve">red </w:t>
      </w:r>
      <w:r>
        <w:rPr>
          <w:rStyle w:val="OtherTok"/>
        </w:rPr>
        <w:t xml:space="preserve">&lt;-</w:t>
      </w:r>
      <w:r>
        <w:rPr>
          <w:rStyle w:val="NormalTok"/>
        </w:rPr>
        <w:t xml:space="preserve"> s2</w:t>
      </w:r>
      <w:r>
        <w:rPr>
          <w:rStyle w:val="SpecialCharTok"/>
        </w:rPr>
        <w:t xml:space="preserve">$</w:t>
      </w:r>
      <w:r>
        <w:rPr>
          <w:rStyle w:val="NormalTok"/>
        </w:rPr>
        <w:t xml:space="preserve">red</w:t>
      </w:r>
      <w:r>
        <w:br/>
      </w:r>
      <w:r>
        <w:rPr>
          <w:rStyle w:val="NormalTok"/>
        </w:rPr>
        <w:t xml:space="preserve">nir </w:t>
      </w:r>
      <w:r>
        <w:rPr>
          <w:rStyle w:val="OtherTok"/>
        </w:rPr>
        <w:t xml:space="preserve">&lt;-</w:t>
      </w:r>
      <w:r>
        <w:rPr>
          <w:rStyle w:val="NormalTok"/>
        </w:rPr>
        <w:t xml:space="preserve"> s2</w:t>
      </w:r>
      <w:r>
        <w:rPr>
          <w:rStyle w:val="SpecialCharTok"/>
        </w:rPr>
        <w:t xml:space="preserve">$</w:t>
      </w:r>
      <w:r>
        <w:rPr>
          <w:rStyle w:val="NormalTok"/>
        </w:rPr>
        <w:t xml:space="preserve">nir</w:t>
      </w:r>
      <w:r>
        <w:br/>
      </w:r>
      <w:r>
        <w:rPr>
          <w:rStyle w:val="NormalTok"/>
        </w:rPr>
        <w:t xml:space="preserve">swir1 </w:t>
      </w:r>
      <w:r>
        <w:rPr>
          <w:rStyle w:val="OtherTok"/>
        </w:rPr>
        <w:t xml:space="preserve">&lt;-</w:t>
      </w:r>
      <w:r>
        <w:rPr>
          <w:rStyle w:val="NormalTok"/>
        </w:rPr>
        <w:t xml:space="preserve"> s2</w:t>
      </w:r>
      <w:r>
        <w:rPr>
          <w:rStyle w:val="SpecialCharTok"/>
        </w:rPr>
        <w:t xml:space="preserve">$</w:t>
      </w:r>
      <w:r>
        <w:rPr>
          <w:rStyle w:val="NormalTok"/>
        </w:rPr>
        <w:t xml:space="preserve">swir1</w:t>
      </w:r>
      <w:r>
        <w:br/>
      </w:r>
      <w:r>
        <w:rPr>
          <w:rStyle w:val="NormalTok"/>
        </w:rPr>
        <w:t xml:space="preserve">swir2 </w:t>
      </w:r>
      <w:r>
        <w:rPr>
          <w:rStyle w:val="OtherTok"/>
        </w:rPr>
        <w:t xml:space="preserve">&lt;-</w:t>
      </w:r>
      <w:r>
        <w:rPr>
          <w:rStyle w:val="NormalTok"/>
        </w:rPr>
        <w:t xml:space="preserve"> s2</w:t>
      </w:r>
      <w:r>
        <w:rPr>
          <w:rStyle w:val="SpecialCharTok"/>
        </w:rPr>
        <w:t xml:space="preserve">$</w:t>
      </w:r>
      <w:r>
        <w:rPr>
          <w:rStyle w:val="NormalTok"/>
        </w:rPr>
        <w:t xml:space="preserve">swir2</w:t>
      </w:r>
    </w:p>
    <w:bookmarkStart w:id="44" w:name="normalided-difference-indices"/>
    <w:p>
      <w:pPr>
        <w:pStyle w:val="Heading3"/>
      </w:pPr>
      <w:r>
        <w:t xml:space="preserve">Normalided Difference Indices</w:t>
      </w:r>
    </w:p>
    <w:p>
      <w:pPr>
        <w:pStyle w:val="FirstParagraph"/>
      </w:pPr>
      <w:r>
        <w:t xml:space="preserve">To calculate normalized difference indices we first need to define the normalized function.</w:t>
      </w:r>
    </w:p>
    <w:p>
      <w:pPr>
        <w:pStyle w:val="SourceCode"/>
      </w:pPr>
      <w:r>
        <w:rPr>
          <w:rStyle w:val="CommentTok"/>
        </w:rPr>
        <w:t xml:space="preserve"># Normalized Difference index function</w:t>
      </w:r>
      <w:r>
        <w:br/>
      </w:r>
      <w:r>
        <w:rPr>
          <w:rStyle w:val="NormalTok"/>
        </w:rPr>
        <w:t xml:space="preserve">nd_fn </w:t>
      </w:r>
      <w:r>
        <w:rPr>
          <w:rStyle w:val="OtherTok"/>
        </w:rPr>
        <w:t xml:space="preserve">&lt;-</w:t>
      </w:r>
      <w:r>
        <w:rPr>
          <w:rStyle w:val="NormalTok"/>
        </w:rPr>
        <w:t xml:space="preserve"> </w:t>
      </w:r>
      <w:r>
        <w:rPr>
          <w:rStyle w:val="ControlFlowTok"/>
        </w:rPr>
        <w:t xml:space="preserve">function</w:t>
      </w:r>
      <w:r>
        <w:rPr>
          <w:rStyle w:val="NormalTok"/>
        </w:rPr>
        <w:t xml:space="preserve">(bd1,bd2) {ind </w:t>
      </w:r>
      <w:r>
        <w:rPr>
          <w:rStyle w:val="OtherTok"/>
        </w:rPr>
        <w:t xml:space="preserve">&lt;-</w:t>
      </w:r>
      <w:r>
        <w:rPr>
          <w:rStyle w:val="NormalTok"/>
        </w:rPr>
        <w:t xml:space="preserve"> (bd1 </w:t>
      </w:r>
      <w:r>
        <w:rPr>
          <w:rStyle w:val="SpecialCharTok"/>
        </w:rPr>
        <w:t xml:space="preserve">-</w:t>
      </w:r>
      <w:r>
        <w:rPr>
          <w:rStyle w:val="NormalTok"/>
        </w:rPr>
        <w:t xml:space="preserve"> bd2)</w:t>
      </w:r>
      <w:r>
        <w:rPr>
          <w:rStyle w:val="SpecialCharTok"/>
        </w:rPr>
        <w:t xml:space="preserve">/</w:t>
      </w:r>
      <w:r>
        <w:rPr>
          <w:rStyle w:val="NormalTok"/>
        </w:rPr>
        <w:t xml:space="preserve">(bd1 </w:t>
      </w:r>
      <w:r>
        <w:rPr>
          <w:rStyle w:val="SpecialCharTok"/>
        </w:rPr>
        <w:t xml:space="preserve">+</w:t>
      </w:r>
      <w:r>
        <w:rPr>
          <w:rStyle w:val="NormalTok"/>
        </w:rPr>
        <w:t xml:space="preserve"> bd2)</w:t>
      </w:r>
      <w:r>
        <w:br/>
      </w:r>
      <w:r>
        <w:rPr>
          <w:rStyle w:val="FunctionTok"/>
        </w:rPr>
        <w:t xml:space="preserve">return</w:t>
      </w:r>
      <w:r>
        <w:rPr>
          <w:rStyle w:val="NormalTok"/>
        </w:rPr>
        <w:t xml:space="preserve">(ind)</w:t>
      </w:r>
      <w:r>
        <w:br/>
      </w:r>
      <w:r>
        <w:rPr>
          <w:rStyle w:val="NormalTok"/>
        </w:rPr>
        <w:t xml:space="preserve">}</w:t>
      </w:r>
    </w:p>
    <w:p>
      <w:pPr>
        <w:pStyle w:val="FirstParagraph"/>
      </w:pPr>
      <w:r>
        <w:t xml:space="preserve">We can then apply this function utilizing bands of interest.</w:t>
      </w:r>
    </w:p>
    <w:p>
      <w:pPr>
        <w:pStyle w:val="SourceCode"/>
      </w:pPr>
      <w:r>
        <w:rPr>
          <w:rStyle w:val="CommentTok"/>
        </w:rPr>
        <w:t xml:space="preserve"># Normalized difference vegetation index</w:t>
      </w:r>
      <w:r>
        <w:br/>
      </w:r>
      <w:r>
        <w:rPr>
          <w:rStyle w:val="NormalTok"/>
        </w:rPr>
        <w:t xml:space="preserve">NDVI </w:t>
      </w:r>
      <w:r>
        <w:rPr>
          <w:rStyle w:val="OtherTok"/>
        </w:rPr>
        <w:t xml:space="preserve">&lt;-</w:t>
      </w:r>
      <w:r>
        <w:rPr>
          <w:rStyle w:val="NormalTok"/>
        </w:rPr>
        <w:t xml:space="preserve"> </w:t>
      </w:r>
      <w:r>
        <w:rPr>
          <w:rStyle w:val="FunctionTok"/>
        </w:rPr>
        <w:t xml:space="preserve">nd_fn</w:t>
      </w:r>
      <w:r>
        <w:rPr>
          <w:rStyle w:val="NormalTok"/>
        </w:rPr>
        <w:t xml:space="preserve">(nir, red)</w:t>
      </w:r>
      <w:r>
        <w:br/>
      </w:r>
      <w:r>
        <w:br/>
      </w:r>
      <w:r>
        <w:rPr>
          <w:rStyle w:val="CommentTok"/>
        </w:rPr>
        <w:t xml:space="preserve"># Carbonate index</w:t>
      </w:r>
      <w:r>
        <w:br/>
      </w:r>
      <w:r>
        <w:rPr>
          <w:rStyle w:val="NormalTok"/>
        </w:rPr>
        <w:t xml:space="preserve">CarbIdx </w:t>
      </w:r>
      <w:r>
        <w:rPr>
          <w:rStyle w:val="OtherTok"/>
        </w:rPr>
        <w:t xml:space="preserve">&lt;-</w:t>
      </w:r>
      <w:r>
        <w:rPr>
          <w:rStyle w:val="NormalTok"/>
        </w:rPr>
        <w:t xml:space="preserve"> </w:t>
      </w:r>
      <w:r>
        <w:rPr>
          <w:rStyle w:val="FunctionTok"/>
        </w:rPr>
        <w:t xml:space="preserve">nd_fn</w:t>
      </w:r>
      <w:r>
        <w:rPr>
          <w:rStyle w:val="NormalTok"/>
        </w:rPr>
        <w:t xml:space="preserve">(red, green) </w:t>
      </w:r>
      <w:r>
        <w:br/>
      </w:r>
      <w:r>
        <w:br/>
      </w:r>
      <w:r>
        <w:rPr>
          <w:rStyle w:val="CommentTok"/>
        </w:rPr>
        <w:t xml:space="preserve"># Rock Outcrop Index</w:t>
      </w:r>
      <w:r>
        <w:br/>
      </w:r>
      <w:r>
        <w:rPr>
          <w:rStyle w:val="NormalTok"/>
        </w:rPr>
        <w:t xml:space="preserve">RockIdx </w:t>
      </w:r>
      <w:r>
        <w:rPr>
          <w:rStyle w:val="OtherTok"/>
        </w:rPr>
        <w:t xml:space="preserve">&lt;-</w:t>
      </w:r>
      <w:r>
        <w:rPr>
          <w:rStyle w:val="NormalTok"/>
        </w:rPr>
        <w:t xml:space="preserve"> </w:t>
      </w:r>
      <w:r>
        <w:rPr>
          <w:rStyle w:val="FunctionTok"/>
        </w:rPr>
        <w:t xml:space="preserve">nd_fn</w:t>
      </w:r>
      <w:r>
        <w:rPr>
          <w:rStyle w:val="NormalTok"/>
        </w:rPr>
        <w:t xml:space="preserve">(swir1, green)</w:t>
      </w:r>
      <w:r>
        <w:br/>
      </w:r>
      <w:r>
        <w:br/>
      </w:r>
      <w:r>
        <w:rPr>
          <w:rStyle w:val="CommentTok"/>
        </w:rPr>
        <w:t xml:space="preserve"># Gypsum Index</w:t>
      </w:r>
      <w:r>
        <w:br/>
      </w:r>
      <w:r>
        <w:rPr>
          <w:rStyle w:val="NormalTok"/>
        </w:rPr>
        <w:t xml:space="preserve">GypIdx </w:t>
      </w:r>
      <w:r>
        <w:rPr>
          <w:rStyle w:val="OtherTok"/>
        </w:rPr>
        <w:t xml:space="preserve">&lt;-</w:t>
      </w:r>
      <w:r>
        <w:rPr>
          <w:rStyle w:val="NormalTok"/>
        </w:rPr>
        <w:t xml:space="preserve"> </w:t>
      </w:r>
      <w:r>
        <w:rPr>
          <w:rStyle w:val="FunctionTok"/>
        </w:rPr>
        <w:t xml:space="preserve">nd_fn</w:t>
      </w:r>
      <w:r>
        <w:rPr>
          <w:rStyle w:val="NormalTok"/>
        </w:rPr>
        <w:t xml:space="preserve">(swir1, swir2)</w:t>
      </w:r>
      <w:r>
        <w:br/>
      </w:r>
      <w:r>
        <w:br/>
      </w:r>
      <w:r>
        <w:br/>
      </w:r>
      <w:r>
        <w:rPr>
          <w:rStyle w:val="CommentTok"/>
        </w:rPr>
        <w:t xml:space="preserve"># plot to check</w:t>
      </w:r>
      <w:r>
        <w:br/>
      </w:r>
      <w:r>
        <w:rPr>
          <w:rStyle w:val="FunctionTok"/>
        </w:rPr>
        <w:t xml:space="preserve">plot</w:t>
      </w:r>
      <w:r>
        <w:rPr>
          <w:rStyle w:val="NormalTok"/>
        </w:rPr>
        <w:t xml:space="preserve">(</w:t>
      </w:r>
      <w:r>
        <w:rPr>
          <w:rStyle w:val="FunctionTok"/>
        </w:rPr>
        <w:t xml:space="preserve">c</w:t>
      </w:r>
      <w:r>
        <w:rPr>
          <w:rStyle w:val="NormalTok"/>
        </w:rPr>
        <w:t xml:space="preserve">(NDVI, CarbIdx, RockIdx, GypIdx), </w:t>
      </w:r>
      <w:r>
        <w:rPr>
          <w:rStyle w:val="AttributeTok"/>
        </w:rPr>
        <w:t xml:space="preserve">main =</w:t>
      </w:r>
      <w:r>
        <w:rPr>
          <w:rStyle w:val="NormalTok"/>
        </w:rPr>
        <w:t xml:space="preserve"> </w:t>
      </w:r>
      <w:r>
        <w:rPr>
          <w:rStyle w:val="FunctionTok"/>
        </w:rPr>
        <w:t xml:space="preserve">c</w:t>
      </w:r>
      <w:r>
        <w:rPr>
          <w:rStyle w:val="NormalTok"/>
        </w:rPr>
        <w:t xml:space="preserve">(</w:t>
      </w:r>
      <w:r>
        <w:rPr>
          <w:rStyle w:val="StringTok"/>
        </w:rPr>
        <w:t xml:space="preserve">"NDVI"</w:t>
      </w:r>
      <w:r>
        <w:rPr>
          <w:rStyle w:val="NormalTok"/>
        </w:rPr>
        <w:t xml:space="preserve">, </w:t>
      </w:r>
      <w:r>
        <w:rPr>
          <w:rStyle w:val="StringTok"/>
        </w:rPr>
        <w:t xml:space="preserve">"Carbonate Index"</w:t>
      </w:r>
      <w:r>
        <w:rPr>
          <w:rStyle w:val="NormalTok"/>
        </w:rPr>
        <w:t xml:space="preserve">, </w:t>
      </w:r>
      <w:r>
        <w:rPr>
          <w:rStyle w:val="StringTok"/>
        </w:rPr>
        <w:t xml:space="preserve">"RockOutcrop"</w:t>
      </w:r>
      <w:r>
        <w:rPr>
          <w:rStyle w:val="NormalTok"/>
        </w:rPr>
        <w:t xml:space="preserve">, </w:t>
      </w:r>
      <w:r>
        <w:rPr>
          <w:rStyle w:val="StringTok"/>
        </w:rPr>
        <w:t xml:space="preserve">"Gypsum Index"</w:t>
      </w:r>
      <w:r>
        <w:rPr>
          <w:rStyle w:val="NormalTok"/>
        </w:rPr>
        <w:t xml:space="preserve">))</w:t>
      </w:r>
    </w:p>
    <w:p>
      <w:pPr>
        <w:pStyle w:val="FirstParagraph"/>
      </w:pPr>
      <w:r>
        <w:drawing>
          <wp:inline>
            <wp:extent cx="4620126" cy="3696101"/>
            <wp:effectExtent b="0" l="0" r="0" t="0"/>
            <wp:docPr descr="" title="" id="42" name="Picture"/>
            <a:graphic>
              <a:graphicData uri="http://schemas.openxmlformats.org/drawingml/2006/picture">
                <pic:pic>
                  <pic:nvPicPr>
                    <pic:cNvPr descr="7.2.calculate-spectral-indices_files/figure-docx/normInd-1.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bookmarkEnd w:id="44"/>
    <w:bookmarkStart w:id="48" w:name="other-spectral-calculations"/>
    <w:p>
      <w:pPr>
        <w:pStyle w:val="Heading3"/>
      </w:pPr>
      <w:r>
        <w:t xml:space="preserve">Other Spectral Calculations</w:t>
      </w:r>
    </w:p>
    <w:p>
      <w:pPr>
        <w:pStyle w:val="SourceCode"/>
      </w:pPr>
      <w:r>
        <w:rPr>
          <w:rStyle w:val="CommentTok"/>
        </w:rPr>
        <w:t xml:space="preserve"># modified soil adjusted vegetation index</w:t>
      </w:r>
      <w:r>
        <w:br/>
      </w:r>
      <w:r>
        <w:rPr>
          <w:rStyle w:val="NormalTok"/>
        </w:rPr>
        <w:t xml:space="preserve">msavi </w:t>
      </w:r>
      <w:r>
        <w:rPr>
          <w:rStyle w:val="OtherTok"/>
        </w:rPr>
        <w:t xml:space="preserve">&lt;-</w:t>
      </w:r>
      <w:r>
        <w:rPr>
          <w:rStyle w:val="NormalTok"/>
        </w:rPr>
        <w:t xml:space="preserve">(</w:t>
      </w:r>
      <w:r>
        <w:rPr>
          <w:rStyle w:val="DecValTok"/>
        </w:rPr>
        <w:t xml:space="preserve">2</w:t>
      </w:r>
      <w:r>
        <w:rPr>
          <w:rStyle w:val="SpecialCharTok"/>
        </w:rPr>
        <w:t xml:space="preserve">*</w:t>
      </w:r>
      <w:r>
        <w:rPr>
          <w:rStyle w:val="NormalTok"/>
        </w:rPr>
        <w:t xml:space="preserve">nir</w:t>
      </w:r>
      <w:r>
        <w:rPr>
          <w:rStyle w:val="SpecialCharTok"/>
        </w:rPr>
        <w:t xml:space="preserv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SpecialCharTok"/>
        </w:rPr>
        <w:t xml:space="preserve">*</w:t>
      </w:r>
      <w:r>
        <w:rPr>
          <w:rStyle w:val="NormalTok"/>
        </w:rPr>
        <w:t xml:space="preserve">nir</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2-8</w:t>
      </w:r>
      <w:r>
        <w:rPr>
          <w:rStyle w:val="SpecialCharTok"/>
        </w:rPr>
        <w:t xml:space="preserve">*</w:t>
      </w:r>
      <w:r>
        <w:rPr>
          <w:rStyle w:val="NormalTok"/>
        </w:rPr>
        <w:t xml:space="preserve">(nir</w:t>
      </w:r>
      <w:r>
        <w:rPr>
          <w:rStyle w:val="SpecialCharTok"/>
        </w:rPr>
        <w:t xml:space="preserve">-</w:t>
      </w:r>
      <w:r>
        <w:rPr>
          <w:rStyle w:val="NormalTok"/>
        </w:rPr>
        <w:t xml:space="preserve">red)))</w:t>
      </w:r>
      <w:r>
        <w:rPr>
          <w:rStyle w:val="SpecialCharTok"/>
        </w:rPr>
        <w:t xml:space="preserve">/</w:t>
      </w:r>
      <w:r>
        <w:rPr>
          <w:rStyle w:val="NormalTok"/>
        </w:rPr>
        <w:t xml:space="preserve">(</w:t>
      </w:r>
      <w:r>
        <w:rPr>
          <w:rStyle w:val="DecValTok"/>
        </w:rPr>
        <w:t xml:space="preserve">2</w:t>
      </w:r>
      <w:r>
        <w:rPr>
          <w:rStyle w:val="NormalTok"/>
        </w:rPr>
        <w:t xml:space="preserve">)</w:t>
      </w:r>
      <w:r>
        <w:br/>
      </w:r>
      <w:r>
        <w:rPr>
          <w:rStyle w:val="NormalTok"/>
        </w:rPr>
        <w:t xml:space="preserve">  </w:t>
      </w:r>
      <w:r>
        <w:br/>
      </w:r>
      <w:r>
        <w:rPr>
          <w:rStyle w:val="CommentTok"/>
        </w:rPr>
        <w:t xml:space="preserve"># simple ratio -- difference vegetation index</w:t>
      </w:r>
      <w:r>
        <w:br/>
      </w:r>
      <w:r>
        <w:rPr>
          <w:rStyle w:val="NormalTok"/>
        </w:rPr>
        <w:t xml:space="preserve">dvi </w:t>
      </w:r>
      <w:r>
        <w:rPr>
          <w:rStyle w:val="OtherTok"/>
        </w:rPr>
        <w:t xml:space="preserve">&lt;-</w:t>
      </w:r>
      <w:r>
        <w:rPr>
          <w:rStyle w:val="NormalTok"/>
        </w:rPr>
        <w:t xml:space="preserve"> (nir)</w:t>
      </w:r>
      <w:r>
        <w:rPr>
          <w:rStyle w:val="SpecialCharTok"/>
        </w:rPr>
        <w:t xml:space="preserve">/</w:t>
      </w:r>
      <w:r>
        <w:rPr>
          <w:rStyle w:val="NormalTok"/>
        </w:rPr>
        <w:t xml:space="preserve">(red)</w:t>
      </w:r>
      <w:r>
        <w:br/>
      </w:r>
      <w:r>
        <w:br/>
      </w:r>
      <w:r>
        <w:rPr>
          <w:rStyle w:val="CommentTok"/>
        </w:rPr>
        <w:t xml:space="preserve"># simple ratio -- red blue Iron Oxide</w:t>
      </w:r>
      <w:r>
        <w:br/>
      </w:r>
      <w:r>
        <w:rPr>
          <w:rStyle w:val="NormalTok"/>
        </w:rPr>
        <w:t xml:space="preserve">feox </w:t>
      </w:r>
      <w:r>
        <w:rPr>
          <w:rStyle w:val="OtherTok"/>
        </w:rPr>
        <w:t xml:space="preserve">&lt;-</w:t>
      </w:r>
      <w:r>
        <w:rPr>
          <w:rStyle w:val="NormalTok"/>
        </w:rPr>
        <w:t xml:space="preserve"> (red)</w:t>
      </w:r>
      <w:r>
        <w:rPr>
          <w:rStyle w:val="SpecialCharTok"/>
        </w:rPr>
        <w:t xml:space="preserve">/</w:t>
      </w:r>
      <w:r>
        <w:rPr>
          <w:rStyle w:val="NormalTok"/>
        </w:rPr>
        <w:t xml:space="preserve">(blue)</w:t>
      </w:r>
      <w:r>
        <w:br/>
      </w:r>
      <w:r>
        <w:br/>
      </w:r>
      <w:r>
        <w:rPr>
          <w:rStyle w:val="CommentTok"/>
        </w:rPr>
        <w:t xml:space="preserve"># simple ratio -- swir1 nir - ferrous minerals</w:t>
      </w:r>
      <w:r>
        <w:br/>
      </w:r>
      <w:r>
        <w:rPr>
          <w:rStyle w:val="NormalTok"/>
        </w:rPr>
        <w:t xml:space="preserve">ferrous </w:t>
      </w:r>
      <w:r>
        <w:rPr>
          <w:rStyle w:val="OtherTok"/>
        </w:rPr>
        <w:t xml:space="preserve">&lt;-</w:t>
      </w:r>
      <w:r>
        <w:rPr>
          <w:rStyle w:val="NormalTok"/>
        </w:rPr>
        <w:t xml:space="preserve"> (swir1)</w:t>
      </w:r>
      <w:r>
        <w:rPr>
          <w:rStyle w:val="SpecialCharTok"/>
        </w:rPr>
        <w:t xml:space="preserve">/</w:t>
      </w:r>
      <w:r>
        <w:rPr>
          <w:rStyle w:val="NormalTok"/>
        </w:rPr>
        <w:t xml:space="preserve">(nir)</w:t>
      </w:r>
      <w:r>
        <w:br/>
      </w:r>
      <w:r>
        <w:br/>
      </w:r>
      <w:r>
        <w:rPr>
          <w:rStyle w:val="CommentTok"/>
        </w:rPr>
        <w:t xml:space="preserve"># clay minerals swir1/swir2</w:t>
      </w:r>
      <w:r>
        <w:br/>
      </w:r>
      <w:r>
        <w:rPr>
          <w:rStyle w:val="CommentTok"/>
        </w:rPr>
        <w:t xml:space="preserve"># simple ratio -- swir1 swir2 ratio</w:t>
      </w:r>
      <w:r>
        <w:br/>
      </w:r>
      <w:r>
        <w:rPr>
          <w:rStyle w:val="NormalTok"/>
        </w:rPr>
        <w:t xml:space="preserve">clayMin </w:t>
      </w:r>
      <w:r>
        <w:rPr>
          <w:rStyle w:val="OtherTok"/>
        </w:rPr>
        <w:t xml:space="preserve">&lt;-</w:t>
      </w:r>
      <w:r>
        <w:rPr>
          <w:rStyle w:val="NormalTok"/>
        </w:rPr>
        <w:t xml:space="preserve"> (swir1)</w:t>
      </w:r>
      <w:r>
        <w:rPr>
          <w:rStyle w:val="SpecialCharTok"/>
        </w:rPr>
        <w:t xml:space="preserve">/</w:t>
      </w:r>
      <w:r>
        <w:rPr>
          <w:rStyle w:val="NormalTok"/>
        </w:rPr>
        <w:t xml:space="preserve">(swir2)</w:t>
      </w:r>
      <w:r>
        <w:br/>
      </w:r>
      <w:r>
        <w:rPr>
          <w:rStyle w:val="NormalTok"/>
        </w:rPr>
        <w:t xml:space="preserve">                   </w:t>
      </w:r>
      <w:r>
        <w:br/>
      </w:r>
      <w:r>
        <w:rPr>
          <w:rStyle w:val="CommentTok"/>
        </w:rPr>
        <w:t xml:space="preserve"># soil adjusted vegetation index</w:t>
      </w:r>
      <w:r>
        <w:br/>
      </w:r>
      <w:r>
        <w:rPr>
          <w:rStyle w:val="NormalTok"/>
        </w:rPr>
        <w:t xml:space="preserve">L </w:t>
      </w:r>
      <w:r>
        <w:rPr>
          <w:rStyle w:val="OtherTok"/>
        </w:rPr>
        <w:t xml:space="preserve">=</w:t>
      </w:r>
      <w:r>
        <w:rPr>
          <w:rStyle w:val="FloatTok"/>
        </w:rPr>
        <w:t xml:space="preserve">0.5</w:t>
      </w:r>
      <w:r>
        <w:br/>
      </w:r>
      <w:r>
        <w:rPr>
          <w:rStyle w:val="NormalTok"/>
        </w:rPr>
        <w:t xml:space="preserve">savi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L)</w:t>
      </w:r>
      <w:r>
        <w:rPr>
          <w:rStyle w:val="SpecialCharTok"/>
        </w:rPr>
        <w:t xml:space="preserve">*</w:t>
      </w:r>
      <w:r>
        <w:rPr>
          <w:rStyle w:val="NormalTok"/>
        </w:rPr>
        <w:t xml:space="preserve">((nir</w:t>
      </w:r>
      <w:r>
        <w:rPr>
          <w:rStyle w:val="SpecialCharTok"/>
        </w:rPr>
        <w:t xml:space="preserve">-</w:t>
      </w:r>
      <w:r>
        <w:rPr>
          <w:rStyle w:val="NormalTok"/>
        </w:rPr>
        <w:t xml:space="preserve">red)</w:t>
      </w:r>
      <w:r>
        <w:rPr>
          <w:rStyle w:val="SpecialCharTok"/>
        </w:rPr>
        <w:t xml:space="preserve">/</w:t>
      </w:r>
      <w:r>
        <w:rPr>
          <w:rStyle w:val="NormalTok"/>
        </w:rPr>
        <w:t xml:space="preserve">(nir</w:t>
      </w:r>
      <w:r>
        <w:rPr>
          <w:rStyle w:val="SpecialCharTok"/>
        </w:rPr>
        <w:t xml:space="preserve">+</w:t>
      </w:r>
      <w:r>
        <w:rPr>
          <w:rStyle w:val="NormalTok"/>
        </w:rPr>
        <w:t xml:space="preserve">red</w:t>
      </w:r>
      <w:r>
        <w:rPr>
          <w:rStyle w:val="SpecialCharTok"/>
        </w:rPr>
        <w:t xml:space="preserve">+</w:t>
      </w:r>
      <w:r>
        <w:rPr>
          <w:rStyle w:val="NormalTok"/>
        </w:rPr>
        <w:t xml:space="preserve">L)))</w:t>
      </w:r>
      <w:r>
        <w:br/>
      </w:r>
      <w:r>
        <w:br/>
      </w:r>
      <w:r>
        <w:rPr>
          <w:rStyle w:val="CommentTok"/>
        </w:rPr>
        <w:t xml:space="preserve"># plot to check</w:t>
      </w:r>
      <w:r>
        <w:br/>
      </w:r>
      <w:r>
        <w:rPr>
          <w:rStyle w:val="FunctionTok"/>
        </w:rPr>
        <w:t xml:space="preserve">plot</w:t>
      </w:r>
      <w:r>
        <w:rPr>
          <w:rStyle w:val="NormalTok"/>
        </w:rPr>
        <w:t xml:space="preserve">(</w:t>
      </w:r>
      <w:r>
        <w:rPr>
          <w:rStyle w:val="FunctionTok"/>
        </w:rPr>
        <w:t xml:space="preserve">c</w:t>
      </w:r>
      <w:r>
        <w:rPr>
          <w:rStyle w:val="NormalTok"/>
        </w:rPr>
        <w:t xml:space="preserve">(msavi, dvi, feox, ferrous, clayMin, savi), </w:t>
      </w:r>
      <w:r>
        <w:rPr>
          <w:rStyle w:val="AttributeTok"/>
        </w:rPr>
        <w:t xml:space="preserve">main =</w:t>
      </w:r>
      <w:r>
        <w:rPr>
          <w:rStyle w:val="NormalTok"/>
        </w:rPr>
        <w:t xml:space="preserve"> </w:t>
      </w:r>
      <w:r>
        <w:rPr>
          <w:rStyle w:val="FunctionTok"/>
        </w:rPr>
        <w:t xml:space="preserve">c</w:t>
      </w:r>
      <w:r>
        <w:rPr>
          <w:rStyle w:val="NormalTok"/>
        </w:rPr>
        <w:t xml:space="preserve">(</w:t>
      </w:r>
      <w:r>
        <w:rPr>
          <w:rStyle w:val="StringTok"/>
        </w:rPr>
        <w:t xml:space="preserve">"MSAVI"</w:t>
      </w:r>
      <w:r>
        <w:rPr>
          <w:rStyle w:val="NormalTok"/>
        </w:rPr>
        <w:t xml:space="preserve">, </w:t>
      </w:r>
      <w:r>
        <w:rPr>
          <w:rStyle w:val="StringTok"/>
        </w:rPr>
        <w:t xml:space="preserve">"DVI"</w:t>
      </w:r>
      <w:r>
        <w:rPr>
          <w:rStyle w:val="NormalTok"/>
        </w:rPr>
        <w:t xml:space="preserve">, </w:t>
      </w:r>
      <w:r>
        <w:rPr>
          <w:rStyle w:val="StringTok"/>
        </w:rPr>
        <w:t xml:space="preserve">"FeOx"</w:t>
      </w:r>
      <w:r>
        <w:rPr>
          <w:rStyle w:val="NormalTok"/>
        </w:rPr>
        <w:t xml:space="preserve">, </w:t>
      </w:r>
      <w:r>
        <w:rPr>
          <w:rStyle w:val="StringTok"/>
        </w:rPr>
        <w:t xml:space="preserve">"FerMin"</w:t>
      </w:r>
      <w:r>
        <w:rPr>
          <w:rStyle w:val="NormalTok"/>
        </w:rPr>
        <w:t xml:space="preserve">, </w:t>
      </w:r>
      <w:r>
        <w:rPr>
          <w:rStyle w:val="StringTok"/>
        </w:rPr>
        <w:t xml:space="preserve">"clayMin"</w:t>
      </w:r>
      <w:r>
        <w:rPr>
          <w:rStyle w:val="NormalTok"/>
        </w:rPr>
        <w:t xml:space="preserve">, </w:t>
      </w:r>
      <w:r>
        <w:rPr>
          <w:rStyle w:val="StringTok"/>
        </w:rPr>
        <w:t xml:space="preserve">"SAVI"</w:t>
      </w:r>
      <w:r>
        <w:rPr>
          <w:rStyle w:val="NormalTok"/>
        </w:rPr>
        <w:t xml:space="preserve">))</w:t>
      </w:r>
    </w:p>
    <w:p>
      <w:pPr>
        <w:pStyle w:val="FirstParagraph"/>
      </w:pPr>
      <w:r>
        <w:drawing>
          <wp:inline>
            <wp:extent cx="4620126" cy="3696101"/>
            <wp:effectExtent b="0" l="0" r="0" t="0"/>
            <wp:docPr descr="" title="" id="46" name="Picture"/>
            <a:graphic>
              <a:graphicData uri="http://schemas.openxmlformats.org/drawingml/2006/picture">
                <pic:pic>
                  <pic:nvPicPr>
                    <pic:cNvPr descr="7.2.calculate-spectral-indices_files/figure-docx/spec-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bookmarkEnd w:id="48"/>
    <w:bookmarkEnd w:id="49"/>
    <w:bookmarkEnd w:id="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hyperlink" Id="rId23" Target="https://code.earthengine.google.com/47e01ed669f664ff1a4a052b0f1d1afb?noload=1" TargetMode="External" /><Relationship Type="http://schemas.openxmlformats.org/officeDocument/2006/relationships/hyperlink" Id="rId24" Target="https://developers.google.com/earth-engine/datasets/catalog/COPERNICUS_S2_SR_HARMONIZED" TargetMode="External" /><Relationship Type="http://schemas.openxmlformats.org/officeDocument/2006/relationships/hyperlink" Id="rId21" Target="https://link" TargetMode="External" /><Relationship Type="http://schemas.openxmlformats.org/officeDocument/2006/relationships/hyperlink" Id="rId22" Target="https://storage.googleapis.com/rsssa-bucket/sen2_srSwell_2015-2020.tif" TargetMode="External" /></Relationships>
</file>

<file path=word/_rels/footnotes.xml.rels><?xml version="1.0" encoding="UTF-8"?><Relationships xmlns="http://schemas.openxmlformats.org/package/2006/relationships"><Relationship Type="http://schemas.openxmlformats.org/officeDocument/2006/relationships/hyperlink" Id="rId23" Target="https://code.earthengine.google.com/47e01ed669f664ff1a4a052b0f1d1afb?noload=1" TargetMode="External" /><Relationship Type="http://schemas.openxmlformats.org/officeDocument/2006/relationships/hyperlink" Id="rId24" Target="https://developers.google.com/earth-engine/datasets/catalog/COPERNICUS_S2_SR_HARMONIZED" TargetMode="External" /><Relationship Type="http://schemas.openxmlformats.org/officeDocument/2006/relationships/hyperlink" Id="rId21" Target="https://link" TargetMode="External" /><Relationship Type="http://schemas.openxmlformats.org/officeDocument/2006/relationships/hyperlink" Id="rId22" Target="https://storage.googleapis.com/rsssa-bucket/sen2_srSwell_2015-2020.ti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 7.2 Calculate Spectral Indices</dc:title>
  <dc:creator/>
  <cp:keywords/>
  <dcterms:created xsi:type="dcterms:W3CDTF">2024-07-31T20:48:46Z</dcterms:created>
  <dcterms:modified xsi:type="dcterms:W3CDTF">2024-07-31T20:48:46Z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2024-07-30</vt:lpwstr>
  </property>
  <property fmtid="{D5CDD505-2E9C-101B-9397-08002B2CF9AE}" pid="3" name="output">
    <vt:lpwstr/>
  </property>
</Properties>
</file>