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230B" w14:textId="715D4310" w:rsidR="00B2559B" w:rsidRDefault="00B2559B" w:rsidP="00B2559B">
      <w:pPr>
        <w:pStyle w:val="ListParagraph"/>
        <w:numPr>
          <w:ilvl w:val="0"/>
          <w:numId w:val="1"/>
        </w:numPr>
      </w:pPr>
      <w:r>
        <w:t xml:space="preserve">Should we tap into AM? Should we spend time coding for that? At all? Since our source is the </w:t>
      </w:r>
      <w:proofErr w:type="spellStart"/>
      <w:r>
        <w:t>DataHub</w:t>
      </w:r>
      <w:proofErr w:type="spellEnd"/>
      <w:r>
        <w:t xml:space="preserve"> and MDM? </w:t>
      </w:r>
    </w:p>
    <w:p w14:paraId="0EF65CC2" w14:textId="3F4F7450" w:rsidR="00B2559B" w:rsidRDefault="00B2559B" w:rsidP="00B2559B">
      <w:pPr>
        <w:pStyle w:val="ListParagraph"/>
        <w:numPr>
          <w:ilvl w:val="0"/>
          <w:numId w:val="1"/>
        </w:numPr>
      </w:pPr>
      <w:r>
        <w:t xml:space="preserve">What should we do in the future </w:t>
      </w:r>
      <w:proofErr w:type="gramStart"/>
      <w:r>
        <w:t>in regard to</w:t>
      </w:r>
      <w:proofErr w:type="gramEnd"/>
      <w:r>
        <w:t xml:space="preserve"> CRIS</w:t>
      </w:r>
      <w:r>
        <w:sym w:font="Wingdings" w:char="F0E0"/>
      </w:r>
      <w:r>
        <w:t xml:space="preserve"> ENS billing accounts. If someone asks to map a CRIS billing account</w:t>
      </w:r>
      <w:proofErr w:type="gramStart"/>
      <w:r>
        <w:t>…</w:t>
      </w:r>
      <w:proofErr w:type="gramEnd"/>
      <w:r>
        <w:t xml:space="preserve"> should we? </w:t>
      </w:r>
    </w:p>
    <w:p w14:paraId="0F3E27BA" w14:textId="63F42FB9" w:rsidR="00B2559B" w:rsidRDefault="00B2559B" w:rsidP="00B2559B">
      <w:pPr>
        <w:pStyle w:val="ListParagraph"/>
        <w:numPr>
          <w:ilvl w:val="0"/>
          <w:numId w:val="1"/>
        </w:numPr>
      </w:pPr>
      <w:r>
        <w:t xml:space="preserve">LATIS billing accounts are being created in AM and </w:t>
      </w:r>
      <w:r>
        <w:rPr>
          <w:i/>
          <w:iCs/>
        </w:rPr>
        <w:t>do not</w:t>
      </w:r>
      <w:r>
        <w:t xml:space="preserve"> have the traditional -LATIS suffix. Should we code to account for these? They are Kenan accounts (5-) that now have a -CTL suffix and will have a Legacy Latis BAN associated</w:t>
      </w:r>
    </w:p>
    <w:p w14:paraId="3EA86EAE" w14:textId="27AA7F84" w:rsidR="00B2559B" w:rsidRDefault="00B2559B" w:rsidP="00B2559B">
      <w:pPr>
        <w:pStyle w:val="ListParagraph"/>
        <w:numPr>
          <w:ilvl w:val="1"/>
          <w:numId w:val="1"/>
        </w:numPr>
      </w:pPr>
      <w:r w:rsidRPr="00B2559B">
        <w:drawing>
          <wp:inline distT="0" distB="0" distL="0" distR="0" wp14:anchorId="3DB60CF7" wp14:editId="23E5A064">
            <wp:extent cx="3286125" cy="2436606"/>
            <wp:effectExtent l="0" t="0" r="0" b="1905"/>
            <wp:docPr id="116802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260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990" cy="24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838" w14:textId="68C9B64E" w:rsidR="00B2559B" w:rsidRDefault="00960A5E" w:rsidP="00B2559B">
      <w:pPr>
        <w:pStyle w:val="ListParagraph"/>
        <w:numPr>
          <w:ilvl w:val="0"/>
          <w:numId w:val="1"/>
        </w:numPr>
      </w:pPr>
      <w:r>
        <w:t xml:space="preserve">Moving forward, we only care about revenue earning billing accounts. Do we care about SBG </w:t>
      </w:r>
      <w:r w:rsidR="0068050A">
        <w:sym w:font="Wingdings" w:char="F0E0"/>
      </w:r>
      <w:r>
        <w:t xml:space="preserve"> Indirect if </w:t>
      </w:r>
      <w:r w:rsidR="00C448E0">
        <w:t>the movement is</w:t>
      </w:r>
      <w:r>
        <w:t xml:space="preserve"> not revenue impacting? </w:t>
      </w:r>
    </w:p>
    <w:p w14:paraId="1725AAC2" w14:textId="5A97F893" w:rsidR="00051316" w:rsidRDefault="00051316" w:rsidP="00B2559B">
      <w:pPr>
        <w:pStyle w:val="ListParagraph"/>
        <w:numPr>
          <w:ilvl w:val="0"/>
          <w:numId w:val="1"/>
        </w:numPr>
      </w:pPr>
      <w:r>
        <w:t>Whether revenue impacting or not the OE Systems and Voice checks are stil</w:t>
      </w:r>
      <w:r w:rsidR="006F26C7">
        <w:t>l</w:t>
      </w:r>
      <w:r>
        <w:t xml:space="preserve"> important</w:t>
      </w:r>
    </w:p>
    <w:p w14:paraId="00ADBF70" w14:textId="51A84382" w:rsidR="00051316" w:rsidRDefault="00051316" w:rsidP="00051316">
      <w:pPr>
        <w:pStyle w:val="ListParagraph"/>
        <w:numPr>
          <w:ilvl w:val="1"/>
          <w:numId w:val="1"/>
        </w:numPr>
      </w:pPr>
      <w:r>
        <w:t xml:space="preserve">When do we run these checks on </w:t>
      </w:r>
    </w:p>
    <w:p w14:paraId="3844BF11" w14:textId="77777777" w:rsidR="00B2559B" w:rsidRDefault="00B2559B" w:rsidP="00B2559B"/>
    <w:p w14:paraId="25D831E2" w14:textId="77777777" w:rsidR="00B2559B" w:rsidRDefault="00B2559B" w:rsidP="00B2559B"/>
    <w:p w14:paraId="77BB7C57" w14:textId="437A1C9C" w:rsidR="008B219E" w:rsidRDefault="005405C5">
      <w:r>
        <w:t xml:space="preserve">If </w:t>
      </w:r>
    </w:p>
    <w:p w14:paraId="4F328F9D" w14:textId="61BC4A48" w:rsidR="00C50928" w:rsidRDefault="00C50928">
      <w:r>
        <w:t>(</w:t>
      </w:r>
    </w:p>
    <w:p w14:paraId="022854DF" w14:textId="73C46B81" w:rsidR="005405C5" w:rsidRDefault="005405C5" w:rsidP="00C50928">
      <w:pPr>
        <w:ind w:left="720"/>
      </w:pPr>
      <w:r>
        <w:t xml:space="preserve">The billing system is a “Salesforce” billing system (if it is a “green” biller that has traditionally been inserted into Salesforce </w:t>
      </w:r>
      <w:proofErr w:type="gramStart"/>
      <w:r>
        <w:t>in order to</w:t>
      </w:r>
      <w:proofErr w:type="gramEnd"/>
      <w:r>
        <w:t xml:space="preserve"> finally show the desired mapping in CODS.BA)</w:t>
      </w:r>
    </w:p>
    <w:p w14:paraId="7F1C27EC" w14:textId="58ACCE8D" w:rsidR="005405C5" w:rsidRDefault="005405C5" w:rsidP="00C50928">
      <w:pPr>
        <w:ind w:left="720"/>
      </w:pPr>
      <w:r>
        <w:t>Or</w:t>
      </w:r>
    </w:p>
    <w:p w14:paraId="69390FCA" w14:textId="68A0851F" w:rsidR="005405C5" w:rsidRDefault="005405C5" w:rsidP="00C50928">
      <w:pPr>
        <w:ind w:left="720"/>
      </w:pPr>
      <w:r>
        <w:t xml:space="preserve">If the </w:t>
      </w:r>
      <w:r w:rsidR="00C50928">
        <w:t xml:space="preserve">billing system is in ‘IDC_KENAN’ or ‘KENANFX’ </w:t>
      </w:r>
      <w:proofErr w:type="gramStart"/>
      <w:r w:rsidR="00C50928">
        <w:t>and also</w:t>
      </w:r>
      <w:proofErr w:type="gramEnd"/>
      <w:r w:rsidR="00C50928">
        <w:t xml:space="preserve"> ends with -LATIS</w:t>
      </w:r>
    </w:p>
    <w:p w14:paraId="6D89D5BE" w14:textId="5BD9C505" w:rsidR="00C50928" w:rsidRDefault="00C50928">
      <w:r>
        <w:t>)</w:t>
      </w:r>
    </w:p>
    <w:p w14:paraId="6FC98139" w14:textId="446EB8A0" w:rsidR="00C50928" w:rsidRDefault="00C50928">
      <w:r>
        <w:t>And</w:t>
      </w:r>
    </w:p>
    <w:p w14:paraId="556CA75B" w14:textId="66AD9E2D" w:rsidR="00C50928" w:rsidRDefault="00C50928">
      <w:r>
        <w:t>(</w:t>
      </w:r>
    </w:p>
    <w:p w14:paraId="05CF75F7" w14:textId="02ED46D2" w:rsidR="00C50928" w:rsidRDefault="00C50928">
      <w:r>
        <w:tab/>
      </w:r>
    </w:p>
    <w:p w14:paraId="09D2D0EE" w14:textId="77A5EA1D" w:rsidR="00C50928" w:rsidRDefault="00C50928">
      <w:r>
        <w:t>)</w:t>
      </w:r>
    </w:p>
    <w:sectPr w:rsidR="00C5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E4101"/>
    <w:multiLevelType w:val="hybridMultilevel"/>
    <w:tmpl w:val="64323F84"/>
    <w:lvl w:ilvl="0" w:tplc="3A7C1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C5"/>
    <w:rsid w:val="00051316"/>
    <w:rsid w:val="00314929"/>
    <w:rsid w:val="005405C5"/>
    <w:rsid w:val="00645BB0"/>
    <w:rsid w:val="0068050A"/>
    <w:rsid w:val="006F26C7"/>
    <w:rsid w:val="007900B7"/>
    <w:rsid w:val="008B219E"/>
    <w:rsid w:val="00960A5E"/>
    <w:rsid w:val="00B2559B"/>
    <w:rsid w:val="00C448E0"/>
    <w:rsid w:val="00C50928"/>
    <w:rsid w:val="00DA3020"/>
    <w:rsid w:val="00EA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5AC6"/>
  <w15:chartTrackingRefBased/>
  <w15:docId w15:val="{2D35058F-9239-4E4B-982F-E2689E3A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Dave</dc:creator>
  <cp:keywords/>
  <dc:description/>
  <cp:lastModifiedBy>Curtis, Dave</cp:lastModifiedBy>
  <cp:revision>6</cp:revision>
  <dcterms:created xsi:type="dcterms:W3CDTF">2024-08-29T18:12:00Z</dcterms:created>
  <dcterms:modified xsi:type="dcterms:W3CDTF">2024-08-29T19:39:00Z</dcterms:modified>
</cp:coreProperties>
</file>