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325" w:rsidRDefault="00980325" w:rsidP="00980325">
      <w:r>
        <w:t xml:space="preserve">Quarter 3 Report Notes – </w:t>
      </w:r>
      <w:bookmarkStart w:id="0" w:name="_GoBack"/>
      <w:bookmarkEnd w:id="0"/>
    </w:p>
    <w:p w:rsidR="00980325" w:rsidRDefault="00980325" w:rsidP="00980325">
      <w:pPr>
        <w:rPr>
          <w:b/>
        </w:rPr>
      </w:pPr>
      <w:r w:rsidRPr="00D0560B">
        <w:rPr>
          <w:b/>
        </w:rPr>
        <w:t>Objective 1: Design and execute a market feasibility and technical test across Kenya</w:t>
      </w:r>
    </w:p>
    <w:p w:rsidR="002C4CE1" w:rsidRDefault="00980325" w:rsidP="00980325">
      <w:pPr>
        <w:pStyle w:val="ListParagraph"/>
        <w:numPr>
          <w:ilvl w:val="0"/>
          <w:numId w:val="1"/>
        </w:numPr>
      </w:pPr>
      <w:r>
        <w:t xml:space="preserve">A full document outlining the market test objectives and strategy was developed in this quarter to facilitate planning; the document can be found in the DLP shared folder (see </w:t>
      </w:r>
      <w:proofErr w:type="spellStart"/>
      <w:r>
        <w:t>Mudit</w:t>
      </w:r>
      <w:proofErr w:type="spellEnd"/>
      <w:r>
        <w:t>)</w:t>
      </w:r>
    </w:p>
    <w:p w:rsidR="00980325" w:rsidRDefault="00980325" w:rsidP="00980325">
      <w:pPr>
        <w:pStyle w:val="ListParagraph"/>
        <w:numPr>
          <w:ilvl w:val="0"/>
          <w:numId w:val="1"/>
        </w:numPr>
      </w:pPr>
      <w:r>
        <w:t xml:space="preserve">The primary objective of the market test will be to test the </w:t>
      </w:r>
      <w:proofErr w:type="gramStart"/>
      <w:r>
        <w:t>self installation</w:t>
      </w:r>
      <w:proofErr w:type="gramEnd"/>
      <w:r>
        <w:t xml:space="preserve"> of the pump as well as the customers’ willingness to pay for installation. Specifically, the objectives of the test are:</w:t>
      </w:r>
    </w:p>
    <w:p w:rsidR="00980325" w:rsidRPr="00980325" w:rsidRDefault="00980325" w:rsidP="00980325">
      <w:pPr>
        <w:pStyle w:val="ListParagraph"/>
        <w:numPr>
          <w:ilvl w:val="1"/>
          <w:numId w:val="1"/>
        </w:numPr>
        <w:spacing w:before="200"/>
        <w:rPr>
          <w:iCs/>
        </w:rPr>
      </w:pPr>
      <w:r w:rsidRPr="00980325">
        <w:rPr>
          <w:iCs/>
        </w:rPr>
        <w:t>Test the customers’ ability to self install the pump and their preference for pump installation</w:t>
      </w:r>
    </w:p>
    <w:p w:rsidR="00980325" w:rsidRPr="00980325" w:rsidRDefault="00980325" w:rsidP="00980325">
      <w:pPr>
        <w:pStyle w:val="ListParagraph"/>
        <w:numPr>
          <w:ilvl w:val="1"/>
          <w:numId w:val="1"/>
        </w:numPr>
        <w:spacing w:before="200"/>
        <w:rPr>
          <w:iCs/>
        </w:rPr>
      </w:pPr>
      <w:r w:rsidRPr="00980325">
        <w:rPr>
          <w:iCs/>
        </w:rPr>
        <w:t>Gather dealer, sales rep, and customer feedback on the pump’s unique set of features and benefits</w:t>
      </w:r>
    </w:p>
    <w:p w:rsidR="00980325" w:rsidRDefault="00980325" w:rsidP="00980325">
      <w:pPr>
        <w:pStyle w:val="ListParagraph"/>
        <w:numPr>
          <w:ilvl w:val="1"/>
          <w:numId w:val="1"/>
        </w:numPr>
        <w:spacing w:before="200"/>
        <w:rPr>
          <w:iCs/>
        </w:rPr>
      </w:pPr>
      <w:r w:rsidRPr="00980325">
        <w:rPr>
          <w:iCs/>
        </w:rPr>
        <w:t>Ensure the DLP provides adequate impact on farmer livelihoods</w:t>
      </w:r>
    </w:p>
    <w:p w:rsidR="00980325" w:rsidRDefault="00980325" w:rsidP="00980325">
      <w:pPr>
        <w:pStyle w:val="ListParagraph"/>
        <w:numPr>
          <w:ilvl w:val="0"/>
          <w:numId w:val="1"/>
        </w:numPr>
        <w:spacing w:before="200"/>
        <w:rPr>
          <w:iCs/>
        </w:rPr>
      </w:pPr>
      <w:r>
        <w:rPr>
          <w:iCs/>
        </w:rPr>
        <w:t>The test will be tested in with four dealers in two locations. A third location will be brought online if initial sales of the pumps are slow. All locations were selected based on the water level research data suggesting high likelihood of strong DLP sales as well as an analysis of hot prospect data.</w:t>
      </w:r>
    </w:p>
    <w:tbl>
      <w:tblPr>
        <w:tblStyle w:val="MediumShading1-Accent11"/>
        <w:tblW w:w="9100" w:type="dxa"/>
        <w:tblLook w:val="04A0" w:firstRow="1" w:lastRow="0" w:firstColumn="1" w:lastColumn="0" w:noHBand="0" w:noVBand="1"/>
      </w:tblPr>
      <w:tblGrid>
        <w:gridCol w:w="1951"/>
        <w:gridCol w:w="3402"/>
        <w:gridCol w:w="3747"/>
      </w:tblGrid>
      <w:tr w:rsidR="00980325" w:rsidRPr="008211E8" w:rsidTr="00980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FFFFFF" w:themeColor="background1"/>
              <w:left w:val="single" w:sz="8" w:space="0" w:color="FFFFFF" w:themeColor="background1"/>
            </w:tcBorders>
            <w:shd w:val="clear" w:color="auto" w:fill="FFFFFF" w:themeFill="background1"/>
          </w:tcPr>
          <w:p w:rsidR="00980325" w:rsidRPr="008211E8" w:rsidRDefault="00980325" w:rsidP="00980325">
            <w:pPr>
              <w:rPr>
                <w:iCs/>
              </w:rPr>
            </w:pPr>
          </w:p>
        </w:tc>
        <w:tc>
          <w:tcPr>
            <w:tcW w:w="3402" w:type="dxa"/>
          </w:tcPr>
          <w:p w:rsidR="00980325" w:rsidRPr="008211E8" w:rsidRDefault="00980325" w:rsidP="00980325">
            <w:pPr>
              <w:jc w:val="center"/>
              <w:cnfStyle w:val="100000000000" w:firstRow="1" w:lastRow="0" w:firstColumn="0" w:lastColumn="0" w:oddVBand="0" w:evenVBand="0" w:oddHBand="0" w:evenHBand="0" w:firstRowFirstColumn="0" w:firstRowLastColumn="0" w:lastRowFirstColumn="0" w:lastRowLastColumn="0"/>
              <w:rPr>
                <w:iCs/>
              </w:rPr>
            </w:pPr>
            <w:r w:rsidRPr="008211E8">
              <w:rPr>
                <w:iCs/>
              </w:rPr>
              <w:t>Cell 1: Self installation instructions</w:t>
            </w:r>
          </w:p>
        </w:tc>
        <w:tc>
          <w:tcPr>
            <w:tcW w:w="3747" w:type="dxa"/>
          </w:tcPr>
          <w:p w:rsidR="00980325" w:rsidRPr="008211E8" w:rsidRDefault="00980325" w:rsidP="00980325">
            <w:pPr>
              <w:jc w:val="center"/>
              <w:cnfStyle w:val="100000000000" w:firstRow="1" w:lastRow="0" w:firstColumn="0" w:lastColumn="0" w:oddVBand="0" w:evenVBand="0" w:oddHBand="0" w:evenHBand="0" w:firstRowFirstColumn="0" w:firstRowLastColumn="0" w:lastRowFirstColumn="0" w:lastRowLastColumn="0"/>
              <w:rPr>
                <w:iCs/>
              </w:rPr>
            </w:pPr>
            <w:r w:rsidRPr="008211E8">
              <w:rPr>
                <w:iCs/>
              </w:rPr>
              <w:t>Cell 2: Self Installation instructions with option to pay</w:t>
            </w:r>
          </w:p>
        </w:tc>
      </w:tr>
      <w:tr w:rsidR="00980325" w:rsidRPr="008211E8" w:rsidTr="00980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Number of Pumps</w:t>
            </w:r>
          </w:p>
        </w:tc>
        <w:tc>
          <w:tcPr>
            <w:tcW w:w="3402" w:type="dxa"/>
            <w:tcBorders>
              <w:left w:val="single" w:sz="8" w:space="0" w:color="7BA0CD" w:themeColor="accent1" w:themeTint="BF"/>
              <w:righ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r w:rsidRPr="008211E8">
              <w:rPr>
                <w:iCs/>
              </w:rPr>
              <w:t>15</w:t>
            </w:r>
          </w:p>
        </w:tc>
        <w:tc>
          <w:tcPr>
            <w:tcW w:w="3747" w:type="dxa"/>
            <w:tcBorders>
              <w:lef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r w:rsidRPr="008211E8">
              <w:rPr>
                <w:iCs/>
              </w:rPr>
              <w:t>15</w:t>
            </w:r>
          </w:p>
        </w:tc>
      </w:tr>
      <w:tr w:rsidR="00980325" w:rsidRPr="008211E8" w:rsidTr="00980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Province</w:t>
            </w:r>
          </w:p>
        </w:tc>
        <w:tc>
          <w:tcPr>
            <w:tcW w:w="3402" w:type="dxa"/>
            <w:tcBorders>
              <w:left w:val="single" w:sz="8" w:space="0" w:color="7BA0CD" w:themeColor="accent1" w:themeTint="BF"/>
              <w:right w:val="single" w:sz="8" w:space="0" w:color="7BA0CD" w:themeColor="accent1" w:themeTint="BF"/>
            </w:tcBorders>
          </w:tcPr>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r>
              <w:rPr>
                <w:iCs/>
              </w:rPr>
              <w:t>Rift Valley/Central</w:t>
            </w:r>
          </w:p>
        </w:tc>
        <w:tc>
          <w:tcPr>
            <w:tcW w:w="3747" w:type="dxa"/>
            <w:tcBorders>
              <w:left w:val="single" w:sz="8" w:space="0" w:color="7BA0CD" w:themeColor="accent1" w:themeTint="BF"/>
            </w:tcBorders>
          </w:tcPr>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r>
              <w:rPr>
                <w:iCs/>
              </w:rPr>
              <w:t>Eastern</w:t>
            </w:r>
          </w:p>
        </w:tc>
      </w:tr>
      <w:tr w:rsidR="00980325" w:rsidRPr="008211E8" w:rsidTr="00980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District</w:t>
            </w:r>
          </w:p>
        </w:tc>
        <w:tc>
          <w:tcPr>
            <w:tcW w:w="3402" w:type="dxa"/>
            <w:tcBorders>
              <w:left w:val="single" w:sz="8" w:space="0" w:color="7BA0CD" w:themeColor="accent1" w:themeTint="BF"/>
              <w:righ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proofErr w:type="spellStart"/>
            <w:r>
              <w:rPr>
                <w:iCs/>
              </w:rPr>
              <w:t>Nyandura</w:t>
            </w:r>
            <w:proofErr w:type="spellEnd"/>
            <w:r>
              <w:rPr>
                <w:iCs/>
              </w:rPr>
              <w:t>/</w:t>
            </w:r>
            <w:proofErr w:type="spellStart"/>
            <w:r>
              <w:rPr>
                <w:iCs/>
              </w:rPr>
              <w:t>Laikipia</w:t>
            </w:r>
            <w:proofErr w:type="spellEnd"/>
          </w:p>
        </w:tc>
        <w:tc>
          <w:tcPr>
            <w:tcW w:w="3747" w:type="dxa"/>
            <w:tcBorders>
              <w:lef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proofErr w:type="spellStart"/>
            <w:r>
              <w:rPr>
                <w:iCs/>
              </w:rPr>
              <w:t>Kitui</w:t>
            </w:r>
            <w:proofErr w:type="spellEnd"/>
          </w:p>
        </w:tc>
      </w:tr>
      <w:tr w:rsidR="00980325" w:rsidRPr="008211E8" w:rsidTr="00980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Dealers</w:t>
            </w:r>
          </w:p>
        </w:tc>
        <w:tc>
          <w:tcPr>
            <w:tcW w:w="3402" w:type="dxa"/>
            <w:tcBorders>
              <w:left w:val="single" w:sz="8" w:space="0" w:color="7BA0CD" w:themeColor="accent1" w:themeTint="BF"/>
              <w:right w:val="single" w:sz="8" w:space="0" w:color="7BA0CD" w:themeColor="accent1" w:themeTint="BF"/>
            </w:tcBorders>
          </w:tcPr>
          <w:p w:rsidR="00980325"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proofErr w:type="spellStart"/>
            <w:r>
              <w:rPr>
                <w:iCs/>
              </w:rPr>
              <w:t>Nyahururu</w:t>
            </w:r>
            <w:proofErr w:type="spellEnd"/>
            <w:r>
              <w:rPr>
                <w:iCs/>
              </w:rPr>
              <w:t xml:space="preserve"> – </w:t>
            </w:r>
            <w:proofErr w:type="spellStart"/>
            <w:r>
              <w:rPr>
                <w:iCs/>
              </w:rPr>
              <w:t>Hekima</w:t>
            </w:r>
            <w:proofErr w:type="spellEnd"/>
            <w:r>
              <w:rPr>
                <w:iCs/>
              </w:rPr>
              <w:t xml:space="preserve"> Hardware</w:t>
            </w:r>
          </w:p>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proofErr w:type="spellStart"/>
            <w:r>
              <w:rPr>
                <w:iCs/>
              </w:rPr>
              <w:t>Ol</w:t>
            </w:r>
            <w:proofErr w:type="spellEnd"/>
            <w:r>
              <w:rPr>
                <w:iCs/>
              </w:rPr>
              <w:t xml:space="preserve"> </w:t>
            </w:r>
            <w:proofErr w:type="spellStart"/>
            <w:r>
              <w:rPr>
                <w:iCs/>
              </w:rPr>
              <w:t>Kalau</w:t>
            </w:r>
            <w:proofErr w:type="spellEnd"/>
            <w:r>
              <w:rPr>
                <w:iCs/>
              </w:rPr>
              <w:t xml:space="preserve"> – </w:t>
            </w:r>
            <w:proofErr w:type="spellStart"/>
            <w:r>
              <w:rPr>
                <w:iCs/>
              </w:rPr>
              <w:t>Mwangaza</w:t>
            </w:r>
            <w:proofErr w:type="spellEnd"/>
            <w:r>
              <w:rPr>
                <w:iCs/>
              </w:rPr>
              <w:t xml:space="preserve"> </w:t>
            </w:r>
            <w:proofErr w:type="spellStart"/>
            <w:r>
              <w:rPr>
                <w:iCs/>
              </w:rPr>
              <w:t>Agrovet</w:t>
            </w:r>
            <w:proofErr w:type="spellEnd"/>
          </w:p>
        </w:tc>
        <w:tc>
          <w:tcPr>
            <w:tcW w:w="3747" w:type="dxa"/>
            <w:tcBorders>
              <w:left w:val="single" w:sz="8" w:space="0" w:color="7BA0CD" w:themeColor="accent1" w:themeTint="BF"/>
            </w:tcBorders>
          </w:tcPr>
          <w:p w:rsidR="00980325"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r>
              <w:rPr>
                <w:iCs/>
              </w:rPr>
              <w:t>At Your Service</w:t>
            </w:r>
          </w:p>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proofErr w:type="spellStart"/>
            <w:r>
              <w:rPr>
                <w:iCs/>
              </w:rPr>
              <w:t>Kithimani</w:t>
            </w:r>
            <w:proofErr w:type="spellEnd"/>
            <w:r>
              <w:rPr>
                <w:iCs/>
              </w:rPr>
              <w:t xml:space="preserve"> </w:t>
            </w:r>
            <w:proofErr w:type="spellStart"/>
            <w:r>
              <w:rPr>
                <w:iCs/>
              </w:rPr>
              <w:t>Agrovet</w:t>
            </w:r>
            <w:proofErr w:type="spellEnd"/>
          </w:p>
        </w:tc>
      </w:tr>
      <w:tr w:rsidR="00980325" w:rsidRPr="008211E8" w:rsidTr="00980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Sales Reps</w:t>
            </w:r>
          </w:p>
        </w:tc>
        <w:tc>
          <w:tcPr>
            <w:tcW w:w="3402" w:type="dxa"/>
            <w:tcBorders>
              <w:left w:val="single" w:sz="8" w:space="0" w:color="7BA0CD" w:themeColor="accent1" w:themeTint="BF"/>
              <w:righ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p>
        </w:tc>
        <w:tc>
          <w:tcPr>
            <w:tcW w:w="3747" w:type="dxa"/>
            <w:tcBorders>
              <w:left w:val="single" w:sz="8" w:space="0" w:color="7BA0CD" w:themeColor="accent1" w:themeTint="BF"/>
            </w:tcBorders>
          </w:tcPr>
          <w:p w:rsidR="00980325" w:rsidRPr="008211E8" w:rsidRDefault="00980325" w:rsidP="00980325">
            <w:pPr>
              <w:jc w:val="center"/>
              <w:cnfStyle w:val="000000100000" w:firstRow="0" w:lastRow="0" w:firstColumn="0" w:lastColumn="0" w:oddVBand="0" w:evenVBand="0" w:oddHBand="1" w:evenHBand="0" w:firstRowFirstColumn="0" w:firstRowLastColumn="0" w:lastRowFirstColumn="0" w:lastRowLastColumn="0"/>
              <w:rPr>
                <w:iCs/>
              </w:rPr>
            </w:pPr>
          </w:p>
        </w:tc>
      </w:tr>
      <w:tr w:rsidR="00980325" w:rsidRPr="008211E8" w:rsidTr="009803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8" w:space="0" w:color="7BA0CD" w:themeColor="accent1" w:themeTint="BF"/>
            </w:tcBorders>
          </w:tcPr>
          <w:p w:rsidR="00980325" w:rsidRPr="008211E8" w:rsidRDefault="00980325" w:rsidP="00980325">
            <w:pPr>
              <w:rPr>
                <w:iCs/>
              </w:rPr>
            </w:pPr>
            <w:r w:rsidRPr="008211E8">
              <w:rPr>
                <w:iCs/>
              </w:rPr>
              <w:t>Rationale</w:t>
            </w:r>
          </w:p>
        </w:tc>
        <w:tc>
          <w:tcPr>
            <w:tcW w:w="3402" w:type="dxa"/>
            <w:tcBorders>
              <w:left w:val="single" w:sz="8" w:space="0" w:color="7BA0CD" w:themeColor="accent1" w:themeTint="BF"/>
              <w:right w:val="single" w:sz="8" w:space="0" w:color="7BA0CD" w:themeColor="accent1" w:themeTint="BF"/>
            </w:tcBorders>
          </w:tcPr>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r w:rsidRPr="008211E8">
              <w:rPr>
                <w:iCs/>
              </w:rPr>
              <w:t xml:space="preserve">High potential for DLP based on wells and water levels; </w:t>
            </w:r>
            <w:r>
              <w:rPr>
                <w:iCs/>
              </w:rPr>
              <w:t>strong interest in DLP according to sales team and hot prospect data</w:t>
            </w:r>
          </w:p>
        </w:tc>
        <w:tc>
          <w:tcPr>
            <w:tcW w:w="3747" w:type="dxa"/>
            <w:tcBorders>
              <w:left w:val="single" w:sz="8" w:space="0" w:color="7BA0CD" w:themeColor="accent1" w:themeTint="BF"/>
            </w:tcBorders>
          </w:tcPr>
          <w:p w:rsidR="00980325" w:rsidRPr="008211E8" w:rsidRDefault="00980325" w:rsidP="00980325">
            <w:pPr>
              <w:jc w:val="center"/>
              <w:cnfStyle w:val="000000010000" w:firstRow="0" w:lastRow="0" w:firstColumn="0" w:lastColumn="0" w:oddVBand="0" w:evenVBand="0" w:oddHBand="0" w:evenHBand="1" w:firstRowFirstColumn="0" w:firstRowLastColumn="0" w:lastRowFirstColumn="0" w:lastRowLastColumn="0"/>
              <w:rPr>
                <w:iCs/>
              </w:rPr>
            </w:pPr>
            <w:r w:rsidRPr="008211E8">
              <w:rPr>
                <w:iCs/>
              </w:rPr>
              <w:t xml:space="preserve">High potential for DLP based on wells and water levels; </w:t>
            </w:r>
            <w:r>
              <w:rPr>
                <w:iCs/>
              </w:rPr>
              <w:t>strong interest in DLP according to sales team and hot prospect data</w:t>
            </w:r>
          </w:p>
        </w:tc>
      </w:tr>
    </w:tbl>
    <w:p w:rsidR="00980325" w:rsidRDefault="00980325" w:rsidP="00980325">
      <w:pPr>
        <w:pStyle w:val="ListParagraph"/>
        <w:numPr>
          <w:ilvl w:val="0"/>
          <w:numId w:val="3"/>
        </w:numPr>
        <w:spacing w:before="200"/>
        <w:rPr>
          <w:iCs/>
        </w:rPr>
      </w:pPr>
      <w:r>
        <w:rPr>
          <w:iCs/>
        </w:rPr>
        <w:lastRenderedPageBreak/>
        <w:t>The market test is scheduled to start in October and the sales will take place over three months. An initial customer survey and data on the installation test will be collected in December and January</w:t>
      </w:r>
    </w:p>
    <w:p w:rsidR="00980325" w:rsidRDefault="00980325" w:rsidP="00980325">
      <w:pPr>
        <w:spacing w:before="200"/>
        <w:rPr>
          <w:rFonts w:asciiTheme="minorHAnsi" w:hAnsiTheme="minorHAnsi" w:cs="Arial"/>
          <w:b/>
          <w:iCs/>
          <w:lang w:eastAsia="en-GB"/>
        </w:rPr>
      </w:pPr>
      <w:commentRangeStart w:id="1"/>
      <w:r>
        <w:rPr>
          <w:rFonts w:asciiTheme="minorHAnsi" w:hAnsiTheme="minorHAnsi"/>
          <w:b/>
        </w:rPr>
        <w:t xml:space="preserve">Objective 2: </w:t>
      </w:r>
      <w:r w:rsidRPr="000A061B">
        <w:rPr>
          <w:rFonts w:asciiTheme="minorHAnsi" w:hAnsiTheme="minorHAnsi" w:cs="Arial"/>
          <w:b/>
          <w:iCs/>
          <w:lang w:eastAsia="en-GB"/>
        </w:rPr>
        <w:t>Conduct a survey of potential customers in high potential regions for the DLP such as in arid /semi-arid areas with low water</w:t>
      </w:r>
      <w:r>
        <w:rPr>
          <w:rFonts w:asciiTheme="minorHAnsi" w:hAnsiTheme="minorHAnsi" w:cs="Arial"/>
          <w:b/>
          <w:iCs/>
          <w:lang w:eastAsia="en-GB"/>
        </w:rPr>
        <w:t xml:space="preserve"> tables and existing deep wells</w:t>
      </w:r>
      <w:commentRangeEnd w:id="1"/>
      <w:r w:rsidR="002665E2">
        <w:rPr>
          <w:rStyle w:val="CommentReference"/>
        </w:rPr>
        <w:commentReference w:id="1"/>
      </w:r>
    </w:p>
    <w:p w:rsidR="002665E2" w:rsidRDefault="002665E2" w:rsidP="002665E2">
      <w:pPr>
        <w:autoSpaceDE w:val="0"/>
        <w:autoSpaceDN w:val="0"/>
        <w:adjustRightInd w:val="0"/>
        <w:spacing w:after="0" w:line="240" w:lineRule="auto"/>
        <w:jc w:val="center"/>
        <w:rPr>
          <w:rFonts w:asciiTheme="minorHAnsi" w:hAnsiTheme="minorHAnsi" w:cs="Arial"/>
          <w:b/>
          <w:iCs/>
          <w:lang w:eastAsia="en-GB"/>
        </w:rPr>
      </w:pPr>
    </w:p>
    <w:p w:rsidR="002665E2" w:rsidRPr="00D2453A" w:rsidRDefault="002665E2" w:rsidP="002665E2">
      <w:pPr>
        <w:pStyle w:val="ListParagraph"/>
        <w:numPr>
          <w:ilvl w:val="0"/>
          <w:numId w:val="4"/>
        </w:numPr>
        <w:autoSpaceDE w:val="0"/>
        <w:autoSpaceDN w:val="0"/>
        <w:adjustRightInd w:val="0"/>
        <w:spacing w:after="0" w:line="240" w:lineRule="auto"/>
        <w:rPr>
          <w:rFonts w:asciiTheme="minorHAnsi" w:hAnsiTheme="minorHAnsi" w:cs="Arial"/>
          <w:b/>
          <w:iCs/>
          <w:lang w:eastAsia="en-GB"/>
        </w:rPr>
      </w:pPr>
      <w:proofErr w:type="spellStart"/>
      <w:r>
        <w:rPr>
          <w:rFonts w:asciiTheme="minorHAnsi" w:hAnsiTheme="minorHAnsi" w:cs="Arial"/>
          <w:iCs/>
          <w:lang w:eastAsia="en-GB"/>
        </w:rPr>
        <w:t>Synovate</w:t>
      </w:r>
      <w:proofErr w:type="spellEnd"/>
      <w:r>
        <w:rPr>
          <w:rFonts w:asciiTheme="minorHAnsi" w:hAnsiTheme="minorHAnsi" w:cs="Arial"/>
          <w:iCs/>
          <w:lang w:eastAsia="en-GB"/>
        </w:rPr>
        <w:t xml:space="preserve"> survey was completed in April 2011 - called 1,156 farmers from the </w:t>
      </w:r>
      <w:proofErr w:type="spellStart"/>
      <w:r>
        <w:rPr>
          <w:rFonts w:asciiTheme="minorHAnsi" w:hAnsiTheme="minorHAnsi" w:cs="Arial"/>
          <w:iCs/>
          <w:lang w:eastAsia="en-GB"/>
        </w:rPr>
        <w:t>KickStart</w:t>
      </w:r>
      <w:proofErr w:type="spellEnd"/>
      <w:r>
        <w:rPr>
          <w:rFonts w:asciiTheme="minorHAnsi" w:hAnsiTheme="minorHAnsi" w:cs="Arial"/>
          <w:iCs/>
          <w:lang w:eastAsia="en-GB"/>
        </w:rPr>
        <w:t xml:space="preserve"> hot prospect database that did not have a </w:t>
      </w:r>
      <w:proofErr w:type="spellStart"/>
      <w:r>
        <w:rPr>
          <w:rFonts w:asciiTheme="minorHAnsi" w:hAnsiTheme="minorHAnsi" w:cs="Arial"/>
          <w:iCs/>
          <w:lang w:eastAsia="en-GB"/>
        </w:rPr>
        <w:t>MoneyMaker</w:t>
      </w:r>
      <w:proofErr w:type="spellEnd"/>
      <w:r>
        <w:rPr>
          <w:rFonts w:asciiTheme="minorHAnsi" w:hAnsiTheme="minorHAnsi" w:cs="Arial"/>
          <w:iCs/>
          <w:lang w:eastAsia="en-GB"/>
        </w:rPr>
        <w:t xml:space="preserve"> pump</w:t>
      </w:r>
    </w:p>
    <w:p w:rsidR="002665E2" w:rsidRPr="00D2453A"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1,004 Kenyan hot prospects and 152 Tanzanian hot prospects were called and answered a short series of questions to identify sources of water, well depth, and potential prices for a DLP</w:t>
      </w:r>
    </w:p>
    <w:p w:rsidR="002665E2" w:rsidRPr="00D2453A"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Water source – 39% of Kenyan respondents use a well for irrigation while 37% use a river; 29% of Tanzanian respondents use a well for irrigation while 39% use a river</w:t>
      </w:r>
    </w:p>
    <w:p w:rsidR="002665E2" w:rsidRPr="000A7C0B"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Well depth – Unfortunately, the question was asked in a confusing manner and there were answers in meters and in feet, rendering the data collected around well depth to be not actionable. We expect to get much more accurate and useable data through our water level research (see Objective 3)</w:t>
      </w:r>
    </w:p>
    <w:p w:rsidR="002665E2" w:rsidRPr="00D232D6"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 xml:space="preserve">DLP Pricing – The % of potential buyers increases as the price of the pump declines, but further study will have to be done to confirm the pricing data and that the respondents were indeed potential DLP customers (had a well depth deeper than 7 meters) </w:t>
      </w:r>
    </w:p>
    <w:p w:rsidR="002665E2" w:rsidRPr="00D232D6" w:rsidRDefault="002665E2" w:rsidP="002665E2">
      <w:pPr>
        <w:pStyle w:val="ListParagraph"/>
        <w:autoSpaceDE w:val="0"/>
        <w:autoSpaceDN w:val="0"/>
        <w:adjustRightInd w:val="0"/>
        <w:spacing w:after="0" w:line="240" w:lineRule="auto"/>
        <w:ind w:left="1440"/>
        <w:rPr>
          <w:rFonts w:asciiTheme="minorHAnsi" w:hAnsiTheme="minorHAnsi" w:cs="Arial"/>
          <w:b/>
          <w:iCs/>
          <w:lang w:eastAsia="en-GB"/>
        </w:rPr>
      </w:pPr>
    </w:p>
    <w:p w:rsidR="002665E2" w:rsidRDefault="002665E2" w:rsidP="002665E2">
      <w:pPr>
        <w:autoSpaceDE w:val="0"/>
        <w:autoSpaceDN w:val="0"/>
        <w:adjustRightInd w:val="0"/>
        <w:spacing w:after="0" w:line="240" w:lineRule="auto"/>
        <w:jc w:val="center"/>
        <w:rPr>
          <w:rFonts w:asciiTheme="minorHAnsi" w:hAnsiTheme="minorHAnsi" w:cs="Arial"/>
          <w:b/>
          <w:iCs/>
          <w:lang w:eastAsia="en-GB"/>
        </w:rPr>
      </w:pPr>
      <w:r>
        <w:rPr>
          <w:rFonts w:asciiTheme="minorHAnsi" w:hAnsiTheme="minorHAnsi" w:cs="Arial"/>
          <w:b/>
          <w:iCs/>
          <w:lang w:eastAsia="en-GB"/>
        </w:rPr>
        <w:t xml:space="preserve">                 </w:t>
      </w:r>
      <w:r>
        <w:rPr>
          <w:rFonts w:asciiTheme="minorHAnsi" w:hAnsiTheme="minorHAnsi" w:cs="Arial"/>
          <w:b/>
          <w:iCs/>
          <w:noProof/>
          <w:lang w:val="en-US"/>
        </w:rPr>
        <w:drawing>
          <wp:inline distT="0" distB="0" distL="0" distR="0" wp14:anchorId="41AF0FFA" wp14:editId="7404AF5A">
            <wp:extent cx="4752975" cy="11525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52975" cy="1152525"/>
                    </a:xfrm>
                    <a:prstGeom prst="rect">
                      <a:avLst/>
                    </a:prstGeom>
                    <a:noFill/>
                    <a:ln w="9525">
                      <a:noFill/>
                      <a:miter lim="800000"/>
                      <a:headEnd/>
                      <a:tailEnd/>
                    </a:ln>
                  </pic:spPr>
                </pic:pic>
              </a:graphicData>
            </a:graphic>
          </wp:inline>
        </w:drawing>
      </w:r>
    </w:p>
    <w:p w:rsidR="002665E2" w:rsidRDefault="002665E2" w:rsidP="002665E2">
      <w:pPr>
        <w:autoSpaceDE w:val="0"/>
        <w:autoSpaceDN w:val="0"/>
        <w:adjustRightInd w:val="0"/>
        <w:spacing w:after="0" w:line="240" w:lineRule="auto"/>
        <w:jc w:val="center"/>
        <w:rPr>
          <w:rFonts w:asciiTheme="minorHAnsi" w:hAnsiTheme="minorHAnsi" w:cs="Arial"/>
          <w:b/>
          <w:iCs/>
          <w:lang w:eastAsia="en-GB"/>
        </w:rPr>
      </w:pPr>
    </w:p>
    <w:p w:rsidR="002665E2" w:rsidRPr="00E16F12" w:rsidRDefault="002665E2" w:rsidP="002665E2">
      <w:pPr>
        <w:pStyle w:val="ListParagraph"/>
        <w:numPr>
          <w:ilvl w:val="0"/>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 xml:space="preserve">Hot prospect calls completed in April 2011 – called 183 farmers from </w:t>
      </w:r>
      <w:proofErr w:type="spellStart"/>
      <w:r>
        <w:rPr>
          <w:rFonts w:asciiTheme="minorHAnsi" w:hAnsiTheme="minorHAnsi" w:cs="Arial"/>
          <w:iCs/>
          <w:lang w:eastAsia="en-GB"/>
        </w:rPr>
        <w:t>KickStart</w:t>
      </w:r>
      <w:proofErr w:type="spellEnd"/>
      <w:r>
        <w:rPr>
          <w:rFonts w:asciiTheme="minorHAnsi" w:hAnsiTheme="minorHAnsi" w:cs="Arial"/>
          <w:iCs/>
          <w:lang w:eastAsia="en-GB"/>
        </w:rPr>
        <w:t xml:space="preserve"> hot prospect database that indicated their water level was too deep for current </w:t>
      </w:r>
      <w:proofErr w:type="spellStart"/>
      <w:r>
        <w:rPr>
          <w:rFonts w:asciiTheme="minorHAnsi" w:hAnsiTheme="minorHAnsi" w:cs="Arial"/>
          <w:iCs/>
          <w:lang w:eastAsia="en-GB"/>
        </w:rPr>
        <w:t>KickStart</w:t>
      </w:r>
      <w:proofErr w:type="spellEnd"/>
      <w:r>
        <w:rPr>
          <w:rFonts w:asciiTheme="minorHAnsi" w:hAnsiTheme="minorHAnsi" w:cs="Arial"/>
          <w:iCs/>
          <w:lang w:eastAsia="en-GB"/>
        </w:rPr>
        <w:t xml:space="preserve"> pumps</w:t>
      </w:r>
    </w:p>
    <w:p w:rsidR="002665E2" w:rsidRPr="00E16F12"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183 customers called and 64 surveys completed to understand pricing, likelihood of buying a pump, and desired features of pump</w:t>
      </w:r>
    </w:p>
    <w:p w:rsidR="002665E2" w:rsidRPr="00DB771E"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 xml:space="preserve">Pricing – 48% indicated they would purchase the pump at </w:t>
      </w:r>
      <w:proofErr w:type="spellStart"/>
      <w:r>
        <w:rPr>
          <w:rFonts w:asciiTheme="minorHAnsi" w:hAnsiTheme="minorHAnsi" w:cs="Arial"/>
          <w:iCs/>
          <w:lang w:eastAsia="en-GB"/>
        </w:rPr>
        <w:t>kshs</w:t>
      </w:r>
      <w:proofErr w:type="spellEnd"/>
      <w:r>
        <w:rPr>
          <w:rFonts w:asciiTheme="minorHAnsi" w:hAnsiTheme="minorHAnsi" w:cs="Arial"/>
          <w:iCs/>
          <w:lang w:eastAsia="en-GB"/>
        </w:rPr>
        <w:t xml:space="preserve"> 20,000 and an additional 11% would buy it for </w:t>
      </w:r>
      <w:proofErr w:type="spellStart"/>
      <w:r>
        <w:rPr>
          <w:rFonts w:asciiTheme="minorHAnsi" w:hAnsiTheme="minorHAnsi" w:cs="Arial"/>
          <w:iCs/>
          <w:lang w:eastAsia="en-GB"/>
        </w:rPr>
        <w:t>kshs</w:t>
      </w:r>
      <w:proofErr w:type="spellEnd"/>
      <w:r>
        <w:rPr>
          <w:rFonts w:asciiTheme="minorHAnsi" w:hAnsiTheme="minorHAnsi" w:cs="Arial"/>
          <w:iCs/>
          <w:lang w:eastAsia="en-GB"/>
        </w:rPr>
        <w:t xml:space="preserve"> 16,000-18,000</w:t>
      </w:r>
    </w:p>
    <w:p w:rsidR="002665E2" w:rsidRPr="00DB771E"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Likelihood of buying pump – nearly 87% of respondents were rated as likely to purchase the pump based on their answers and general attitude during questioning</w:t>
      </w:r>
    </w:p>
    <w:p w:rsidR="002665E2" w:rsidRPr="008737F1" w:rsidRDefault="002665E2" w:rsidP="002665E2">
      <w:pPr>
        <w:pStyle w:val="ListParagraph"/>
        <w:numPr>
          <w:ilvl w:val="1"/>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Features of pump – security of the pump is a concern for roughly 50% of respondents, many of them indicating they would take the pump home each day for storage. On average, wells are 700 meters away from the home, so portability of pump will also be a consideration</w:t>
      </w:r>
    </w:p>
    <w:p w:rsidR="002665E2" w:rsidRPr="00AA045B" w:rsidRDefault="002665E2" w:rsidP="002665E2">
      <w:pPr>
        <w:pStyle w:val="ListParagraph"/>
        <w:numPr>
          <w:ilvl w:val="0"/>
          <w:numId w:val="4"/>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We continue to gather customer information and data at all possible points, which will allow us to reinforce the data points already gathered and confirm or deny our assumptions</w:t>
      </w:r>
    </w:p>
    <w:p w:rsidR="002665E2" w:rsidRDefault="002665E2" w:rsidP="00980325">
      <w:pPr>
        <w:spacing w:before="200"/>
        <w:rPr>
          <w:rFonts w:asciiTheme="minorHAnsi" w:hAnsiTheme="minorHAnsi" w:cs="Arial"/>
          <w:b/>
          <w:iCs/>
          <w:lang w:eastAsia="en-GB"/>
        </w:rPr>
      </w:pPr>
    </w:p>
    <w:p w:rsidR="002665E2" w:rsidRPr="002665E2" w:rsidRDefault="002665E2" w:rsidP="002665E2">
      <w:pPr>
        <w:autoSpaceDE w:val="0"/>
        <w:autoSpaceDN w:val="0"/>
        <w:adjustRightInd w:val="0"/>
        <w:spacing w:after="0" w:line="240" w:lineRule="auto"/>
        <w:rPr>
          <w:rFonts w:asciiTheme="minorHAnsi" w:hAnsiTheme="minorHAnsi" w:cs="Arial"/>
          <w:b/>
          <w:iCs/>
          <w:lang w:eastAsia="en-GB"/>
        </w:rPr>
      </w:pPr>
      <w:r w:rsidRPr="002665E2">
        <w:rPr>
          <w:rFonts w:asciiTheme="minorHAnsi" w:hAnsiTheme="minorHAnsi" w:cs="Arial"/>
          <w:b/>
          <w:iCs/>
          <w:lang w:eastAsia="en-GB"/>
        </w:rPr>
        <w:t>Objective 3: Compile pre-existing data on water table levels and deep well availability in Kenya</w:t>
      </w:r>
    </w:p>
    <w:p w:rsidR="002665E2" w:rsidRDefault="002665E2" w:rsidP="002665E2">
      <w:pPr>
        <w:pStyle w:val="ListParagraph"/>
        <w:numPr>
          <w:ilvl w:val="0"/>
          <w:numId w:val="3"/>
        </w:numPr>
        <w:spacing w:before="200"/>
        <w:rPr>
          <w:iCs/>
        </w:rPr>
      </w:pPr>
      <w:r>
        <w:rPr>
          <w:iCs/>
        </w:rPr>
        <w:t>The water level research was concluded in August and an analysis of results took place in September</w:t>
      </w:r>
    </w:p>
    <w:p w:rsidR="002665E2" w:rsidRDefault="002665E2" w:rsidP="002665E2">
      <w:pPr>
        <w:pStyle w:val="ListParagraph"/>
        <w:numPr>
          <w:ilvl w:val="0"/>
          <w:numId w:val="3"/>
        </w:numPr>
        <w:spacing w:before="200"/>
        <w:rPr>
          <w:iCs/>
        </w:rPr>
      </w:pPr>
      <w:r>
        <w:rPr>
          <w:iCs/>
        </w:rPr>
        <w:t>Full results are outlined in the 9.13.11</w:t>
      </w:r>
      <w:proofErr w:type="gramStart"/>
      <w:r>
        <w:rPr>
          <w:iCs/>
        </w:rPr>
        <w:t>..</w:t>
      </w:r>
      <w:proofErr w:type="gramEnd"/>
      <w:r>
        <w:rPr>
          <w:iCs/>
        </w:rPr>
        <w:t xml:space="preserve">DLP update meeting draft 2.pptx file in slides 4-11 (see </w:t>
      </w:r>
      <w:proofErr w:type="spellStart"/>
      <w:r>
        <w:rPr>
          <w:iCs/>
        </w:rPr>
        <w:t>Mudit</w:t>
      </w:r>
      <w:proofErr w:type="spellEnd"/>
      <w:r>
        <w:rPr>
          <w:iCs/>
        </w:rPr>
        <w:t>)</w:t>
      </w:r>
    </w:p>
    <w:p w:rsidR="002665E2" w:rsidRDefault="002665E2" w:rsidP="002665E2">
      <w:pPr>
        <w:pStyle w:val="ListParagraph"/>
        <w:numPr>
          <w:ilvl w:val="0"/>
          <w:numId w:val="3"/>
        </w:numPr>
        <w:spacing w:before="200"/>
        <w:rPr>
          <w:iCs/>
        </w:rPr>
      </w:pPr>
      <w:r>
        <w:rPr>
          <w:iCs/>
        </w:rPr>
        <w:t>In summary, 636 surveys were conducted with well owners in 35 districts. 636 wells were measured and on average the wells had a depth to water measurement of 10.91 meters, well within the range of the DLP pump (7-18m depth to water range). Although the enumerator was specifically looking for deep wells, we calculated that 65% of the wells measured were appropriate for the DLP</w:t>
      </w:r>
    </w:p>
    <w:p w:rsidR="002665E2" w:rsidRDefault="002665E2" w:rsidP="002665E2">
      <w:pPr>
        <w:pStyle w:val="ListParagraph"/>
        <w:numPr>
          <w:ilvl w:val="0"/>
          <w:numId w:val="3"/>
        </w:numPr>
        <w:spacing w:before="200"/>
        <w:rPr>
          <w:iCs/>
        </w:rPr>
      </w:pPr>
      <w:r>
        <w:rPr>
          <w:iCs/>
        </w:rPr>
        <w:t xml:space="preserve">Initial market size estimates are being calculated with the data </w:t>
      </w:r>
    </w:p>
    <w:p w:rsidR="002665E2" w:rsidRDefault="002665E2" w:rsidP="002665E2">
      <w:pPr>
        <w:pStyle w:val="ListParagraph"/>
        <w:numPr>
          <w:ilvl w:val="0"/>
          <w:numId w:val="3"/>
        </w:numPr>
        <w:spacing w:before="200"/>
        <w:rPr>
          <w:iCs/>
        </w:rPr>
      </w:pPr>
      <w:r>
        <w:rPr>
          <w:iCs/>
        </w:rPr>
        <w:t>High potential areas identified include Central and Western Provinces where 38% and 33%, respectively, of the wells measured are suitable for the DLP</w:t>
      </w:r>
    </w:p>
    <w:p w:rsidR="002665E2" w:rsidRDefault="002665E2" w:rsidP="002665E2">
      <w:pPr>
        <w:pStyle w:val="ListParagraph"/>
        <w:numPr>
          <w:ilvl w:val="0"/>
          <w:numId w:val="3"/>
        </w:numPr>
        <w:spacing w:before="200"/>
        <w:rPr>
          <w:iCs/>
        </w:rPr>
      </w:pPr>
      <w:r>
        <w:rPr>
          <w:iCs/>
        </w:rPr>
        <w:t xml:space="preserve">In addition to measuring the wells, the respondents were asked if they were interested in the DLP and would like to be contacted by </w:t>
      </w:r>
      <w:proofErr w:type="spellStart"/>
      <w:r>
        <w:rPr>
          <w:iCs/>
        </w:rPr>
        <w:t>KickStart</w:t>
      </w:r>
      <w:proofErr w:type="spellEnd"/>
      <w:r>
        <w:rPr>
          <w:iCs/>
        </w:rPr>
        <w:t xml:space="preserve"> when the product was available. 88% of the respondents were interested in the pump and a list of 544 potential buyers has been shared with the Kenyan sales team</w:t>
      </w:r>
    </w:p>
    <w:p w:rsidR="00167A3B" w:rsidRDefault="00167A3B" w:rsidP="00167A3B">
      <w:pPr>
        <w:pStyle w:val="ListParagraph"/>
        <w:autoSpaceDE w:val="0"/>
        <w:autoSpaceDN w:val="0"/>
        <w:adjustRightInd w:val="0"/>
        <w:spacing w:after="0" w:line="240" w:lineRule="auto"/>
        <w:rPr>
          <w:rFonts w:asciiTheme="minorHAnsi" w:hAnsiTheme="minorHAnsi" w:cs="Arial"/>
          <w:b/>
          <w:iCs/>
          <w:lang w:eastAsia="en-GB"/>
        </w:rPr>
      </w:pPr>
    </w:p>
    <w:p w:rsidR="00167A3B" w:rsidRDefault="00167A3B" w:rsidP="00167A3B">
      <w:pPr>
        <w:autoSpaceDE w:val="0"/>
        <w:autoSpaceDN w:val="0"/>
        <w:adjustRightInd w:val="0"/>
        <w:spacing w:after="0" w:line="240" w:lineRule="auto"/>
        <w:rPr>
          <w:rFonts w:asciiTheme="minorHAnsi" w:hAnsiTheme="minorHAnsi" w:cs="Arial"/>
          <w:b/>
          <w:iCs/>
          <w:lang w:eastAsia="en-GB"/>
        </w:rPr>
      </w:pPr>
      <w:commentRangeStart w:id="2"/>
      <w:r w:rsidRPr="00167A3B">
        <w:rPr>
          <w:rFonts w:asciiTheme="minorHAnsi" w:hAnsiTheme="minorHAnsi" w:cs="Arial"/>
          <w:b/>
          <w:iCs/>
          <w:lang w:eastAsia="en-GB"/>
        </w:rPr>
        <w:t>Objective 4: Accelerate DLP design and testing with funding for dedicated staff time, equipment, and materials</w:t>
      </w:r>
      <w:commentRangeEnd w:id="2"/>
      <w:r w:rsidR="008627B9">
        <w:rPr>
          <w:rStyle w:val="CommentReference"/>
        </w:rPr>
        <w:commentReference w:id="2"/>
      </w:r>
    </w:p>
    <w:p w:rsidR="00167A3B" w:rsidRDefault="00167A3B" w:rsidP="00167A3B">
      <w:pPr>
        <w:autoSpaceDE w:val="0"/>
        <w:autoSpaceDN w:val="0"/>
        <w:adjustRightInd w:val="0"/>
        <w:spacing w:after="0" w:line="240" w:lineRule="auto"/>
        <w:rPr>
          <w:rFonts w:asciiTheme="minorHAnsi" w:hAnsiTheme="minorHAnsi" w:cs="Arial"/>
          <w:b/>
          <w:iCs/>
          <w:lang w:eastAsia="en-GB"/>
        </w:rPr>
      </w:pPr>
    </w:p>
    <w:p w:rsidR="00167A3B" w:rsidRPr="00167A3B" w:rsidRDefault="00167A3B" w:rsidP="00167A3B">
      <w:pPr>
        <w:pStyle w:val="ListParagraph"/>
        <w:numPr>
          <w:ilvl w:val="0"/>
          <w:numId w:val="6"/>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The manufacturing of 30 pumps was completed in preparation of the market test which will initiate in October</w:t>
      </w:r>
    </w:p>
    <w:p w:rsidR="00167A3B" w:rsidRPr="008627B9" w:rsidRDefault="00167A3B" w:rsidP="00167A3B">
      <w:pPr>
        <w:pStyle w:val="ListParagraph"/>
        <w:numPr>
          <w:ilvl w:val="0"/>
          <w:numId w:val="6"/>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Practical tests on a number of DLP components were completed in this quarter in order to finalize the design of the locally manufactured pumps</w:t>
      </w:r>
    </w:p>
    <w:p w:rsidR="008627B9" w:rsidRPr="008627B9" w:rsidRDefault="008627B9" w:rsidP="00167A3B">
      <w:pPr>
        <w:pStyle w:val="ListParagraph"/>
        <w:numPr>
          <w:ilvl w:val="0"/>
          <w:numId w:val="6"/>
        </w:numPr>
        <w:autoSpaceDE w:val="0"/>
        <w:autoSpaceDN w:val="0"/>
        <w:adjustRightInd w:val="0"/>
        <w:spacing w:after="0" w:line="240" w:lineRule="auto"/>
        <w:rPr>
          <w:rFonts w:asciiTheme="minorHAnsi" w:hAnsiTheme="minorHAnsi" w:cs="Arial"/>
          <w:b/>
          <w:iCs/>
          <w:lang w:eastAsia="en-GB"/>
        </w:rPr>
      </w:pPr>
      <w:r>
        <w:rPr>
          <w:rFonts w:asciiTheme="minorHAnsi" w:hAnsiTheme="minorHAnsi" w:cs="Arial"/>
          <w:iCs/>
          <w:lang w:eastAsia="en-GB"/>
        </w:rPr>
        <w:t>An incentive scheme for production workers was developed and used in order to motivate the team to complete the assembly of the thirty pumps by the September 30 deadline</w:t>
      </w:r>
    </w:p>
    <w:p w:rsidR="008627B9" w:rsidRDefault="008627B9" w:rsidP="008627B9">
      <w:pPr>
        <w:autoSpaceDE w:val="0"/>
        <w:autoSpaceDN w:val="0"/>
        <w:adjustRightInd w:val="0"/>
        <w:spacing w:after="0" w:line="240" w:lineRule="auto"/>
        <w:rPr>
          <w:rFonts w:asciiTheme="minorHAnsi" w:hAnsiTheme="minorHAnsi" w:cs="Arial"/>
          <w:b/>
          <w:iCs/>
          <w:lang w:eastAsia="en-GB"/>
        </w:rPr>
      </w:pPr>
    </w:p>
    <w:p w:rsidR="008627B9" w:rsidRPr="00A36C0B" w:rsidRDefault="008627B9" w:rsidP="008627B9">
      <w:pPr>
        <w:autoSpaceDE w:val="0"/>
        <w:autoSpaceDN w:val="0"/>
        <w:adjustRightInd w:val="0"/>
        <w:spacing w:after="0" w:line="240" w:lineRule="auto"/>
        <w:rPr>
          <w:rFonts w:asciiTheme="minorHAnsi" w:hAnsiTheme="minorHAnsi" w:cs="Arial"/>
          <w:b/>
          <w:iCs/>
          <w:lang w:eastAsia="en-GB"/>
        </w:rPr>
      </w:pPr>
      <w:r>
        <w:rPr>
          <w:rFonts w:asciiTheme="minorHAnsi" w:hAnsiTheme="minorHAnsi" w:cs="Arial"/>
          <w:b/>
          <w:iCs/>
          <w:lang w:eastAsia="en-GB"/>
        </w:rPr>
        <w:t xml:space="preserve">Objective 5: </w:t>
      </w:r>
      <w:r w:rsidRPr="00A36C0B">
        <w:rPr>
          <w:rFonts w:asciiTheme="minorHAnsi" w:hAnsiTheme="minorHAnsi" w:cs="Arial"/>
          <w:b/>
          <w:iCs/>
          <w:lang w:eastAsia="en-GB"/>
        </w:rPr>
        <w:t>Incorporate user-informed features i</w:t>
      </w:r>
      <w:r>
        <w:rPr>
          <w:rFonts w:asciiTheme="minorHAnsi" w:hAnsiTheme="minorHAnsi" w:cs="Arial"/>
          <w:b/>
          <w:iCs/>
          <w:lang w:eastAsia="en-GB"/>
        </w:rPr>
        <w:t>nto the final design of the DLP</w:t>
      </w:r>
    </w:p>
    <w:p w:rsidR="008627B9" w:rsidRPr="00A36C0B" w:rsidRDefault="008627B9" w:rsidP="008627B9">
      <w:pPr>
        <w:autoSpaceDE w:val="0"/>
        <w:autoSpaceDN w:val="0"/>
        <w:adjustRightInd w:val="0"/>
        <w:spacing w:after="0" w:line="240" w:lineRule="auto"/>
        <w:rPr>
          <w:rFonts w:asciiTheme="minorHAnsi" w:hAnsiTheme="minorHAnsi" w:cs="Arial"/>
          <w:b/>
          <w:iCs/>
          <w:lang w:eastAsia="en-GB"/>
        </w:rPr>
      </w:pPr>
    </w:p>
    <w:p w:rsidR="008627B9" w:rsidRDefault="008627B9" w:rsidP="008627B9">
      <w:pPr>
        <w:autoSpaceDE w:val="0"/>
        <w:autoSpaceDN w:val="0"/>
        <w:adjustRightInd w:val="0"/>
        <w:spacing w:after="0" w:line="240" w:lineRule="auto"/>
        <w:rPr>
          <w:rFonts w:asciiTheme="minorHAnsi" w:hAnsiTheme="minorHAnsi" w:cs="Arial"/>
          <w:b/>
          <w:iCs/>
          <w:lang w:eastAsia="en-GB"/>
        </w:rPr>
      </w:pPr>
      <w:r>
        <w:rPr>
          <w:rFonts w:asciiTheme="minorHAnsi" w:hAnsiTheme="minorHAnsi" w:cs="Arial"/>
          <w:b/>
          <w:iCs/>
          <w:lang w:eastAsia="en-GB"/>
        </w:rPr>
        <w:t>Lessons</w:t>
      </w:r>
    </w:p>
    <w:p w:rsidR="008627B9" w:rsidRDefault="008627B9" w:rsidP="008627B9">
      <w:pPr>
        <w:autoSpaceDE w:val="0"/>
        <w:autoSpaceDN w:val="0"/>
        <w:adjustRightInd w:val="0"/>
        <w:spacing w:after="0" w:line="240" w:lineRule="auto"/>
        <w:rPr>
          <w:rFonts w:asciiTheme="minorHAnsi" w:hAnsiTheme="minorHAnsi" w:cs="Arial"/>
          <w:b/>
          <w:iCs/>
          <w:lang w:eastAsia="en-GB"/>
        </w:rPr>
      </w:pPr>
    </w:p>
    <w:p w:rsidR="008627B9" w:rsidRDefault="008627B9" w:rsidP="008627B9">
      <w:pPr>
        <w:pStyle w:val="ListParagraph"/>
        <w:numPr>
          <w:ilvl w:val="0"/>
          <w:numId w:val="7"/>
        </w:numPr>
      </w:pPr>
      <w:r>
        <w:t xml:space="preserve">Alan might have some good comments here about manufacturing the pumps at Tech Dev. I know he and his team have been very strapped to complete this objective and it’d be good to get his feedback on whether he thinks it was a worthwhile exercise or not. My personal opinion is that it probably didn’t make complete sense to use up all that time and </w:t>
      </w:r>
      <w:proofErr w:type="spellStart"/>
      <w:r>
        <w:t>TechDev</w:t>
      </w:r>
      <w:proofErr w:type="spellEnd"/>
      <w:r>
        <w:t xml:space="preserve"> resources but I don’t know the complete history of the decision to produce locally.</w:t>
      </w:r>
    </w:p>
    <w:p w:rsidR="008627B9" w:rsidRDefault="008627B9" w:rsidP="008627B9"/>
    <w:p w:rsidR="008627B9" w:rsidRDefault="008627B9" w:rsidP="008627B9">
      <w:pPr>
        <w:autoSpaceDE w:val="0"/>
        <w:autoSpaceDN w:val="0"/>
        <w:adjustRightInd w:val="0"/>
        <w:spacing w:after="0" w:line="240" w:lineRule="auto"/>
        <w:rPr>
          <w:rFonts w:asciiTheme="minorHAnsi" w:hAnsiTheme="minorHAnsi" w:cs="Arial"/>
          <w:b/>
          <w:iCs/>
          <w:lang w:eastAsia="en-GB"/>
        </w:rPr>
      </w:pPr>
      <w:r w:rsidRPr="00347B63">
        <w:rPr>
          <w:rFonts w:asciiTheme="minorHAnsi" w:hAnsiTheme="minorHAnsi" w:cs="Arial"/>
          <w:b/>
          <w:iCs/>
          <w:lang w:eastAsia="en-GB"/>
        </w:rPr>
        <w:t>Pictures</w:t>
      </w:r>
    </w:p>
    <w:p w:rsidR="008627B9" w:rsidRDefault="008627B9" w:rsidP="008627B9">
      <w:pPr>
        <w:autoSpaceDE w:val="0"/>
        <w:autoSpaceDN w:val="0"/>
        <w:adjustRightInd w:val="0"/>
        <w:spacing w:after="0" w:line="240" w:lineRule="auto"/>
        <w:rPr>
          <w:rFonts w:asciiTheme="minorHAnsi" w:hAnsiTheme="minorHAnsi" w:cs="Arial"/>
          <w:b/>
          <w:iCs/>
          <w:lang w:eastAsia="en-GB"/>
        </w:rPr>
      </w:pPr>
    </w:p>
    <w:p w:rsidR="008627B9" w:rsidRDefault="008627B9" w:rsidP="008627B9">
      <w:pPr>
        <w:pStyle w:val="ListParagraph"/>
        <w:numPr>
          <w:ilvl w:val="0"/>
          <w:numId w:val="7"/>
        </w:numPr>
        <w:autoSpaceDE w:val="0"/>
        <w:autoSpaceDN w:val="0"/>
        <w:adjustRightInd w:val="0"/>
        <w:spacing w:after="0" w:line="240" w:lineRule="auto"/>
        <w:rPr>
          <w:rFonts w:asciiTheme="minorHAnsi" w:hAnsiTheme="minorHAnsi" w:cs="Arial"/>
          <w:iCs/>
          <w:lang w:eastAsia="en-GB"/>
        </w:rPr>
      </w:pPr>
      <w:r>
        <w:rPr>
          <w:rFonts w:asciiTheme="minorHAnsi" w:hAnsiTheme="minorHAnsi" w:cs="Arial"/>
          <w:iCs/>
          <w:lang w:eastAsia="en-GB"/>
        </w:rPr>
        <w:t xml:space="preserve">Fred </w:t>
      </w:r>
      <w:proofErr w:type="spellStart"/>
      <w:r>
        <w:rPr>
          <w:rFonts w:asciiTheme="minorHAnsi" w:hAnsiTheme="minorHAnsi" w:cs="Arial"/>
          <w:iCs/>
          <w:lang w:eastAsia="en-GB"/>
        </w:rPr>
        <w:t>Juma</w:t>
      </w:r>
      <w:proofErr w:type="spellEnd"/>
      <w:r>
        <w:rPr>
          <w:rFonts w:asciiTheme="minorHAnsi" w:hAnsiTheme="minorHAnsi" w:cs="Arial"/>
          <w:iCs/>
          <w:lang w:eastAsia="en-GB"/>
        </w:rPr>
        <w:t xml:space="preserve"> took a lot of pictures of wells while he was out in the field. These pictures can be found on the small computer in my old office but are mainly just pictures of tops of wells. If you need shots, though, may be a good place to look.</w:t>
      </w:r>
    </w:p>
    <w:p w:rsidR="008627B9" w:rsidRPr="00347B63" w:rsidRDefault="008627B9" w:rsidP="008627B9">
      <w:pPr>
        <w:pStyle w:val="ListParagraph"/>
        <w:numPr>
          <w:ilvl w:val="0"/>
          <w:numId w:val="7"/>
        </w:numPr>
        <w:autoSpaceDE w:val="0"/>
        <w:autoSpaceDN w:val="0"/>
        <w:adjustRightInd w:val="0"/>
        <w:spacing w:after="0" w:line="240" w:lineRule="auto"/>
        <w:rPr>
          <w:rFonts w:asciiTheme="minorHAnsi" w:hAnsiTheme="minorHAnsi" w:cs="Arial"/>
          <w:iCs/>
          <w:lang w:eastAsia="en-GB"/>
        </w:rPr>
      </w:pPr>
      <w:r w:rsidRPr="00347B63">
        <w:rPr>
          <w:rFonts w:asciiTheme="minorHAnsi" w:hAnsiTheme="minorHAnsi" w:cs="Arial"/>
          <w:iCs/>
          <w:lang w:eastAsia="en-GB"/>
        </w:rPr>
        <w:t>Here</w:t>
      </w:r>
      <w:r>
        <w:rPr>
          <w:rFonts w:asciiTheme="minorHAnsi" w:hAnsiTheme="minorHAnsi" w:cs="Arial"/>
          <w:iCs/>
          <w:lang w:eastAsia="en-GB"/>
        </w:rPr>
        <w:t>’s a Picasa album that A</w:t>
      </w:r>
      <w:r w:rsidRPr="00347B63">
        <w:rPr>
          <w:rFonts w:asciiTheme="minorHAnsi" w:hAnsiTheme="minorHAnsi" w:cs="Arial"/>
          <w:iCs/>
          <w:lang w:eastAsia="en-GB"/>
        </w:rPr>
        <w:t>lan has of product development:</w:t>
      </w:r>
    </w:p>
    <w:p w:rsidR="008627B9" w:rsidRDefault="008627B9" w:rsidP="008627B9">
      <w:pPr>
        <w:autoSpaceDE w:val="0"/>
        <w:autoSpaceDN w:val="0"/>
        <w:adjustRightInd w:val="0"/>
        <w:spacing w:after="0" w:line="240" w:lineRule="auto"/>
        <w:rPr>
          <w:rFonts w:asciiTheme="minorHAnsi" w:hAnsiTheme="minorHAnsi" w:cs="Arial"/>
          <w:iCs/>
          <w:lang w:eastAsia="en-GB"/>
        </w:rPr>
      </w:pPr>
    </w:p>
    <w:p w:rsidR="008627B9" w:rsidRDefault="008627B9" w:rsidP="008627B9">
      <w:pPr>
        <w:autoSpaceDE w:val="0"/>
        <w:autoSpaceDN w:val="0"/>
        <w:adjustRightInd w:val="0"/>
        <w:spacing w:after="0" w:line="240" w:lineRule="auto"/>
      </w:pPr>
      <w:hyperlink r:id="rId8" w:history="1">
        <w:r>
          <w:rPr>
            <w:rStyle w:val="Hyperlink"/>
          </w:rPr>
          <w:t>https://picasaweb.google.com/alan.spybey/DLP4Development?authkey=Gv1sRgCIDhtd-FzMOw4gE&amp;feat=email</w:t>
        </w:r>
      </w:hyperlink>
    </w:p>
    <w:p w:rsidR="008627B9" w:rsidRDefault="008627B9" w:rsidP="008627B9">
      <w:pPr>
        <w:autoSpaceDE w:val="0"/>
        <w:autoSpaceDN w:val="0"/>
        <w:adjustRightInd w:val="0"/>
        <w:spacing w:after="0" w:line="240" w:lineRule="auto"/>
      </w:pPr>
    </w:p>
    <w:p w:rsidR="008627B9" w:rsidRDefault="008627B9" w:rsidP="008627B9">
      <w:pPr>
        <w:pStyle w:val="ListParagraph"/>
        <w:numPr>
          <w:ilvl w:val="0"/>
          <w:numId w:val="7"/>
        </w:numPr>
        <w:autoSpaceDE w:val="0"/>
        <w:autoSpaceDN w:val="0"/>
        <w:adjustRightInd w:val="0"/>
        <w:spacing w:after="0" w:line="240" w:lineRule="auto"/>
      </w:pPr>
      <w:r>
        <w:t>And a few pictures we have from the pumps being tested in the field now:</w:t>
      </w:r>
    </w:p>
    <w:p w:rsidR="008627B9" w:rsidRDefault="008627B9" w:rsidP="008627B9">
      <w:pPr>
        <w:autoSpaceDE w:val="0"/>
        <w:autoSpaceDN w:val="0"/>
        <w:adjustRightInd w:val="0"/>
        <w:spacing w:after="0" w:line="240" w:lineRule="auto"/>
      </w:pPr>
    </w:p>
    <w:p w:rsidR="008627B9" w:rsidRDefault="008627B9" w:rsidP="008627B9">
      <w:pPr>
        <w:autoSpaceDE w:val="0"/>
        <w:autoSpaceDN w:val="0"/>
        <w:adjustRightInd w:val="0"/>
        <w:spacing w:after="0" w:line="240" w:lineRule="auto"/>
        <w:rPr>
          <w:rFonts w:asciiTheme="minorHAnsi" w:hAnsiTheme="minorHAnsi" w:cs="Arial"/>
          <w:iCs/>
          <w:lang w:eastAsia="en-GB"/>
        </w:rPr>
      </w:pPr>
      <w:r>
        <w:rPr>
          <w:rFonts w:asciiTheme="minorHAnsi" w:hAnsiTheme="minorHAnsi" w:cs="Arial"/>
          <w:iCs/>
          <w:noProof/>
          <w:lang w:val="en-US"/>
        </w:rPr>
        <w:drawing>
          <wp:inline distT="0" distB="0" distL="0" distR="0" wp14:anchorId="2F38FED6" wp14:editId="38952704">
            <wp:extent cx="2421665" cy="3228975"/>
            <wp:effectExtent l="19050" t="0" r="0" b="0"/>
            <wp:docPr id="6" name="Picture 5" descr="IMG_0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76.JPG"/>
                    <pic:cNvPicPr/>
                  </pic:nvPicPr>
                  <pic:blipFill>
                    <a:blip r:embed="rId9" cstate="print"/>
                    <a:stretch>
                      <a:fillRect/>
                    </a:stretch>
                  </pic:blipFill>
                  <pic:spPr>
                    <a:xfrm>
                      <a:off x="0" y="0"/>
                      <a:ext cx="2424881" cy="3233263"/>
                    </a:xfrm>
                    <a:prstGeom prst="rect">
                      <a:avLst/>
                    </a:prstGeom>
                  </pic:spPr>
                </pic:pic>
              </a:graphicData>
            </a:graphic>
          </wp:inline>
        </w:drawing>
      </w:r>
      <w:r>
        <w:rPr>
          <w:rFonts w:asciiTheme="minorHAnsi" w:hAnsiTheme="minorHAnsi" w:cs="Arial"/>
          <w:iCs/>
          <w:lang w:eastAsia="en-GB"/>
        </w:rPr>
        <w:tab/>
      </w:r>
      <w:r>
        <w:rPr>
          <w:rFonts w:asciiTheme="minorHAnsi" w:hAnsiTheme="minorHAnsi" w:cs="Arial"/>
          <w:iCs/>
          <w:noProof/>
          <w:lang w:val="en-US"/>
        </w:rPr>
        <w:drawing>
          <wp:inline distT="0" distB="0" distL="0" distR="0" wp14:anchorId="4D06A509" wp14:editId="12F62948">
            <wp:extent cx="2435952" cy="3248025"/>
            <wp:effectExtent l="19050" t="0" r="2448" b="0"/>
            <wp:docPr id="7" name="Picture 6" descr="IMG_0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75.JPG"/>
                    <pic:cNvPicPr/>
                  </pic:nvPicPr>
                  <pic:blipFill>
                    <a:blip r:embed="rId10" cstate="print"/>
                    <a:stretch>
                      <a:fillRect/>
                    </a:stretch>
                  </pic:blipFill>
                  <pic:spPr>
                    <a:xfrm>
                      <a:off x="0" y="0"/>
                      <a:ext cx="2439187" cy="3252339"/>
                    </a:xfrm>
                    <a:prstGeom prst="rect">
                      <a:avLst/>
                    </a:prstGeom>
                  </pic:spPr>
                </pic:pic>
              </a:graphicData>
            </a:graphic>
          </wp:inline>
        </w:drawing>
      </w:r>
    </w:p>
    <w:p w:rsidR="008627B9" w:rsidRDefault="008627B9" w:rsidP="008627B9">
      <w:pPr>
        <w:autoSpaceDE w:val="0"/>
        <w:autoSpaceDN w:val="0"/>
        <w:adjustRightInd w:val="0"/>
        <w:spacing w:after="0" w:line="240" w:lineRule="auto"/>
        <w:rPr>
          <w:rFonts w:asciiTheme="minorHAnsi" w:hAnsiTheme="minorHAnsi" w:cs="Arial"/>
          <w:iCs/>
          <w:lang w:eastAsia="en-GB"/>
        </w:rPr>
      </w:pPr>
    </w:p>
    <w:p w:rsidR="008627B9" w:rsidRPr="00347B63" w:rsidRDefault="008627B9" w:rsidP="008627B9">
      <w:pPr>
        <w:autoSpaceDE w:val="0"/>
        <w:autoSpaceDN w:val="0"/>
        <w:adjustRightInd w:val="0"/>
        <w:spacing w:after="0" w:line="240" w:lineRule="auto"/>
        <w:rPr>
          <w:rFonts w:asciiTheme="minorHAnsi" w:hAnsiTheme="minorHAnsi" w:cs="Arial"/>
          <w:iCs/>
          <w:lang w:eastAsia="en-GB"/>
        </w:rPr>
      </w:pPr>
      <w:r>
        <w:rPr>
          <w:rFonts w:asciiTheme="minorHAnsi" w:hAnsiTheme="minorHAnsi" w:cs="Arial"/>
          <w:iCs/>
          <w:noProof/>
          <w:lang w:val="en-US"/>
        </w:rPr>
        <w:drawing>
          <wp:inline distT="0" distB="0" distL="0" distR="0" wp14:anchorId="77D76E23" wp14:editId="1EA91A05">
            <wp:extent cx="1971621" cy="2628900"/>
            <wp:effectExtent l="19050" t="0" r="0" b="0"/>
            <wp:docPr id="8" name="Picture 7" descr="IMG_0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70.JPG"/>
                    <pic:cNvPicPr/>
                  </pic:nvPicPr>
                  <pic:blipFill>
                    <a:blip r:embed="rId11" cstate="print"/>
                    <a:stretch>
                      <a:fillRect/>
                    </a:stretch>
                  </pic:blipFill>
                  <pic:spPr>
                    <a:xfrm>
                      <a:off x="0" y="0"/>
                      <a:ext cx="1972441" cy="2629993"/>
                    </a:xfrm>
                    <a:prstGeom prst="rect">
                      <a:avLst/>
                    </a:prstGeom>
                  </pic:spPr>
                </pic:pic>
              </a:graphicData>
            </a:graphic>
          </wp:inline>
        </w:drawing>
      </w:r>
      <w:r>
        <w:rPr>
          <w:rFonts w:asciiTheme="minorHAnsi" w:hAnsiTheme="minorHAnsi" w:cs="Arial"/>
          <w:iCs/>
          <w:lang w:eastAsia="en-GB"/>
        </w:rPr>
        <w:tab/>
      </w:r>
      <w:r>
        <w:rPr>
          <w:rFonts w:asciiTheme="minorHAnsi" w:hAnsiTheme="minorHAnsi" w:cs="Arial"/>
          <w:iCs/>
          <w:noProof/>
          <w:lang w:val="en-US"/>
        </w:rPr>
        <w:drawing>
          <wp:inline distT="0" distB="0" distL="0" distR="0" wp14:anchorId="5857FB78" wp14:editId="425719A3">
            <wp:extent cx="1971620" cy="2628900"/>
            <wp:effectExtent l="19050" t="0" r="0" b="0"/>
            <wp:docPr id="9" name="Picture 8" descr="IMG_0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69.JPG"/>
                    <pic:cNvPicPr/>
                  </pic:nvPicPr>
                  <pic:blipFill>
                    <a:blip r:embed="rId12" cstate="print"/>
                    <a:stretch>
                      <a:fillRect/>
                    </a:stretch>
                  </pic:blipFill>
                  <pic:spPr>
                    <a:xfrm>
                      <a:off x="0" y="0"/>
                      <a:ext cx="1972439" cy="2629993"/>
                    </a:xfrm>
                    <a:prstGeom prst="rect">
                      <a:avLst/>
                    </a:prstGeom>
                  </pic:spPr>
                </pic:pic>
              </a:graphicData>
            </a:graphic>
          </wp:inline>
        </w:drawing>
      </w:r>
    </w:p>
    <w:p w:rsidR="008627B9" w:rsidRDefault="008627B9" w:rsidP="008627B9"/>
    <w:p w:rsidR="008627B9" w:rsidRPr="008627B9" w:rsidRDefault="008627B9" w:rsidP="008627B9">
      <w:pPr>
        <w:autoSpaceDE w:val="0"/>
        <w:autoSpaceDN w:val="0"/>
        <w:adjustRightInd w:val="0"/>
        <w:spacing w:after="0" w:line="240" w:lineRule="auto"/>
        <w:rPr>
          <w:rFonts w:asciiTheme="minorHAnsi" w:hAnsiTheme="minorHAnsi" w:cs="Arial"/>
          <w:b/>
          <w:iCs/>
          <w:lang w:eastAsia="en-GB"/>
        </w:rPr>
      </w:pPr>
    </w:p>
    <w:p w:rsidR="00167A3B" w:rsidRPr="00167A3B" w:rsidRDefault="00167A3B" w:rsidP="00167A3B">
      <w:pPr>
        <w:autoSpaceDE w:val="0"/>
        <w:autoSpaceDN w:val="0"/>
        <w:adjustRightInd w:val="0"/>
        <w:spacing w:after="0" w:line="240" w:lineRule="auto"/>
        <w:rPr>
          <w:rFonts w:asciiTheme="minorHAnsi" w:hAnsiTheme="minorHAnsi" w:cs="Arial"/>
          <w:b/>
          <w:iCs/>
          <w:lang w:eastAsia="en-GB"/>
        </w:rPr>
      </w:pPr>
    </w:p>
    <w:p w:rsidR="002665E2" w:rsidRPr="002665E2" w:rsidRDefault="002665E2" w:rsidP="002665E2">
      <w:pPr>
        <w:spacing w:before="200"/>
        <w:rPr>
          <w:iCs/>
        </w:rPr>
      </w:pPr>
    </w:p>
    <w:sectPr w:rsidR="002665E2" w:rsidRPr="002665E2" w:rsidSect="00D5573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rsula Hamilton" w:date="2011-10-03T16:21:00Z" w:initials="UH">
    <w:p w:rsidR="008627B9" w:rsidRDefault="008627B9">
      <w:pPr>
        <w:pStyle w:val="CommentText"/>
      </w:pPr>
      <w:r>
        <w:rPr>
          <w:rStyle w:val="CommentReference"/>
        </w:rPr>
        <w:annotationRef/>
      </w:r>
      <w:r>
        <w:t xml:space="preserve">These notes are the same from last quarter as we haven’t really done anything else here. The water level research included a lot of customer feedback but those notes are included in objective three. </w:t>
      </w:r>
    </w:p>
    <w:p w:rsidR="008627B9" w:rsidRDefault="008627B9">
      <w:pPr>
        <w:pStyle w:val="CommentText"/>
      </w:pPr>
    </w:p>
    <w:p w:rsidR="008627B9" w:rsidRDefault="008627B9">
      <w:pPr>
        <w:pStyle w:val="CommentText"/>
      </w:pPr>
      <w:r>
        <w:t>David</w:t>
      </w:r>
    </w:p>
  </w:comment>
  <w:comment w:id="2" w:author="Ursula Hamilton" w:date="2011-10-03T16:33:00Z" w:initials="UH">
    <w:p w:rsidR="008627B9" w:rsidRDefault="008627B9">
      <w:pPr>
        <w:pStyle w:val="CommentText"/>
      </w:pPr>
      <w:r>
        <w:rPr>
          <w:rStyle w:val="CommentReference"/>
        </w:rPr>
        <w:annotationRef/>
      </w:r>
      <w:r>
        <w:t>I type these up quickly; will need to follow up with Alan to verify where the 30 pumps are in the process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B99"/>
    <w:multiLevelType w:val="hybridMultilevel"/>
    <w:tmpl w:val="412A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565B7"/>
    <w:multiLevelType w:val="hybridMultilevel"/>
    <w:tmpl w:val="B05C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C6521"/>
    <w:multiLevelType w:val="hybridMultilevel"/>
    <w:tmpl w:val="92A2B52E"/>
    <w:lvl w:ilvl="0" w:tplc="20387C6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EC29AA"/>
    <w:multiLevelType w:val="hybridMultilevel"/>
    <w:tmpl w:val="20D6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9161B"/>
    <w:multiLevelType w:val="hybridMultilevel"/>
    <w:tmpl w:val="92F401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337465"/>
    <w:multiLevelType w:val="hybridMultilevel"/>
    <w:tmpl w:val="27CE5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2A359C"/>
    <w:multiLevelType w:val="hybridMultilevel"/>
    <w:tmpl w:val="BEDA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325"/>
    <w:rsid w:val="00141E30"/>
    <w:rsid w:val="00167A3B"/>
    <w:rsid w:val="002665E2"/>
    <w:rsid w:val="002C4CE1"/>
    <w:rsid w:val="008627B9"/>
    <w:rsid w:val="00980325"/>
    <w:rsid w:val="00D5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5D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325"/>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25"/>
    <w:pPr>
      <w:ind w:left="720"/>
      <w:contextualSpacing/>
    </w:pPr>
  </w:style>
  <w:style w:type="table" w:customStyle="1" w:styleId="MediumShading1-Accent11">
    <w:name w:val="Medium Shading 1 - Accent 11"/>
    <w:basedOn w:val="TableNormal"/>
    <w:uiPriority w:val="63"/>
    <w:rsid w:val="00980325"/>
    <w:pPr>
      <w:spacing w:before="200"/>
    </w:pPr>
    <w:rPr>
      <w:sz w:val="22"/>
      <w:szCs w:val="22"/>
      <w:lang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2665E2"/>
    <w:pPr>
      <w:spacing w:before="100" w:beforeAutospacing="1" w:after="100" w:afterAutospacing="1" w:line="240" w:lineRule="auto"/>
    </w:pPr>
    <w:rPr>
      <w:rFonts w:ascii="Times" w:eastAsiaTheme="minorEastAsia" w:hAnsi="Times"/>
      <w:sz w:val="20"/>
      <w:szCs w:val="20"/>
      <w:lang w:val="en-US"/>
    </w:rPr>
  </w:style>
  <w:style w:type="paragraph" w:styleId="BalloonText">
    <w:name w:val="Balloon Text"/>
    <w:basedOn w:val="Normal"/>
    <w:link w:val="BalloonTextChar"/>
    <w:uiPriority w:val="99"/>
    <w:semiHidden/>
    <w:unhideWhenUsed/>
    <w:rsid w:val="002665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665E2"/>
    <w:rPr>
      <w:rFonts w:ascii="Lucida Grande" w:eastAsia="Calibri" w:hAnsi="Lucida Grande" w:cs="Times New Roman"/>
      <w:sz w:val="18"/>
      <w:szCs w:val="18"/>
      <w:lang w:val="en-GB"/>
    </w:rPr>
  </w:style>
  <w:style w:type="character" w:styleId="CommentReference">
    <w:name w:val="annotation reference"/>
    <w:basedOn w:val="DefaultParagraphFont"/>
    <w:uiPriority w:val="99"/>
    <w:semiHidden/>
    <w:unhideWhenUsed/>
    <w:rsid w:val="002665E2"/>
    <w:rPr>
      <w:sz w:val="18"/>
      <w:szCs w:val="18"/>
    </w:rPr>
  </w:style>
  <w:style w:type="paragraph" w:styleId="CommentText">
    <w:name w:val="annotation text"/>
    <w:basedOn w:val="Normal"/>
    <w:link w:val="CommentTextChar"/>
    <w:uiPriority w:val="99"/>
    <w:semiHidden/>
    <w:unhideWhenUsed/>
    <w:rsid w:val="002665E2"/>
    <w:pPr>
      <w:spacing w:line="240" w:lineRule="auto"/>
    </w:pPr>
    <w:rPr>
      <w:sz w:val="24"/>
      <w:szCs w:val="24"/>
    </w:rPr>
  </w:style>
  <w:style w:type="character" w:customStyle="1" w:styleId="CommentTextChar">
    <w:name w:val="Comment Text Char"/>
    <w:basedOn w:val="DefaultParagraphFont"/>
    <w:link w:val="CommentText"/>
    <w:uiPriority w:val="99"/>
    <w:semiHidden/>
    <w:rsid w:val="002665E2"/>
    <w:rPr>
      <w:rFonts w:ascii="Calibri" w:eastAsia="Calibri" w:hAnsi="Calibri" w:cs="Times New Roman"/>
      <w:lang w:val="en-GB"/>
    </w:rPr>
  </w:style>
  <w:style w:type="paragraph" w:styleId="CommentSubject">
    <w:name w:val="annotation subject"/>
    <w:basedOn w:val="CommentText"/>
    <w:next w:val="CommentText"/>
    <w:link w:val="CommentSubjectChar"/>
    <w:uiPriority w:val="99"/>
    <w:semiHidden/>
    <w:unhideWhenUsed/>
    <w:rsid w:val="002665E2"/>
    <w:rPr>
      <w:b/>
      <w:bCs/>
      <w:sz w:val="20"/>
      <w:szCs w:val="20"/>
    </w:rPr>
  </w:style>
  <w:style w:type="character" w:customStyle="1" w:styleId="CommentSubjectChar">
    <w:name w:val="Comment Subject Char"/>
    <w:basedOn w:val="CommentTextChar"/>
    <w:link w:val="CommentSubject"/>
    <w:uiPriority w:val="99"/>
    <w:semiHidden/>
    <w:rsid w:val="002665E2"/>
    <w:rPr>
      <w:rFonts w:ascii="Calibri" w:eastAsia="Calibri" w:hAnsi="Calibri" w:cs="Times New Roman"/>
      <w:b/>
      <w:bCs/>
      <w:sz w:val="20"/>
      <w:szCs w:val="20"/>
      <w:lang w:val="en-GB"/>
    </w:rPr>
  </w:style>
  <w:style w:type="character" w:styleId="Hyperlink">
    <w:name w:val="Hyperlink"/>
    <w:basedOn w:val="DefaultParagraphFont"/>
    <w:uiPriority w:val="99"/>
    <w:semiHidden/>
    <w:unhideWhenUsed/>
    <w:rsid w:val="008627B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325"/>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25"/>
    <w:pPr>
      <w:ind w:left="720"/>
      <w:contextualSpacing/>
    </w:pPr>
  </w:style>
  <w:style w:type="table" w:customStyle="1" w:styleId="MediumShading1-Accent11">
    <w:name w:val="Medium Shading 1 - Accent 11"/>
    <w:basedOn w:val="TableNormal"/>
    <w:uiPriority w:val="63"/>
    <w:rsid w:val="00980325"/>
    <w:pPr>
      <w:spacing w:before="200"/>
    </w:pPr>
    <w:rPr>
      <w:sz w:val="22"/>
      <w:szCs w:val="22"/>
      <w:lang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2665E2"/>
    <w:pPr>
      <w:spacing w:before="100" w:beforeAutospacing="1" w:after="100" w:afterAutospacing="1" w:line="240" w:lineRule="auto"/>
    </w:pPr>
    <w:rPr>
      <w:rFonts w:ascii="Times" w:eastAsiaTheme="minorEastAsia" w:hAnsi="Times"/>
      <w:sz w:val="20"/>
      <w:szCs w:val="20"/>
      <w:lang w:val="en-US"/>
    </w:rPr>
  </w:style>
  <w:style w:type="paragraph" w:styleId="BalloonText">
    <w:name w:val="Balloon Text"/>
    <w:basedOn w:val="Normal"/>
    <w:link w:val="BalloonTextChar"/>
    <w:uiPriority w:val="99"/>
    <w:semiHidden/>
    <w:unhideWhenUsed/>
    <w:rsid w:val="002665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665E2"/>
    <w:rPr>
      <w:rFonts w:ascii="Lucida Grande" w:eastAsia="Calibri" w:hAnsi="Lucida Grande" w:cs="Times New Roman"/>
      <w:sz w:val="18"/>
      <w:szCs w:val="18"/>
      <w:lang w:val="en-GB"/>
    </w:rPr>
  </w:style>
  <w:style w:type="character" w:styleId="CommentReference">
    <w:name w:val="annotation reference"/>
    <w:basedOn w:val="DefaultParagraphFont"/>
    <w:uiPriority w:val="99"/>
    <w:semiHidden/>
    <w:unhideWhenUsed/>
    <w:rsid w:val="002665E2"/>
    <w:rPr>
      <w:sz w:val="18"/>
      <w:szCs w:val="18"/>
    </w:rPr>
  </w:style>
  <w:style w:type="paragraph" w:styleId="CommentText">
    <w:name w:val="annotation text"/>
    <w:basedOn w:val="Normal"/>
    <w:link w:val="CommentTextChar"/>
    <w:uiPriority w:val="99"/>
    <w:semiHidden/>
    <w:unhideWhenUsed/>
    <w:rsid w:val="002665E2"/>
    <w:pPr>
      <w:spacing w:line="240" w:lineRule="auto"/>
    </w:pPr>
    <w:rPr>
      <w:sz w:val="24"/>
      <w:szCs w:val="24"/>
    </w:rPr>
  </w:style>
  <w:style w:type="character" w:customStyle="1" w:styleId="CommentTextChar">
    <w:name w:val="Comment Text Char"/>
    <w:basedOn w:val="DefaultParagraphFont"/>
    <w:link w:val="CommentText"/>
    <w:uiPriority w:val="99"/>
    <w:semiHidden/>
    <w:rsid w:val="002665E2"/>
    <w:rPr>
      <w:rFonts w:ascii="Calibri" w:eastAsia="Calibri" w:hAnsi="Calibri" w:cs="Times New Roman"/>
      <w:lang w:val="en-GB"/>
    </w:rPr>
  </w:style>
  <w:style w:type="paragraph" w:styleId="CommentSubject">
    <w:name w:val="annotation subject"/>
    <w:basedOn w:val="CommentText"/>
    <w:next w:val="CommentText"/>
    <w:link w:val="CommentSubjectChar"/>
    <w:uiPriority w:val="99"/>
    <w:semiHidden/>
    <w:unhideWhenUsed/>
    <w:rsid w:val="002665E2"/>
    <w:rPr>
      <w:b/>
      <w:bCs/>
      <w:sz w:val="20"/>
      <w:szCs w:val="20"/>
    </w:rPr>
  </w:style>
  <w:style w:type="character" w:customStyle="1" w:styleId="CommentSubjectChar">
    <w:name w:val="Comment Subject Char"/>
    <w:basedOn w:val="CommentTextChar"/>
    <w:link w:val="CommentSubject"/>
    <w:uiPriority w:val="99"/>
    <w:semiHidden/>
    <w:rsid w:val="002665E2"/>
    <w:rPr>
      <w:rFonts w:ascii="Calibri" w:eastAsia="Calibri" w:hAnsi="Calibri" w:cs="Times New Roman"/>
      <w:b/>
      <w:bCs/>
      <w:sz w:val="20"/>
      <w:szCs w:val="20"/>
      <w:lang w:val="en-GB"/>
    </w:rPr>
  </w:style>
  <w:style w:type="character" w:styleId="Hyperlink">
    <w:name w:val="Hyperlink"/>
    <w:basedOn w:val="DefaultParagraphFont"/>
    <w:uiPriority w:val="99"/>
    <w:semiHidden/>
    <w:unhideWhenUsed/>
    <w:rsid w:val="00862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hyperlink" Target="https://picasaweb.google.com/alan.spybey/DLP4Development?authkey=Gv1sRgCIDhtd-FzMOw4gE&amp;feat=email" TargetMode="External"/><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1040</Words>
  <Characters>5932</Characters>
  <Application>Microsoft Macintosh Word</Application>
  <DocSecurity>0</DocSecurity>
  <Lines>49</Lines>
  <Paragraphs>13</Paragraphs>
  <ScaleCrop>false</ScaleCrop>
  <Company>Google Inc.</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Hamilton</dc:creator>
  <cp:keywords/>
  <dc:description/>
  <cp:lastModifiedBy>Ursula Hamilton</cp:lastModifiedBy>
  <cp:revision>1</cp:revision>
  <dcterms:created xsi:type="dcterms:W3CDTF">2011-10-03T20:52:00Z</dcterms:created>
  <dcterms:modified xsi:type="dcterms:W3CDTF">2011-10-03T21:42:00Z</dcterms:modified>
</cp:coreProperties>
</file>