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email — Kim and Mo (June SLA metrics)</w:t>
      </w:r>
    </w:p>
    <w:p>
      <w:r>
        <w:rPr>
          <w:b/>
        </w:rPr>
        <w:t xml:space="preserve">To: </w:t>
      </w:r>
      <w:r>
        <w:t>Kim and Mo</w:t>
      </w:r>
    </w:p>
    <w:p>
      <w:r>
        <w:rPr>
          <w:b/>
        </w:rPr>
        <w:t xml:space="preserve">Subject: </w:t>
      </w:r>
      <w:r>
        <w:t>CSMS SLA metrics — expectations, June 2026 results, and how TTFR/TTR are calculated</w:t>
      </w:r>
    </w:p>
    <w:p/>
    <w:p>
      <w:r>
        <w:t>Hello Kim and Mo,</w:t>
      </w:r>
    </w:p>
    <w:p/>
    <w:p>
      <w:r>
        <w:t>Thanks for the clarifying questions.</w:t>
      </w:r>
    </w:p>
    <w:p>
      <w:pPr>
        <w:pStyle w:val="Heading2"/>
      </w:pPr>
      <w:r>
        <w:t>SLA expectation</w:t>
      </w:r>
    </w:p>
    <w:p>
      <w:r>
        <w:t>Our working SLA for user support tickets is 24 hours (within 9–5 working hours) from the time the ticket is created. That is what we use as the target for response/resolution timing and for counting SLA breaches.</w:t>
      </w:r>
    </w:p>
    <w:p>
      <w:r>
        <w:t>We can also report on escalated tickets, but they must be tagged in Jira with the “CSA-Escalated” label.</w:t>
      </w:r>
    </w:p>
    <w:p>
      <w:pPr>
        <w:pStyle w:val="Heading2"/>
      </w:pPr>
      <w:r>
        <w:t>Reporting period</w:t>
      </w:r>
    </w:p>
    <w:p>
      <w:r>
        <w:t>The mean averages I shared earlier were for the one-week window of 6/29–7/3. Those are actual performance numbers for that week, not the SLA target itself.</w:t>
      </w:r>
    </w:p>
    <w:p>
      <w:pPr>
        <w:pStyle w:val="Heading2"/>
      </w:pPr>
      <w:r>
        <w:t>Longer period — full month of June 2026</w:t>
      </w:r>
    </w:p>
    <w:p>
      <w:pPr>
        <w:pStyle w:val="Heading3"/>
      </w:pPr>
      <w:r>
        <w:t>Tickets with CSA-Escalated label</w:t>
      </w:r>
    </w:p>
    <w:p>
      <w:r>
        <w:t>Scope: CSSD + CSD, Bug, label CSA-Escalated, created 6/1–6/30, mean aggregate; TTR CSSD status gate = Closed; TTR CSD = Ready For Production Users; calendar fallbacks enabled where needed.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Value</w:t>
            </w:r>
          </w:p>
        </w:tc>
        <w:tc>
          <w:tcPr>
            <w:tcW w:type="dxa" w:w="3120"/>
          </w:tcPr>
          <w:p>
            <w:r>
              <w:rPr>
                <w:b/>
              </w:rPr>
              <w:t>Tickets</w:t>
            </w:r>
          </w:p>
        </w:tc>
      </w:tr>
      <w:tr>
        <w:tc>
          <w:tcPr>
            <w:tcW w:type="dxa" w:w="3120"/>
          </w:tcPr>
          <w:p>
            <w:r>
              <w:t>Issue count</w:t>
            </w:r>
          </w:p>
        </w:tc>
        <w:tc>
          <w:tcPr>
            <w:tcW w:type="dxa" w:w="3120"/>
          </w:tcPr>
          <w:p>
            <w:r>
              <w:t>95</w:t>
            </w:r>
          </w:p>
        </w:tc>
        <w:tc>
          <w:tcPr>
            <w:tcW w:type="dxa" w:w="3120"/>
          </w:tcPr>
          <w:p>
            <w:r>
              <w:t>—</w:t>
            </w:r>
          </w:p>
        </w:tc>
      </w:tr>
      <w:tr>
        <w:tc>
          <w:tcPr>
            <w:tcW w:type="dxa" w:w="3120"/>
          </w:tcPr>
          <w:p>
            <w:r>
              <w:t>TTFR CSSD</w:t>
            </w:r>
          </w:p>
        </w:tc>
        <w:tc>
          <w:tcPr>
            <w:tcW w:type="dxa" w:w="3120"/>
          </w:tcPr>
          <w:p>
            <w:r>
              <w:t>2.1d (~49h)</w:t>
            </w:r>
          </w:p>
        </w:tc>
        <w:tc>
          <w:tcPr>
            <w:tcW w:type="dxa" w:w="3120"/>
          </w:tcPr>
          <w:p>
            <w:r>
              <w:t>53</w:t>
            </w:r>
          </w:p>
        </w:tc>
      </w:tr>
      <w:tr>
        <w:tc>
          <w:tcPr>
            <w:tcW w:type="dxa" w:w="3120"/>
          </w:tcPr>
          <w:p>
            <w:r>
              <w:t>TTFR CSD</w:t>
            </w:r>
          </w:p>
        </w:tc>
        <w:tc>
          <w:tcPr>
            <w:tcW w:type="dxa" w:w="3120"/>
          </w:tcPr>
          <w:p>
            <w:r>
              <w:t>2.5d (~59h)</w:t>
            </w:r>
          </w:p>
        </w:tc>
        <w:tc>
          <w:tcPr>
            <w:tcW w:type="dxa" w:w="3120"/>
          </w:tcPr>
          <w:p>
            <w:r>
              <w:t>21 (linked CSSD)</w:t>
            </w:r>
          </w:p>
        </w:tc>
      </w:tr>
      <w:tr>
        <w:tc>
          <w:tcPr>
            <w:tcW w:type="dxa" w:w="3120"/>
          </w:tcPr>
          <w:p>
            <w:r>
              <w:t>TTR CSSD</w:t>
            </w:r>
          </w:p>
        </w:tc>
        <w:tc>
          <w:tcPr>
            <w:tcW w:type="dxa" w:w="3120"/>
          </w:tcPr>
          <w:p>
            <w:r>
              <w:t>2.4d (~58h)</w:t>
            </w:r>
          </w:p>
        </w:tc>
        <w:tc>
          <w:tcPr>
            <w:tcW w:type="dxa" w:w="3120"/>
          </w:tcPr>
          <w:p>
            <w:r>
              <w:t>50</w:t>
            </w:r>
          </w:p>
        </w:tc>
      </w:tr>
      <w:tr>
        <w:tc>
          <w:tcPr>
            <w:tcW w:type="dxa" w:w="3120"/>
          </w:tcPr>
          <w:p>
            <w:r>
              <w:t>TTR CSD</w:t>
            </w:r>
          </w:p>
        </w:tc>
        <w:tc>
          <w:tcPr>
            <w:tcW w:type="dxa" w:w="3120"/>
          </w:tcPr>
          <w:p>
            <w:r>
              <w:t>5.1d (~122h)</w:t>
            </w:r>
          </w:p>
        </w:tc>
        <w:tc>
          <w:tcPr>
            <w:tcW w:type="dxa" w:w="3120"/>
          </w:tcPr>
          <w:p>
            <w:r>
              <w:t>29</w:t>
            </w:r>
          </w:p>
        </w:tc>
      </w:tr>
    </w:tbl>
    <w:p/>
    <w:p>
      <w:pPr>
        <w:pStyle w:val="Heading3"/>
      </w:pPr>
      <w:r>
        <w:t>All tickets (including escalated) — June 2026</w:t>
      </w:r>
    </w:p>
    <w:p>
      <w:r>
        <w:t>Scope: CSSD + CSD, Bug, no label filter (includes CSA-Escalated and all other labels), current status in (Ready For Production Users, Closed), created 6/1–6/30, mean aggregate; TTR CSSD = Closed; TTR CSD = Ready For Production Users; 776 issues in this refresh.</w:t>
      </w:r>
    </w:p>
    <w:p>
      <w:r>
        <w:t>Comparison of calculation methods on that same ticket set: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With calendar fallback</w:t>
            </w:r>
          </w:p>
        </w:tc>
        <w:tc>
          <w:tcPr>
            <w:tcW w:type="dxa" w:w="2340"/>
          </w:tcPr>
          <w:p>
            <w:r>
              <w:rPr>
                <w:b/>
              </w:rPr>
              <w:t>Elapsed time only (Jira SLA)</w:t>
            </w:r>
          </w:p>
        </w:tc>
        <w:tc>
          <w:tcPr>
            <w:tcW w:type="dxa" w:w="2340"/>
          </w:tcPr>
          <w:p>
            <w:r>
              <w:rPr>
                <w:b/>
              </w:rPr>
              <w:t>Difference</w:t>
            </w:r>
          </w:p>
        </w:tc>
      </w:tr>
      <w:tr>
        <w:tc>
          <w:tcPr>
            <w:tcW w:type="dxa" w:w="2340"/>
          </w:tcPr>
          <w:p>
            <w:r>
              <w:t>TTFR CSSD</w:t>
            </w:r>
          </w:p>
        </w:tc>
        <w:tc>
          <w:tcPr>
            <w:tcW w:type="dxa" w:w="2340"/>
          </w:tcPr>
          <w:p>
            <w:r>
              <w:t>43.4h (376 tickets)</w:t>
            </w:r>
          </w:p>
        </w:tc>
        <w:tc>
          <w:tcPr>
            <w:tcW w:type="dxa" w:w="2340"/>
          </w:tcPr>
          <w:p>
            <w:r>
              <w:t>Same</w:t>
            </w:r>
          </w:p>
        </w:tc>
        <w:tc>
          <w:tcPr>
            <w:tcW w:type="dxa" w:w="2340"/>
          </w:tcPr>
          <w:p>
            <w:r>
              <w:t>None</w:t>
            </w:r>
          </w:p>
        </w:tc>
      </w:tr>
      <w:tr>
        <w:tc>
          <w:tcPr>
            <w:tcW w:type="dxa" w:w="2340"/>
          </w:tcPr>
          <w:p>
            <w:r>
              <w:t>TTFR CSD</w:t>
            </w:r>
          </w:p>
        </w:tc>
        <w:tc>
          <w:tcPr>
            <w:tcW w:type="dxa" w:w="2340"/>
          </w:tcPr>
          <w:p>
            <w:r>
              <w:t>2.9d / 68.9h (141 tickets; all from linked CSSD)</w:t>
            </w:r>
          </w:p>
        </w:tc>
        <w:tc>
          <w:tcPr>
            <w:tcW w:type="dxa" w:w="2340"/>
          </w:tcPr>
          <w:p>
            <w:r>
              <w:t>Same</w:t>
            </w:r>
          </w:p>
        </w:tc>
        <w:tc>
          <w:tcPr>
            <w:tcW w:type="dxa" w:w="2340"/>
          </w:tcPr>
          <w:p>
            <w:r>
              <w:t>None</w:t>
            </w:r>
          </w:p>
        </w:tc>
      </w:tr>
      <w:tr>
        <w:tc>
          <w:tcPr>
            <w:tcW w:type="dxa" w:w="2340"/>
          </w:tcPr>
          <w:p>
            <w:r>
              <w:t>TTR CSSD</w:t>
            </w:r>
          </w:p>
        </w:tc>
        <w:tc>
          <w:tcPr>
            <w:tcW w:type="dxa" w:w="2340"/>
          </w:tcPr>
          <w:p>
            <w:r>
              <w:t>2.1d / 49.5h (359 tickets)</w:t>
            </w:r>
          </w:p>
        </w:tc>
        <w:tc>
          <w:tcPr>
            <w:tcW w:type="dxa" w:w="2340"/>
          </w:tcPr>
          <w:p>
            <w:r>
              <w:t>Same</w:t>
            </w:r>
          </w:p>
        </w:tc>
        <w:tc>
          <w:tcPr>
            <w:tcW w:type="dxa" w:w="2340"/>
          </w:tcPr>
          <w:p>
            <w:r>
              <w:t>None</w:t>
            </w:r>
          </w:p>
        </w:tc>
      </w:tr>
      <w:tr>
        <w:tc>
          <w:tcPr>
            <w:tcW w:type="dxa" w:w="2340"/>
          </w:tcPr>
          <w:p>
            <w:r>
              <w:t>TTR CSD</w:t>
            </w:r>
          </w:p>
        </w:tc>
        <w:tc>
          <w:tcPr>
            <w:tcW w:type="dxa" w:w="2340"/>
          </w:tcPr>
          <w:p>
            <w:r>
              <w:t>5.5d / 131.6h (268 tickets)</w:t>
            </w:r>
          </w:p>
        </w:tc>
        <w:tc>
          <w:tcPr>
            <w:tcW w:type="dxa" w:w="2340"/>
          </w:tcPr>
          <w:p>
            <w:r>
              <w:t>No value (0 tickets)</w:t>
            </w:r>
          </w:p>
        </w:tc>
        <w:tc>
          <w:tcPr>
            <w:tcW w:type="dxa" w:w="2340"/>
          </w:tcPr>
          <w:p>
            <w:r>
              <w:t>All 268 used calendar fallback only</w:t>
            </w:r>
          </w:p>
        </w:tc>
      </w:tr>
    </w:tbl>
    <w:p/>
    <w:p>
      <w:r>
        <w:rPr>
          <w:b/>
        </w:rPr>
        <w:t xml:space="preserve">TTR CSD note: </w:t>
      </w:r>
      <w:r>
        <w:t>For this June set, Jira’s Time-to-Resolution SLA field did not return usable completed-cycle elapsed time on the CSD tickets in scope, so the 5.5d figure is derived from a calendar fallback (resolution date minus created). That fallback does not pause for operational waits (e.g. awaiting user feedback, operational process, SME review). We are treating CSD TTR as a derived metric until Jira SLA elapsed time is consistently available for those tickets.</w:t>
      </w:r>
    </w:p>
    <w:p>
      <w:pPr>
        <w:pStyle w:val="Heading2"/>
      </w:pPr>
      <w:r>
        <w:t>How TTFR / TTR are calculated from Jira</w:t>
      </w:r>
    </w:p>
    <w:p>
      <w:r>
        <w:t>For CSSD and CSD Bug tickets in the report window we use:</w:t>
      </w:r>
    </w:p>
    <w:p>
      <w:pPr>
        <w:pStyle w:val="ListBullet"/>
      </w:pPr>
      <w:r>
        <w:t>TTFR: Jira customfield_10318 — completed SLA cycle elapsed time</w:t>
      </w:r>
    </w:p>
    <w:p>
      <w:pPr>
        <w:pStyle w:val="ListBullet"/>
      </w:pPr>
      <w:r>
        <w:t>TTR: Jira customfield_10317 — completed SLA cycle elapsed time (when present)</w:t>
      </w:r>
    </w:p>
    <w:p>
      <w:pPr>
        <w:pStyle w:val="ListBullet"/>
      </w:pPr>
      <w:r>
        <w:t>CSD TTFR: uses the linked CSSD ticket’s TTFR when a CSSD link exists</w:t>
      </w:r>
    </w:p>
    <w:p>
      <w:pPr>
        <w:pStyle w:val="ListBullet"/>
      </w:pPr>
      <w:r>
        <w:t>CSD TTR: when Jira TTR elapsed time is not available, we use calendar fallback (resolutiondate − created); this is not a native paused SLA clock</w:t>
      </w:r>
    </w:p>
    <w:p>
      <w:pPr>
        <w:pStyle w:val="ListBullet"/>
      </w:pPr>
      <w:r>
        <w:t>Status gates apply (e.g. TTR CSSD = Closed; TTR CSD = Ready For Production Users)</w:t>
      </w:r>
    </w:p>
    <w:p/>
    <w:p>
      <w:r>
        <w:t>Happy to walk through any of these numbers or refresh a different window if helpful.</w:t>
      </w:r>
    </w:p>
    <w:p/>
    <w:p>
      <w:r>
        <w:t>Thanks,</w:t>
      </w:r>
    </w:p>
    <w:p>
      <w:r>
        <w:t>David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