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 Jarnice and Christina,</w:t>
      </w:r>
    </w:p>
    <w:p>
      <w:r>
        <w:t>Below is the summary of issues reported by CSMS application users for the period of July 20 - July 24/2026.</w:t>
      </w:r>
    </w:p>
    <w:p>
      <w:pPr>
        <w:pStyle w:val="Heading1"/>
      </w:pPr>
      <w:r>
        <w:rPr>
          <w:color w:val="1F3A5F"/>
        </w:rPr>
        <w:t>1. Ticket pipeline posture (response &amp; resolution times)</w:t>
      </w:r>
    </w:p>
    <w:p>
      <w:r>
        <w:t>Insights from CSSD and CSD Ticket SLA metrics.</w:t>
      </w:r>
    </w:p>
    <w:tbl>
      <w:tblPr>
        <w:tblStyle w:val="TableGrid"/>
        <w:tblW w:type="auto" w:w="0"/>
        <w:tblLook w:firstColumn="1" w:firstRow="1" w:lastColumn="0" w:lastRow="0" w:noHBand="0" w:noVBand="1" w:val="04A0"/>
      </w:tblPr>
      <w:tblGrid>
        <w:gridCol w:w="4680"/>
        <w:gridCol w:w="4680"/>
      </w:tblGrid>
      <w:tr>
        <w:tc>
          <w:tcPr>
            <w:tcW w:type="dxa" w:w="4680"/>
            <w:shd w:fill="E8EEF5" w:val="clear"/>
          </w:tcPr>
          <w:p>
            <w:r>
              <w:rPr>
                <w:b/>
                <w:sz w:val="20"/>
              </w:rPr>
              <w:t>Metric</w:t>
            </w:r>
          </w:p>
        </w:tc>
        <w:tc>
          <w:tcPr>
            <w:tcW w:type="dxa" w:w="4680"/>
            <w:shd w:fill="E8EEF5" w:val="clear"/>
          </w:tcPr>
          <w:p>
            <w:r>
              <w:rPr>
                <w:b/>
                <w:sz w:val="20"/>
              </w:rPr>
              <w:t>Observation</w:t>
            </w:r>
          </w:p>
        </w:tc>
      </w:tr>
      <w:tr>
        <w:tc>
          <w:tcPr>
            <w:tcW w:type="dxa" w:w="4680"/>
          </w:tcPr>
          <w:p>
            <w:r>
              <w:rPr>
                <w:sz w:val="20"/>
              </w:rPr>
              <w:t>TTFR CSSD</w:t>
            </w:r>
          </w:p>
        </w:tc>
        <w:tc>
          <w:tcPr>
            <w:tcW w:type="dxa" w:w="4680"/>
          </w:tcPr>
          <w:p>
            <w:r>
              <w:rPr>
                <w:sz w:val="20"/>
              </w:rPr>
              <w:t>Mean 8.2 hours (53 tickets)</w:t>
            </w:r>
          </w:p>
        </w:tc>
      </w:tr>
      <w:tr>
        <w:tc>
          <w:tcPr>
            <w:tcW w:type="dxa" w:w="4680"/>
          </w:tcPr>
          <w:p>
            <w:r>
              <w:rPr>
                <w:sz w:val="20"/>
              </w:rPr>
              <w:t>TTFR CSD</w:t>
            </w:r>
          </w:p>
        </w:tc>
        <w:tc>
          <w:tcPr>
            <w:tcW w:type="dxa" w:w="4680"/>
          </w:tcPr>
          <w:p>
            <w:r>
              <w:rPr>
                <w:sz w:val="20"/>
              </w:rPr>
              <w:t>Mean 17.6 hours (20 tickets; SLA inferred from linked CSSD)</w:t>
            </w:r>
          </w:p>
        </w:tc>
      </w:tr>
      <w:tr>
        <w:tc>
          <w:tcPr>
            <w:tcW w:type="dxa" w:w="4680"/>
          </w:tcPr>
          <w:p>
            <w:r>
              <w:rPr>
                <w:sz w:val="20"/>
              </w:rPr>
              <w:t>TTR CSSD</w:t>
            </w:r>
          </w:p>
        </w:tc>
        <w:tc>
          <w:tcPr>
            <w:tcW w:type="dxa" w:w="4680"/>
          </w:tcPr>
          <w:p>
            <w:r>
              <w:rPr>
                <w:sz w:val="20"/>
              </w:rPr>
              <w:t>Mean 14.7 hours (11 tickets)</w:t>
            </w:r>
          </w:p>
        </w:tc>
      </w:tr>
      <w:tr>
        <w:tc>
          <w:tcPr>
            <w:tcW w:type="dxa" w:w="4680"/>
          </w:tcPr>
          <w:p>
            <w:r>
              <w:rPr>
                <w:sz w:val="20"/>
              </w:rPr>
              <w:t>TTR CSD</w:t>
            </w:r>
          </w:p>
        </w:tc>
        <w:tc>
          <w:tcPr>
            <w:tcW w:type="dxa" w:w="4680"/>
          </w:tcPr>
          <w:p>
            <w:r>
              <w:rPr>
                <w:sz w:val="20"/>
              </w:rPr>
              <w:t>Mean 19.4 hours (29 tickets; calculated outside Jira)</w:t>
            </w:r>
          </w:p>
        </w:tc>
      </w:tr>
      <w:tr>
        <w:tc>
          <w:tcPr>
            <w:tcW w:type="dxa" w:w="4680"/>
          </w:tcPr>
          <w:p>
            <w:r>
              <w:rPr>
                <w:sz w:val="20"/>
              </w:rPr>
              <w:t>Most common status</w:t>
            </w:r>
          </w:p>
        </w:tc>
        <w:tc>
          <w:tcPr>
            <w:tcW w:type="dxa" w:w="4680"/>
          </w:tcPr>
          <w:p>
            <w:r>
              <w:rPr>
                <w:sz w:val="20"/>
              </w:rPr>
              <w:t>Ready For Production Users</w:t>
            </w:r>
          </w:p>
        </w:tc>
      </w:tr>
      <w:tr>
        <w:tc>
          <w:tcPr>
            <w:tcW w:type="dxa" w:w="4680"/>
          </w:tcPr>
          <w:p>
            <w:r>
              <w:rPr>
                <w:sz w:val="20"/>
              </w:rPr>
              <w:t>Avg. transitions / issue</w:t>
            </w:r>
          </w:p>
        </w:tc>
        <w:tc>
          <w:tcPr>
            <w:tcW w:type="dxa" w:w="4680"/>
          </w:tcPr>
          <w:p>
            <w:r>
              <w:rPr>
                <w:sz w:val="20"/>
              </w:rPr>
              <w:t>3.27</w:t>
            </w:r>
          </w:p>
        </w:tc>
      </w:tr>
      <w:tr>
        <w:tc>
          <w:tcPr>
            <w:tcW w:type="dxa" w:w="4680"/>
          </w:tcPr>
          <w:p>
            <w:r>
              <w:rPr>
                <w:sz w:val="20"/>
              </w:rPr>
              <w:t>Workload</w:t>
            </w:r>
          </w:p>
        </w:tc>
        <w:tc>
          <w:tcPr>
            <w:tcW w:type="dxa" w:w="4680"/>
          </w:tcPr>
          <w:p>
            <w:r>
              <w:rPr>
                <w:sz w:val="20"/>
              </w:rPr>
              <w:t>Distribution (240 issues)</w:t>
            </w:r>
          </w:p>
        </w:tc>
      </w:tr>
    </w:tbl>
    <w:p/>
    <w:p>
      <w:r>
        <w:rPr>
          <w:b/>
        </w:rPr>
        <w:t xml:space="preserve">Observation: </w:t>
      </w:r>
      <w:r>
        <w:t>First response for CSSD is generally within a same-day window. CSD Time to First Response (TTFR) and Time to Resolution (TTR) are not tracked in Jira. Therefore, CSD's TTFR is inferred from linked CSSD data, and CSD's resolution times are calculated outside Jira.</w:t>
      </w:r>
    </w:p>
    <w:p>
      <w:r>
        <w:rPr>
          <w:b/>
        </w:rPr>
        <w:t>Remediation:</w:t>
      </w:r>
    </w:p>
    <w:tbl>
      <w:tblPr>
        <w:tblStyle w:val="TableGrid"/>
        <w:tblW w:type="auto" w:w="0"/>
        <w:tblLook w:firstColumn="1" w:firstRow="1" w:lastColumn="0" w:lastRow="0" w:noHBand="0" w:noVBand="1" w:val="04A0"/>
      </w:tblPr>
      <w:tblGrid>
        <w:gridCol w:w="4680"/>
        <w:gridCol w:w="4680"/>
      </w:tblGrid>
      <w:tr>
        <w:tc>
          <w:tcPr>
            <w:tcW w:type="dxa" w:w="4680"/>
            <w:shd w:fill="E8EEF5" w:val="clear"/>
          </w:tcPr>
          <w:p>
            <w:r>
              <w:rPr>
                <w:b/>
                <w:sz w:val="20"/>
              </w:rPr>
              <w:t>Theme</w:t>
            </w:r>
          </w:p>
        </w:tc>
        <w:tc>
          <w:tcPr>
            <w:tcW w:type="dxa" w:w="4680"/>
            <w:shd w:fill="E8EEF5" w:val="clear"/>
          </w:tcPr>
          <w:p>
            <w:r>
              <w:rPr>
                <w:b/>
                <w:sz w:val="20"/>
              </w:rPr>
              <w:t>Remediation status</w:t>
            </w:r>
          </w:p>
        </w:tc>
      </w:tr>
      <w:tr>
        <w:tc>
          <w:tcPr>
            <w:tcW w:type="dxa" w:w="4680"/>
          </w:tcPr>
          <w:p>
            <w:r>
              <w:rPr>
                <w:sz w:val="20"/>
              </w:rPr>
              <w:t>Configuration for CSD TTFR and TTR metrics in Jira is not yet scoped.</w:t>
            </w:r>
          </w:p>
        </w:tc>
        <w:tc>
          <w:tcPr>
            <w:tcW w:type="dxa" w:w="4680"/>
          </w:tcPr>
          <w:p>
            <w:r>
              <w:rPr>
                <w:sz w:val="20"/>
              </w:rPr>
              <w:t>[Not yet scoped]</w:t>
            </w:r>
          </w:p>
        </w:tc>
      </w:tr>
    </w:tbl>
    <w:p/>
    <w:p>
      <w:pPr>
        <w:pStyle w:val="Heading1"/>
      </w:pPr>
      <w:r>
        <w:rPr>
          <w:color w:val="1F3A5F"/>
        </w:rPr>
        <w:t>2. Top issues reported (by label)</w:t>
      </w:r>
    </w:p>
    <w:p>
      <w:r>
        <w:t>Top 10 label themes in the report period.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EEF5" w:val="clear"/>
          </w:tcPr>
          <w:p>
            <w:r>
              <w:rPr>
                <w:b/>
                <w:sz w:val="20"/>
              </w:rPr>
              <w:t>Rank</w:t>
            </w:r>
          </w:p>
        </w:tc>
        <w:tc>
          <w:tcPr>
            <w:tcW w:type="dxa" w:w="2340"/>
            <w:shd w:fill="E8EEF5" w:val="clear"/>
          </w:tcPr>
          <w:p>
            <w:r>
              <w:rPr>
                <w:b/>
                <w:sz w:val="20"/>
              </w:rPr>
              <w:t>Theme</w:t>
            </w:r>
          </w:p>
        </w:tc>
        <w:tc>
          <w:tcPr>
            <w:tcW w:type="dxa" w:w="2340"/>
            <w:shd w:fill="E8EEF5" w:val="clear"/>
          </w:tcPr>
          <w:p>
            <w:r>
              <w:rPr>
                <w:b/>
                <w:sz w:val="20"/>
              </w:rPr>
              <w:t>Count</w:t>
            </w:r>
          </w:p>
        </w:tc>
        <w:tc>
          <w:tcPr>
            <w:tcW w:type="dxa" w:w="2340"/>
            <w:shd w:fill="E8EEF5" w:val="clear"/>
          </w:tcPr>
          <w:p>
            <w:r>
              <w:rPr>
                <w:b/>
                <w:sz w:val="20"/>
              </w:rPr>
              <w:t>Share</w:t>
            </w:r>
          </w:p>
        </w:tc>
      </w:tr>
      <w:tr>
        <w:tc>
          <w:tcPr>
            <w:tcW w:type="dxa" w:w="2340"/>
          </w:tcPr>
          <w:p>
            <w:r>
              <w:rPr>
                <w:sz w:val="20"/>
              </w:rPr>
              <w:t>1</w:t>
            </w:r>
          </w:p>
        </w:tc>
        <w:tc>
          <w:tcPr>
            <w:tcW w:type="dxa" w:w="2340"/>
          </w:tcPr>
          <w:p>
            <w:r>
              <w:rPr>
                <w:sz w:val="20"/>
              </w:rPr>
              <w:t>CSA-Escalated</w:t>
            </w:r>
          </w:p>
        </w:tc>
        <w:tc>
          <w:tcPr>
            <w:tcW w:type="dxa" w:w="2340"/>
          </w:tcPr>
          <w:p>
            <w:r>
              <w:rPr>
                <w:sz w:val="20"/>
              </w:rPr>
              <w:t>28</w:t>
            </w:r>
          </w:p>
        </w:tc>
        <w:tc>
          <w:tcPr>
            <w:tcW w:type="dxa" w:w="2340"/>
          </w:tcPr>
          <w:p>
            <w:r>
              <w:rPr>
                <w:sz w:val="20"/>
              </w:rPr>
              <w:t>9.5%</w:t>
            </w:r>
          </w:p>
        </w:tc>
      </w:tr>
      <w:tr>
        <w:tc>
          <w:tcPr>
            <w:tcW w:type="dxa" w:w="2340"/>
          </w:tcPr>
          <w:p>
            <w:r>
              <w:rPr>
                <w:sz w:val="20"/>
              </w:rPr>
              <w:t>2</w:t>
            </w:r>
          </w:p>
        </w:tc>
        <w:tc>
          <w:tcPr>
            <w:tcW w:type="dxa" w:w="2340"/>
          </w:tcPr>
          <w:p>
            <w:r>
              <w:rPr>
                <w:sz w:val="20"/>
              </w:rPr>
              <w:t>No Label</w:t>
            </w:r>
          </w:p>
        </w:tc>
        <w:tc>
          <w:tcPr>
            <w:tcW w:type="dxa" w:w="2340"/>
          </w:tcPr>
          <w:p>
            <w:r>
              <w:rPr>
                <w:sz w:val="20"/>
              </w:rPr>
              <w:t>25</w:t>
            </w:r>
          </w:p>
        </w:tc>
        <w:tc>
          <w:tcPr>
            <w:tcW w:type="dxa" w:w="2340"/>
          </w:tcPr>
          <w:p>
            <w:r>
              <w:rPr>
                <w:sz w:val="20"/>
              </w:rPr>
              <w:t>8.5%</w:t>
            </w:r>
          </w:p>
        </w:tc>
      </w:tr>
      <w:tr>
        <w:tc>
          <w:tcPr>
            <w:tcW w:type="dxa" w:w="2340"/>
          </w:tcPr>
          <w:p>
            <w:r>
              <w:rPr>
                <w:sz w:val="20"/>
              </w:rPr>
              <w:t>3</w:t>
            </w:r>
          </w:p>
        </w:tc>
        <w:tc>
          <w:tcPr>
            <w:tcW w:type="dxa" w:w="2340"/>
          </w:tcPr>
          <w:p>
            <w:r>
              <w:rPr>
                <w:sz w:val="20"/>
              </w:rPr>
              <w:t>Wave-1</w:t>
            </w:r>
          </w:p>
        </w:tc>
        <w:tc>
          <w:tcPr>
            <w:tcW w:type="dxa" w:w="2340"/>
          </w:tcPr>
          <w:p>
            <w:r>
              <w:rPr>
                <w:sz w:val="20"/>
              </w:rPr>
              <w:t>13</w:t>
            </w:r>
          </w:p>
        </w:tc>
        <w:tc>
          <w:tcPr>
            <w:tcW w:type="dxa" w:w="2340"/>
          </w:tcPr>
          <w:p>
            <w:r>
              <w:rPr>
                <w:sz w:val="20"/>
              </w:rPr>
              <w:t>4.4%</w:t>
            </w:r>
          </w:p>
        </w:tc>
      </w:tr>
      <w:tr>
        <w:tc>
          <w:tcPr>
            <w:tcW w:type="dxa" w:w="2340"/>
          </w:tcPr>
          <w:p>
            <w:r>
              <w:rPr>
                <w:sz w:val="20"/>
              </w:rPr>
              <w:t>4</w:t>
            </w:r>
          </w:p>
        </w:tc>
        <w:tc>
          <w:tcPr>
            <w:tcW w:type="dxa" w:w="2340"/>
          </w:tcPr>
          <w:p>
            <w:r>
              <w:rPr>
                <w:sz w:val="20"/>
              </w:rPr>
              <w:t>Unidentified_Receipt</w:t>
            </w:r>
          </w:p>
        </w:tc>
        <w:tc>
          <w:tcPr>
            <w:tcW w:type="dxa" w:w="2340"/>
          </w:tcPr>
          <w:p>
            <w:r>
              <w:rPr>
                <w:sz w:val="20"/>
              </w:rPr>
              <w:t>11</w:t>
            </w:r>
          </w:p>
        </w:tc>
        <w:tc>
          <w:tcPr>
            <w:tcW w:type="dxa" w:w="2340"/>
          </w:tcPr>
          <w:p>
            <w:r>
              <w:rPr>
                <w:sz w:val="20"/>
              </w:rPr>
              <w:t>3.7%</w:t>
            </w:r>
          </w:p>
        </w:tc>
      </w:tr>
      <w:tr>
        <w:tc>
          <w:tcPr>
            <w:tcW w:type="dxa" w:w="2340"/>
          </w:tcPr>
          <w:p>
            <w:r>
              <w:rPr>
                <w:sz w:val="20"/>
              </w:rPr>
              <w:t>5</w:t>
            </w:r>
          </w:p>
        </w:tc>
        <w:tc>
          <w:tcPr>
            <w:tcW w:type="dxa" w:w="2340"/>
          </w:tcPr>
          <w:p>
            <w:r>
              <w:rPr>
                <w:sz w:val="20"/>
              </w:rPr>
              <w:t>Release_Receipt</w:t>
            </w:r>
          </w:p>
        </w:tc>
        <w:tc>
          <w:tcPr>
            <w:tcW w:type="dxa" w:w="2340"/>
          </w:tcPr>
          <w:p>
            <w:r>
              <w:rPr>
                <w:sz w:val="20"/>
              </w:rPr>
              <w:t>9</w:t>
            </w:r>
          </w:p>
        </w:tc>
        <w:tc>
          <w:tcPr>
            <w:tcW w:type="dxa" w:w="2340"/>
          </w:tcPr>
          <w:p>
            <w:r>
              <w:rPr>
                <w:sz w:val="20"/>
              </w:rPr>
              <w:t>3.1%</w:t>
            </w:r>
          </w:p>
        </w:tc>
      </w:tr>
      <w:tr>
        <w:tc>
          <w:tcPr>
            <w:tcW w:type="dxa" w:w="2340"/>
          </w:tcPr>
          <w:p>
            <w:r>
              <w:rPr>
                <w:sz w:val="20"/>
              </w:rPr>
              <w:t>6</w:t>
            </w:r>
          </w:p>
        </w:tc>
        <w:tc>
          <w:tcPr>
            <w:tcW w:type="dxa" w:w="2340"/>
          </w:tcPr>
          <w:p>
            <w:r>
              <w:rPr>
                <w:sz w:val="20"/>
              </w:rPr>
              <w:t>Abandoned_Property</w:t>
            </w:r>
          </w:p>
        </w:tc>
        <w:tc>
          <w:tcPr>
            <w:tcW w:type="dxa" w:w="2340"/>
          </w:tcPr>
          <w:p>
            <w:r>
              <w:rPr>
                <w:sz w:val="20"/>
              </w:rPr>
              <w:t>8</w:t>
            </w:r>
          </w:p>
        </w:tc>
        <w:tc>
          <w:tcPr>
            <w:tcW w:type="dxa" w:w="2340"/>
          </w:tcPr>
          <w:p>
            <w:r>
              <w:rPr>
                <w:sz w:val="20"/>
              </w:rPr>
              <w:t>2.7%</w:t>
            </w:r>
          </w:p>
        </w:tc>
      </w:tr>
      <w:tr>
        <w:tc>
          <w:tcPr>
            <w:tcW w:type="dxa" w:w="2340"/>
          </w:tcPr>
          <w:p>
            <w:r>
              <w:rPr>
                <w:sz w:val="20"/>
              </w:rPr>
              <w:t>7</w:t>
            </w:r>
          </w:p>
        </w:tc>
        <w:tc>
          <w:tcPr>
            <w:tcW w:type="dxa" w:w="2340"/>
          </w:tcPr>
          <w:p>
            <w:r>
              <w:rPr>
                <w:sz w:val="20"/>
              </w:rPr>
              <w:t>Unprocessed_Receipts</w:t>
            </w:r>
          </w:p>
        </w:tc>
        <w:tc>
          <w:tcPr>
            <w:tcW w:type="dxa" w:w="2340"/>
          </w:tcPr>
          <w:p>
            <w:r>
              <w:rPr>
                <w:sz w:val="20"/>
              </w:rPr>
              <w:t>7</w:t>
            </w:r>
          </w:p>
        </w:tc>
        <w:tc>
          <w:tcPr>
            <w:tcW w:type="dxa" w:w="2340"/>
          </w:tcPr>
          <w:p>
            <w:r>
              <w:rPr>
                <w:sz w:val="20"/>
              </w:rPr>
              <w:t>2.4%</w:t>
            </w:r>
          </w:p>
        </w:tc>
      </w:tr>
      <w:tr>
        <w:tc>
          <w:tcPr>
            <w:tcW w:type="dxa" w:w="2340"/>
          </w:tcPr>
          <w:p>
            <w:r>
              <w:rPr>
                <w:sz w:val="20"/>
              </w:rPr>
              <w:t>8</w:t>
            </w:r>
          </w:p>
        </w:tc>
        <w:tc>
          <w:tcPr>
            <w:tcW w:type="dxa" w:w="2340"/>
          </w:tcPr>
          <w:p>
            <w:r>
              <w:rPr>
                <w:sz w:val="20"/>
              </w:rPr>
              <w:t>Qlik</w:t>
            </w:r>
          </w:p>
        </w:tc>
        <w:tc>
          <w:tcPr>
            <w:tcW w:type="dxa" w:w="2340"/>
          </w:tcPr>
          <w:p>
            <w:r>
              <w:rPr>
                <w:sz w:val="20"/>
              </w:rPr>
              <w:t>5</w:t>
            </w:r>
          </w:p>
        </w:tc>
        <w:tc>
          <w:tcPr>
            <w:tcW w:type="dxa" w:w="2340"/>
          </w:tcPr>
          <w:p>
            <w:r>
              <w:rPr>
                <w:sz w:val="20"/>
              </w:rPr>
              <w:t>1.7%</w:t>
            </w:r>
          </w:p>
        </w:tc>
      </w:tr>
      <w:tr>
        <w:tc>
          <w:tcPr>
            <w:tcW w:type="dxa" w:w="2340"/>
          </w:tcPr>
          <w:p>
            <w:r>
              <w:rPr>
                <w:sz w:val="20"/>
              </w:rPr>
              <w:t>9</w:t>
            </w:r>
          </w:p>
        </w:tc>
        <w:tc>
          <w:tcPr>
            <w:tcW w:type="dxa" w:w="2340"/>
          </w:tcPr>
          <w:p>
            <w:r>
              <w:rPr>
                <w:sz w:val="20"/>
              </w:rPr>
              <w:t>Reallocation</w:t>
            </w:r>
          </w:p>
        </w:tc>
        <w:tc>
          <w:tcPr>
            <w:tcW w:type="dxa" w:w="2340"/>
          </w:tcPr>
          <w:p>
            <w:r>
              <w:rPr>
                <w:sz w:val="20"/>
              </w:rPr>
              <w:t>5</w:t>
            </w:r>
          </w:p>
        </w:tc>
        <w:tc>
          <w:tcPr>
            <w:tcW w:type="dxa" w:w="2340"/>
          </w:tcPr>
          <w:p>
            <w:r>
              <w:rPr>
                <w:sz w:val="20"/>
              </w:rPr>
              <w:t>1.7%</w:t>
            </w:r>
          </w:p>
        </w:tc>
      </w:tr>
      <w:tr>
        <w:tc>
          <w:tcPr>
            <w:tcW w:type="dxa" w:w="2340"/>
          </w:tcPr>
          <w:p>
            <w:r>
              <w:rPr>
                <w:sz w:val="20"/>
              </w:rPr>
              <w:t>10</w:t>
            </w:r>
          </w:p>
        </w:tc>
        <w:tc>
          <w:tcPr>
            <w:tcW w:type="dxa" w:w="2340"/>
          </w:tcPr>
          <w:p>
            <w:r>
              <w:rPr>
                <w:sz w:val="20"/>
              </w:rPr>
              <w:t>Receipt</w:t>
            </w:r>
          </w:p>
        </w:tc>
        <w:tc>
          <w:tcPr>
            <w:tcW w:type="dxa" w:w="2340"/>
          </w:tcPr>
          <w:p>
            <w:r>
              <w:rPr>
                <w:sz w:val="20"/>
              </w:rPr>
              <w:t>5</w:t>
            </w:r>
          </w:p>
        </w:tc>
        <w:tc>
          <w:tcPr>
            <w:tcW w:type="dxa" w:w="2340"/>
          </w:tcPr>
          <w:p>
            <w:r>
              <w:rPr>
                <w:sz w:val="20"/>
              </w:rPr>
              <w:t>1.7%</w:t>
            </w:r>
          </w:p>
        </w:tc>
      </w:tr>
    </w:tbl>
    <w:p/>
    <w:p>
      <w:r>
        <w:rPr>
          <w:b/>
        </w:rPr>
        <w:t>Observation:</w:t>
      </w:r>
    </w:p>
    <w:p>
      <w:pPr>
        <w:pStyle w:val="ListBullet"/>
      </w:pPr>
      <w:r>
        <w:t>28 tickets were tagged as CSA-Escalated, leading label chart.</w:t>
      </w:r>
    </w:p>
    <w:p>
      <w:pPr>
        <w:pStyle w:val="ListBullet"/>
      </w:pPr>
      <w:r>
        <w:t>Receipt-related issues (Unidentified_Receipt, Release_Receipt, Unprocessed_Receipts, Receipt)</w:t>
      </w:r>
    </w:p>
    <w:p>
      <w:pPr>
        <w:pStyle w:val="ListBullet"/>
      </w:pPr>
      <w:r>
        <w:t>Upon analysis, we identified that majority of receipts issues tie to member ID issues [missing or multiple member IDs tied to a receipt].</w:t>
      </w:r>
    </w:p>
    <w:p>
      <w:pPr>
        <w:pStyle w:val="ListBullet"/>
      </w:pPr>
      <w:r>
        <w:t>A meaningful share of tickets still carries No Label, which limits how cleanly themes can be attributed.</w:t>
      </w:r>
    </w:p>
    <w:p>
      <w:r>
        <w:rPr>
          <w:b/>
        </w:rPr>
        <w:t>Remediation:</w:t>
      </w:r>
    </w:p>
    <w:tbl>
      <w:tblPr>
        <w:tblStyle w:val="TableGrid"/>
        <w:tblW w:type="auto" w:w="0"/>
        <w:tblLook w:firstColumn="1" w:firstRow="1" w:lastColumn="0" w:lastRow="0" w:noHBand="0" w:noVBand="1" w:val="04A0"/>
      </w:tblPr>
      <w:tblGrid>
        <w:gridCol w:w="4680"/>
        <w:gridCol w:w="4680"/>
      </w:tblGrid>
      <w:tr>
        <w:tc>
          <w:tcPr>
            <w:tcW w:type="dxa" w:w="4680"/>
            <w:shd w:fill="E8EEF5" w:val="clear"/>
          </w:tcPr>
          <w:p>
            <w:r>
              <w:rPr>
                <w:b/>
                <w:sz w:val="20"/>
              </w:rPr>
              <w:t>Theme</w:t>
            </w:r>
          </w:p>
        </w:tc>
        <w:tc>
          <w:tcPr>
            <w:tcW w:type="dxa" w:w="4680"/>
            <w:shd w:fill="E8EEF5" w:val="clear"/>
          </w:tcPr>
          <w:p>
            <w:r>
              <w:rPr>
                <w:b/>
                <w:sz w:val="20"/>
              </w:rPr>
              <w:t>Remediation status</w:t>
            </w:r>
          </w:p>
        </w:tc>
      </w:tr>
      <w:tr>
        <w:tc>
          <w:tcPr>
            <w:tcW w:type="dxa" w:w="4680"/>
          </w:tcPr>
          <w:p>
            <w:r>
              <w:rPr>
                <w:sz w:val="20"/>
              </w:rPr>
              <w:t>Receipt cluster</w:t>
            </w:r>
          </w:p>
        </w:tc>
        <w:tc>
          <w:tcPr>
            <w:tcW w:type="dxa" w:w="4680"/>
          </w:tcPr>
          <w:p>
            <w:r>
              <w:rPr>
                <w:sz w:val="20"/>
              </w:rPr>
              <w:t>[Not yet scoped]</w:t>
            </w:r>
          </w:p>
        </w:tc>
      </w:tr>
      <w:tr>
        <w:tc>
          <w:tcPr>
            <w:tcW w:type="dxa" w:w="4680"/>
          </w:tcPr>
          <w:p>
            <w:r>
              <w:rPr>
                <w:sz w:val="20"/>
              </w:rPr>
              <w:t>No Label</w:t>
            </w:r>
          </w:p>
        </w:tc>
        <w:tc>
          <w:tcPr>
            <w:tcW w:type="dxa" w:w="4680"/>
          </w:tcPr>
          <w:p>
            <w:r>
              <w:rPr>
                <w:sz w:val="20"/>
              </w:rPr>
              <w:t>[Not yet scoped]</w:t>
            </w:r>
          </w:p>
        </w:tc>
      </w:tr>
    </w:tbl>
    <w:p/>
    <w:p>
      <w:pPr>
        <w:pStyle w:val="Heading1"/>
      </w:pPr>
      <w:r>
        <w:rPr>
          <w:color w:val="1F3A5F"/>
        </w:rPr>
        <w:t>3. Ticket pipeline posture (by status)</w:t>
      </w:r>
    </w:p>
    <w:p>
      <w:r>
        <w:t>Where tickets sit in the pipeline.</w:t>
      </w:r>
    </w:p>
    <w:tbl>
      <w:tblPr>
        <w:tblStyle w:val="TableGrid"/>
        <w:tblW w:type="auto" w:w="0"/>
        <w:tblLook w:firstColumn="1" w:firstRow="1" w:lastColumn="0" w:lastRow="0" w:noHBand="0" w:noVBand="1" w:val="04A0"/>
      </w:tblPr>
      <w:tblGrid>
        <w:gridCol w:w="3120"/>
        <w:gridCol w:w="3120"/>
        <w:gridCol w:w="3120"/>
      </w:tblGrid>
      <w:tr>
        <w:tc>
          <w:tcPr>
            <w:tcW w:type="dxa" w:w="3120"/>
            <w:shd w:fill="E8EEF5" w:val="clear"/>
          </w:tcPr>
          <w:p>
            <w:r>
              <w:rPr>
                <w:b/>
                <w:sz w:val="20"/>
              </w:rPr>
              <w:t>Status</w:t>
            </w:r>
          </w:p>
        </w:tc>
        <w:tc>
          <w:tcPr>
            <w:tcW w:type="dxa" w:w="3120"/>
            <w:shd w:fill="E8EEF5" w:val="clear"/>
          </w:tcPr>
          <w:p>
            <w:r>
              <w:rPr>
                <w:b/>
                <w:sz w:val="20"/>
              </w:rPr>
              <w:t>Count</w:t>
            </w:r>
          </w:p>
        </w:tc>
        <w:tc>
          <w:tcPr>
            <w:tcW w:type="dxa" w:w="3120"/>
            <w:shd w:fill="E8EEF5" w:val="clear"/>
          </w:tcPr>
          <w:p>
            <w:r>
              <w:rPr>
                <w:b/>
                <w:sz w:val="20"/>
              </w:rPr>
              <w:t>Share</w:t>
            </w:r>
          </w:p>
        </w:tc>
      </w:tr>
      <w:tr>
        <w:tc>
          <w:tcPr>
            <w:tcW w:type="dxa" w:w="3120"/>
          </w:tcPr>
          <w:p>
            <w:r>
              <w:rPr>
                <w:sz w:val="20"/>
              </w:rPr>
              <w:t>Ready For Production Users</w:t>
            </w:r>
          </w:p>
        </w:tc>
        <w:tc>
          <w:tcPr>
            <w:tcW w:type="dxa" w:w="3120"/>
          </w:tcPr>
          <w:p>
            <w:r>
              <w:rPr>
                <w:sz w:val="20"/>
              </w:rPr>
              <w:t>46</w:t>
            </w:r>
          </w:p>
        </w:tc>
        <w:tc>
          <w:tcPr>
            <w:tcW w:type="dxa" w:w="3120"/>
          </w:tcPr>
          <w:p>
            <w:r>
              <w:rPr>
                <w:sz w:val="20"/>
              </w:rPr>
              <w:t>19.2%</w:t>
            </w:r>
          </w:p>
        </w:tc>
      </w:tr>
      <w:tr>
        <w:tc>
          <w:tcPr>
            <w:tcW w:type="dxa" w:w="3120"/>
          </w:tcPr>
          <w:p>
            <w:r>
              <w:rPr>
                <w:sz w:val="20"/>
              </w:rPr>
              <w:t>Selected for Development</w:t>
            </w:r>
          </w:p>
        </w:tc>
        <w:tc>
          <w:tcPr>
            <w:tcW w:type="dxa" w:w="3120"/>
          </w:tcPr>
          <w:p>
            <w:r>
              <w:rPr>
                <w:sz w:val="20"/>
              </w:rPr>
              <w:t>38</w:t>
            </w:r>
          </w:p>
        </w:tc>
        <w:tc>
          <w:tcPr>
            <w:tcW w:type="dxa" w:w="3120"/>
          </w:tcPr>
          <w:p>
            <w:r>
              <w:rPr>
                <w:sz w:val="20"/>
              </w:rPr>
              <w:t>15.8%</w:t>
            </w:r>
          </w:p>
        </w:tc>
      </w:tr>
      <w:tr>
        <w:tc>
          <w:tcPr>
            <w:tcW w:type="dxa" w:w="3120"/>
          </w:tcPr>
          <w:p>
            <w:r>
              <w:rPr>
                <w:sz w:val="20"/>
              </w:rPr>
              <w:t>Closed</w:t>
            </w:r>
          </w:p>
        </w:tc>
        <w:tc>
          <w:tcPr>
            <w:tcW w:type="dxa" w:w="3120"/>
          </w:tcPr>
          <w:p>
            <w:r>
              <w:rPr>
                <w:sz w:val="20"/>
              </w:rPr>
              <w:t>28</w:t>
            </w:r>
          </w:p>
        </w:tc>
        <w:tc>
          <w:tcPr>
            <w:tcW w:type="dxa" w:w="3120"/>
          </w:tcPr>
          <w:p>
            <w:r>
              <w:rPr>
                <w:sz w:val="20"/>
              </w:rPr>
              <w:t>11.7%</w:t>
            </w:r>
          </w:p>
        </w:tc>
      </w:tr>
      <w:tr>
        <w:tc>
          <w:tcPr>
            <w:tcW w:type="dxa" w:w="3120"/>
          </w:tcPr>
          <w:p>
            <w:r>
              <w:rPr>
                <w:sz w:val="20"/>
              </w:rPr>
              <w:t>Awaiting User Feedback</w:t>
            </w:r>
          </w:p>
        </w:tc>
        <w:tc>
          <w:tcPr>
            <w:tcW w:type="dxa" w:w="3120"/>
          </w:tcPr>
          <w:p>
            <w:r>
              <w:rPr>
                <w:sz w:val="20"/>
              </w:rPr>
              <w:t>25</w:t>
            </w:r>
          </w:p>
        </w:tc>
        <w:tc>
          <w:tcPr>
            <w:tcW w:type="dxa" w:w="3120"/>
          </w:tcPr>
          <w:p>
            <w:r>
              <w:rPr>
                <w:sz w:val="20"/>
              </w:rPr>
              <w:t>10.4%</w:t>
            </w:r>
          </w:p>
        </w:tc>
      </w:tr>
      <w:tr>
        <w:tc>
          <w:tcPr>
            <w:tcW w:type="dxa" w:w="3120"/>
          </w:tcPr>
          <w:p>
            <w:r>
              <w:rPr>
                <w:sz w:val="20"/>
              </w:rPr>
              <w:t>Under QA Analysis</w:t>
            </w:r>
          </w:p>
        </w:tc>
        <w:tc>
          <w:tcPr>
            <w:tcW w:type="dxa" w:w="3120"/>
          </w:tcPr>
          <w:p>
            <w:r>
              <w:rPr>
                <w:sz w:val="20"/>
              </w:rPr>
              <w:t>24</w:t>
            </w:r>
          </w:p>
        </w:tc>
        <w:tc>
          <w:tcPr>
            <w:tcW w:type="dxa" w:w="3120"/>
          </w:tcPr>
          <w:p>
            <w:r>
              <w:rPr>
                <w:sz w:val="20"/>
              </w:rPr>
              <w:t>10.0%</w:t>
            </w:r>
          </w:p>
        </w:tc>
      </w:tr>
      <w:tr>
        <w:tc>
          <w:tcPr>
            <w:tcW w:type="dxa" w:w="3120"/>
          </w:tcPr>
          <w:p>
            <w:r>
              <w:rPr>
                <w:sz w:val="20"/>
              </w:rPr>
              <w:t>QA ready</w:t>
            </w:r>
          </w:p>
        </w:tc>
        <w:tc>
          <w:tcPr>
            <w:tcW w:type="dxa" w:w="3120"/>
          </w:tcPr>
          <w:p>
            <w:r>
              <w:rPr>
                <w:sz w:val="20"/>
              </w:rPr>
              <w:t>16</w:t>
            </w:r>
          </w:p>
        </w:tc>
        <w:tc>
          <w:tcPr>
            <w:tcW w:type="dxa" w:w="3120"/>
          </w:tcPr>
          <w:p>
            <w:r>
              <w:rPr>
                <w:sz w:val="20"/>
              </w:rPr>
              <w:t>6.7%</w:t>
            </w:r>
          </w:p>
        </w:tc>
      </w:tr>
      <w:tr>
        <w:tc>
          <w:tcPr>
            <w:tcW w:type="dxa" w:w="3120"/>
          </w:tcPr>
          <w:p>
            <w:r>
              <w:rPr>
                <w:sz w:val="20"/>
              </w:rPr>
              <w:t>New</w:t>
            </w:r>
          </w:p>
        </w:tc>
        <w:tc>
          <w:tcPr>
            <w:tcW w:type="dxa" w:w="3120"/>
          </w:tcPr>
          <w:p>
            <w:r>
              <w:rPr>
                <w:sz w:val="20"/>
              </w:rPr>
              <w:t>13</w:t>
            </w:r>
          </w:p>
        </w:tc>
        <w:tc>
          <w:tcPr>
            <w:tcW w:type="dxa" w:w="3120"/>
          </w:tcPr>
          <w:p>
            <w:r>
              <w:rPr>
                <w:sz w:val="20"/>
              </w:rPr>
              <w:t>5.4%</w:t>
            </w:r>
          </w:p>
        </w:tc>
      </w:tr>
      <w:tr>
        <w:tc>
          <w:tcPr>
            <w:tcW w:type="dxa" w:w="3120"/>
          </w:tcPr>
          <w:p>
            <w:r>
              <w:rPr>
                <w:sz w:val="20"/>
              </w:rPr>
              <w:t>Resolved/Dev-Completed</w:t>
            </w:r>
          </w:p>
        </w:tc>
        <w:tc>
          <w:tcPr>
            <w:tcW w:type="dxa" w:w="3120"/>
          </w:tcPr>
          <w:p>
            <w:r>
              <w:rPr>
                <w:sz w:val="20"/>
              </w:rPr>
              <w:t>12</w:t>
            </w:r>
          </w:p>
        </w:tc>
        <w:tc>
          <w:tcPr>
            <w:tcW w:type="dxa" w:w="3120"/>
          </w:tcPr>
          <w:p>
            <w:r>
              <w:rPr>
                <w:sz w:val="20"/>
              </w:rPr>
              <w:t>5.0%</w:t>
            </w:r>
          </w:p>
        </w:tc>
      </w:tr>
      <w:tr>
        <w:tc>
          <w:tcPr>
            <w:tcW w:type="dxa" w:w="3120"/>
          </w:tcPr>
          <w:p>
            <w:r>
              <w:rPr>
                <w:sz w:val="20"/>
              </w:rPr>
              <w:t>Resolved</w:t>
            </w:r>
          </w:p>
        </w:tc>
        <w:tc>
          <w:tcPr>
            <w:tcW w:type="dxa" w:w="3120"/>
          </w:tcPr>
          <w:p>
            <w:r>
              <w:rPr>
                <w:sz w:val="20"/>
              </w:rPr>
              <w:t>11</w:t>
            </w:r>
          </w:p>
        </w:tc>
        <w:tc>
          <w:tcPr>
            <w:tcW w:type="dxa" w:w="3120"/>
          </w:tcPr>
          <w:p>
            <w:r>
              <w:rPr>
                <w:sz w:val="20"/>
              </w:rPr>
              <w:t>4.6%</w:t>
            </w:r>
          </w:p>
        </w:tc>
      </w:tr>
      <w:tr>
        <w:tc>
          <w:tcPr>
            <w:tcW w:type="dxa" w:w="3120"/>
          </w:tcPr>
          <w:p>
            <w:r>
              <w:rPr>
                <w:sz w:val="20"/>
              </w:rPr>
              <w:t>Code Fix Required</w:t>
            </w:r>
          </w:p>
        </w:tc>
        <w:tc>
          <w:tcPr>
            <w:tcW w:type="dxa" w:w="3120"/>
          </w:tcPr>
          <w:p>
            <w:r>
              <w:rPr>
                <w:sz w:val="20"/>
              </w:rPr>
              <w:t>6</w:t>
            </w:r>
          </w:p>
        </w:tc>
        <w:tc>
          <w:tcPr>
            <w:tcW w:type="dxa" w:w="3120"/>
          </w:tcPr>
          <w:p>
            <w:r>
              <w:rPr>
                <w:sz w:val="20"/>
              </w:rPr>
              <w:t>2.5%</w:t>
            </w:r>
          </w:p>
        </w:tc>
      </w:tr>
      <w:tr>
        <w:tc>
          <w:tcPr>
            <w:tcW w:type="dxa" w:w="3120"/>
          </w:tcPr>
          <w:p>
            <w:r>
              <w:rPr>
                <w:sz w:val="20"/>
              </w:rPr>
              <w:t>Pass</w:t>
            </w:r>
          </w:p>
        </w:tc>
        <w:tc>
          <w:tcPr>
            <w:tcW w:type="dxa" w:w="3120"/>
          </w:tcPr>
          <w:p>
            <w:r>
              <w:rPr>
                <w:sz w:val="20"/>
              </w:rPr>
              <w:t>5</w:t>
            </w:r>
          </w:p>
        </w:tc>
        <w:tc>
          <w:tcPr>
            <w:tcW w:type="dxa" w:w="3120"/>
          </w:tcPr>
          <w:p>
            <w:r>
              <w:rPr>
                <w:sz w:val="20"/>
              </w:rPr>
              <w:t>2.1%</w:t>
            </w:r>
          </w:p>
        </w:tc>
      </w:tr>
      <w:tr>
        <w:tc>
          <w:tcPr>
            <w:tcW w:type="dxa" w:w="3120"/>
          </w:tcPr>
          <w:p>
            <w:r>
              <w:rPr>
                <w:sz w:val="20"/>
              </w:rPr>
              <w:t>Pending Operational Process</w:t>
            </w:r>
          </w:p>
        </w:tc>
        <w:tc>
          <w:tcPr>
            <w:tcW w:type="dxa" w:w="3120"/>
          </w:tcPr>
          <w:p>
            <w:r>
              <w:rPr>
                <w:sz w:val="20"/>
              </w:rPr>
              <w:t>5</w:t>
            </w:r>
          </w:p>
        </w:tc>
        <w:tc>
          <w:tcPr>
            <w:tcW w:type="dxa" w:w="3120"/>
          </w:tcPr>
          <w:p>
            <w:r>
              <w:rPr>
                <w:sz w:val="20"/>
              </w:rPr>
              <w:t>2.1%</w:t>
            </w:r>
          </w:p>
        </w:tc>
      </w:tr>
      <w:tr>
        <w:tc>
          <w:tcPr>
            <w:tcW w:type="dxa" w:w="3120"/>
          </w:tcPr>
          <w:p>
            <w:r>
              <w:rPr>
                <w:sz w:val="20"/>
              </w:rPr>
              <w:t>Duplicate</w:t>
            </w:r>
          </w:p>
        </w:tc>
        <w:tc>
          <w:tcPr>
            <w:tcW w:type="dxa" w:w="3120"/>
          </w:tcPr>
          <w:p>
            <w:r>
              <w:rPr>
                <w:sz w:val="20"/>
              </w:rPr>
              <w:t>4</w:t>
            </w:r>
          </w:p>
        </w:tc>
        <w:tc>
          <w:tcPr>
            <w:tcW w:type="dxa" w:w="3120"/>
          </w:tcPr>
          <w:p>
            <w:r>
              <w:rPr>
                <w:sz w:val="20"/>
              </w:rPr>
              <w:t>1.7%</w:t>
            </w:r>
          </w:p>
        </w:tc>
      </w:tr>
      <w:tr>
        <w:tc>
          <w:tcPr>
            <w:tcW w:type="dxa" w:w="3120"/>
          </w:tcPr>
          <w:p>
            <w:r>
              <w:rPr>
                <w:sz w:val="20"/>
              </w:rPr>
              <w:t>SME Review required</w:t>
            </w:r>
          </w:p>
        </w:tc>
        <w:tc>
          <w:tcPr>
            <w:tcW w:type="dxa" w:w="3120"/>
          </w:tcPr>
          <w:p>
            <w:r>
              <w:rPr>
                <w:sz w:val="20"/>
              </w:rPr>
              <w:t>2</w:t>
            </w:r>
          </w:p>
        </w:tc>
        <w:tc>
          <w:tcPr>
            <w:tcW w:type="dxa" w:w="3120"/>
          </w:tcPr>
          <w:p>
            <w:r>
              <w:rPr>
                <w:sz w:val="20"/>
              </w:rPr>
              <w:t>0.8%</w:t>
            </w:r>
          </w:p>
        </w:tc>
      </w:tr>
      <w:tr>
        <w:tc>
          <w:tcPr>
            <w:tcW w:type="dxa" w:w="3120"/>
          </w:tcPr>
          <w:p>
            <w:r>
              <w:rPr>
                <w:sz w:val="20"/>
              </w:rPr>
              <w:t>Awaiting Program Feedback</w:t>
            </w:r>
          </w:p>
        </w:tc>
        <w:tc>
          <w:tcPr>
            <w:tcW w:type="dxa" w:w="3120"/>
          </w:tcPr>
          <w:p>
            <w:r>
              <w:rPr>
                <w:sz w:val="20"/>
              </w:rPr>
              <w:t>1</w:t>
            </w:r>
          </w:p>
        </w:tc>
        <w:tc>
          <w:tcPr>
            <w:tcW w:type="dxa" w:w="3120"/>
          </w:tcPr>
          <w:p>
            <w:r>
              <w:rPr>
                <w:sz w:val="20"/>
              </w:rPr>
              <w:t>0.4%</w:t>
            </w:r>
          </w:p>
        </w:tc>
      </w:tr>
      <w:tr>
        <w:tc>
          <w:tcPr>
            <w:tcW w:type="dxa" w:w="3120"/>
          </w:tcPr>
          <w:p>
            <w:r>
              <w:rPr>
                <w:sz w:val="20"/>
              </w:rPr>
              <w:t>Awaiting Program Review</w:t>
            </w:r>
          </w:p>
        </w:tc>
        <w:tc>
          <w:tcPr>
            <w:tcW w:type="dxa" w:w="3120"/>
          </w:tcPr>
          <w:p>
            <w:r>
              <w:rPr>
                <w:sz w:val="20"/>
              </w:rPr>
              <w:t>1</w:t>
            </w:r>
          </w:p>
        </w:tc>
        <w:tc>
          <w:tcPr>
            <w:tcW w:type="dxa" w:w="3120"/>
          </w:tcPr>
          <w:p>
            <w:r>
              <w:rPr>
                <w:sz w:val="20"/>
              </w:rPr>
              <w:t>0.4%</w:t>
            </w:r>
          </w:p>
        </w:tc>
      </w:tr>
      <w:tr>
        <w:tc>
          <w:tcPr>
            <w:tcW w:type="dxa" w:w="3120"/>
          </w:tcPr>
          <w:p>
            <w:r>
              <w:rPr>
                <w:sz w:val="20"/>
              </w:rPr>
              <w:t>Needs More Info</w:t>
            </w:r>
          </w:p>
        </w:tc>
        <w:tc>
          <w:tcPr>
            <w:tcW w:type="dxa" w:w="3120"/>
          </w:tcPr>
          <w:p>
            <w:r>
              <w:rPr>
                <w:sz w:val="20"/>
              </w:rPr>
              <w:t>1</w:t>
            </w:r>
          </w:p>
        </w:tc>
        <w:tc>
          <w:tcPr>
            <w:tcW w:type="dxa" w:w="3120"/>
          </w:tcPr>
          <w:p>
            <w:r>
              <w:rPr>
                <w:sz w:val="20"/>
              </w:rPr>
              <w:t>0.4%</w:t>
            </w:r>
          </w:p>
        </w:tc>
      </w:tr>
      <w:tr>
        <w:tc>
          <w:tcPr>
            <w:tcW w:type="dxa" w:w="3120"/>
          </w:tcPr>
          <w:p>
            <w:r>
              <w:rPr>
                <w:sz w:val="20"/>
              </w:rPr>
              <w:t>Prod FCR response hold</w:t>
            </w:r>
          </w:p>
        </w:tc>
        <w:tc>
          <w:tcPr>
            <w:tcW w:type="dxa" w:w="3120"/>
          </w:tcPr>
          <w:p>
            <w:r>
              <w:rPr>
                <w:sz w:val="20"/>
              </w:rPr>
              <w:t>1</w:t>
            </w:r>
          </w:p>
        </w:tc>
        <w:tc>
          <w:tcPr>
            <w:tcW w:type="dxa" w:w="3120"/>
          </w:tcPr>
          <w:p>
            <w:r>
              <w:rPr>
                <w:sz w:val="20"/>
              </w:rPr>
              <w:t>0.4%</w:t>
            </w:r>
          </w:p>
        </w:tc>
      </w:tr>
      <w:tr>
        <w:tc>
          <w:tcPr>
            <w:tcW w:type="dxa" w:w="3120"/>
          </w:tcPr>
          <w:p>
            <w:r>
              <w:rPr>
                <w:sz w:val="20"/>
              </w:rPr>
              <w:t>Reopened</w:t>
            </w:r>
          </w:p>
        </w:tc>
        <w:tc>
          <w:tcPr>
            <w:tcW w:type="dxa" w:w="3120"/>
          </w:tcPr>
          <w:p>
            <w:r>
              <w:rPr>
                <w:sz w:val="20"/>
              </w:rPr>
              <w:t>1</w:t>
            </w:r>
          </w:p>
        </w:tc>
        <w:tc>
          <w:tcPr>
            <w:tcW w:type="dxa" w:w="3120"/>
          </w:tcPr>
          <w:p>
            <w:r>
              <w:rPr>
                <w:sz w:val="20"/>
              </w:rPr>
              <w:t>0.4%</w:t>
            </w:r>
          </w:p>
        </w:tc>
      </w:tr>
    </w:tbl>
    <w:p/>
    <w:p>
      <w:r>
        <w:rPr>
          <w:b/>
        </w:rPr>
        <w:t xml:space="preserve">Observation: </w:t>
      </w:r>
      <w:r>
        <w:t>Volume is concentrated in "Ready For Production Users" and "Closed" statuses, with notable shares still in "Awaiting User Feedback" and "Selected for Development".</w:t>
      </w:r>
    </w:p>
    <w:p>
      <w:r>
        <w:rPr>
          <w:b/>
        </w:rPr>
        <w:t xml:space="preserve">Recommendation: </w:t>
      </w:r>
      <w:r>
        <w:t>10.4% of tickets currently sit in "Awaiting User Feedback". Improving this can positively impact resolution times.</w:t>
      </w:r>
    </w:p>
    <w:p>
      <w:r>
        <w:t xml:space="preserve">Ticket details are linked here: </w:t>
      </w:r>
      <w:r>
        <w:rPr>
          <w:b/>
        </w:rPr>
        <w:t>CSMS_CSA_Weekly_Ticket_Report</w:t>
      </w:r>
    </w:p>
    <w:p>
      <w:r>
        <w:t>Thanks,</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