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6CA4"/>
          <w:sz w:val="17"/>
          <w:szCs w:val="17"/>
        </w:rPr>
        <w:t xml:space="preserve">LEADERSHIP CASE  ·  DRAFT v0.1 FOR REVIEW</w:t>
      </w:r>
    </w:p>
    <w:p>
      <w:pPr>
        <w:pStyle w:val="Title"/>
      </w:pPr>
      <w:r>
        <w:t xml:space="preserve">From Design Delivery to Digital Experience</w:t>
      </w:r>
    </w:p>
    <w:p>
      <w:pPr>
        <w:pStyle w:val="Subtitle"/>
      </w:pPr>
      <w:r>
        <w:t xml:space="preserve">Building the team for a world where AI has made design execution nearly free</w:t>
      </w:r>
    </w:p>
    <w:p>
      <w:pPr>
        <w:pBdr>
          <w:bottom w:val="single" w:color="1F3A5F" w:sz="12" w:space="6"/>
        </w:pBdr>
        <w:spacing w:after="200"/>
      </w:pPr>
      <w:r>
        <w:rPr>
          <w:color w:val="5A6675"/>
          <w:sz w:val="19"/>
          <w:szCs w:val="19"/>
        </w:rPr>
        <w:t xml:space="preserve">29 June 2026</w:t>
      </w:r>
    </w:p>
    <w:p>
      <w:pPr>
        <w:pStyle w:val="Heading1"/>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2"/>
              <w:left w:val="single" w:color="2E6CA4" w:sz="18"/>
              <w:bottom w:val="single" w:color="C9D4E0" w:sz="2"/>
              <w:right w:val="single" w:color="C9D4E0" w:sz="2"/>
            </w:tcBorders>
            <w:shd w:fill="EEF3F8" w:val="clear"/>
            <w:tcMar>
              <w:top w:type="dxa" w:w="130"/>
              <w:left w:type="dxa" w:w="200"/>
              <w:bottom w:type="dxa" w:w="130"/>
              <w:right w:type="dxa" w:w="200"/>
            </w:tcMar>
          </w:tcPr>
          <w:p>
            <w:pPr>
              <w:spacing w:after="120" w:line="280"/>
            </w:pPr>
            <w:r>
              <w:t xml:space="preserve">Artificial intelligence has collapsed the cost of design execution. Producing screens, specifications and prototypes — the work that has historically justified a design delivery team’s size and budget — can now be largely automated. The industry has already moved: in 2026 the overwhelming majority of designers use AI daily and roughly half ship AI-generated interface code to production. A team valued for producing artifacts by hand is therefore fighting for relevance.</w:t>
            </w:r>
          </w:p>
          <w:p>
            <w:pPr>
              <w:spacing w:after="120" w:line="280"/>
            </w:pPr>
            <w:r>
              <w:t xml:space="preserve">Doing the old job faster is a trap — it buys a smaller version of a commoditised team. The real opportunity is to move </w:t>
            </w:r>
            <w:r>
              <w:rPr>
                <w:i/>
                <w:iCs/>
              </w:rPr>
              <w:t xml:space="preserve">up</w:t>
            </w:r>
            <w:r>
              <w:t xml:space="preserve"> the value chain: from making artifacts to owning the experience and the system that guarantees its quality. We can make this case from strength, because we have already built a working instance of that system — the </w:t>
            </w:r>
            <w:r>
              <w:rPr>
                <w:b/>
                <w:bCs/>
              </w:rPr>
              <w:t xml:space="preserve">Smart Design System</w:t>
            </w:r>
            <w:r>
              <w:t xml:space="preserve">.</w:t>
            </w:r>
          </w:p>
          <w:p>
            <w:pPr>
              <w:spacing w:after="0" w:line="280"/>
            </w:pPr>
            <w:r>
              <w:t xml:space="preserve">This paper sets out why the shift is happening, what the transformed </w:t>
            </w:r>
            <w:r>
              <w:rPr>
                <w:b/>
                <w:bCs/>
              </w:rPr>
              <w:t xml:space="preserve">Digital Experience</w:t>
            </w:r>
            <w:r>
              <w:t xml:space="preserve"> team looks like, how we get there in deliberate, evidence-gated phases, how we will treat the people affected, and what we are asking leadership to back.</w:t>
            </w:r>
          </w:p>
        </w:tc>
      </w:tr>
    </w:tbl>
    <w:p>
      <w:pPr>
        <w:spacing w:after="60" w:before="160"/>
      </w:pPr>
      <w:r>
        <w:rPr>
          <w:b/>
          <w:bCs/>
          <w:color w:val="1F3A5F"/>
        </w:rPr>
        <w:t xml:space="preserve">The ask, in short:</w:t>
      </w:r>
    </w:p>
    <w:p>
      <w:pPr>
        <w:pStyle w:val="ListParagraph"/>
        <w:numPr>
          <w:ilvl w:val="0"/>
          <w:numId w:val="2"/>
        </w:numPr>
        <w:spacing w:after="80" w:line="270"/>
      </w:pPr>
      <w:r>
        <w:t xml:space="preserve">A </w:t>
      </w:r>
      <w:r>
        <w:rPr>
          <w:b/>
          <w:bCs/>
        </w:rPr>
        <w:t xml:space="preserve">mandate to transform</w:t>
      </w:r>
      <w:r>
        <w:t xml:space="preserve"> — to re-charter the team around the new model, not merely permission to use AI tools.</w:t>
      </w:r>
    </w:p>
    <w:p>
      <w:pPr>
        <w:pStyle w:val="ListParagraph"/>
        <w:numPr>
          <w:ilvl w:val="0"/>
          <w:numId w:val="2"/>
        </w:numPr>
        <w:spacing w:after="80" w:line="270"/>
      </w:pPr>
      <w:r>
        <w:t xml:space="preserve">A </w:t>
      </w:r>
      <w:r>
        <w:rPr>
          <w:b/>
          <w:bCs/>
        </w:rPr>
        <w:t xml:space="preserve">protected lighthouse</w:t>
      </w:r>
      <w:r>
        <w:t xml:space="preserve"> — one product area to run the new model end to end, shielded from business-as-usual pressure.</w:t>
      </w:r>
    </w:p>
    <w:p>
      <w:pPr>
        <w:pStyle w:val="ListParagraph"/>
        <w:numPr>
          <w:ilvl w:val="0"/>
          <w:numId w:val="2"/>
        </w:numPr>
        <w:spacing w:after="80" w:line="270"/>
      </w:pPr>
      <w:r>
        <w:t xml:space="preserve">Investment in the </w:t>
      </w:r>
      <w:r>
        <w:rPr>
          <w:b/>
          <w:bCs/>
        </w:rPr>
        <w:t xml:space="preserve">engineering spine and reskilling runway</w:t>
      </w:r>
      <w:r>
        <w:t xml:space="preserve">.</w:t>
      </w:r>
    </w:p>
    <w:p>
      <w:pPr>
        <w:pStyle w:val="ListParagraph"/>
        <w:numPr>
          <w:ilvl w:val="0"/>
          <w:numId w:val="2"/>
        </w:numPr>
        <w:spacing w:after="80" w:line="270"/>
      </w:pPr>
      <w:r>
        <w:rPr>
          <w:b/>
          <w:bCs/>
        </w:rPr>
        <w:t xml:space="preserve">Time and air cover</w:t>
      </w:r>
      <w:r>
        <w:t xml:space="preserve"> — progress measured against decision gates, not the calendar.</w:t>
      </w:r>
    </w:p>
    <w:p>
      <w:pPr>
        <w:pStyle w:val="ListParagraph"/>
        <w:numPr>
          <w:ilvl w:val="0"/>
          <w:numId w:val="2"/>
        </w:numPr>
        <w:spacing w:after="80" w:line="270"/>
      </w:pPr>
      <w:r>
        <w:t xml:space="preserve">A named </w:t>
      </w:r>
      <w:r>
        <w:rPr>
          <w:b/>
          <w:bCs/>
        </w:rPr>
        <w:t xml:space="preserve">executive sponsor</w:t>
      </w:r>
      <w:r>
        <w:t xml:space="preserve"> who owns the transformation outcome alongside us.</w:t>
      </w:r>
    </w:p>
    <w:p>
      <w:r>
        <w:br w:type="page"/>
      </w:r>
    </w:p>
    <w:p>
      <w:pPr>
        <w:pStyle w:val="Heading1"/>
      </w:pPr>
      <w:r>
        <w:t xml:space="preserve">1.  The shift is already here</w:t>
      </w:r>
    </w:p>
    <w:p>
      <w:pPr>
        <w:spacing w:after="140" w:line="276"/>
      </w:pPr>
      <w:r>
        <w:t xml:space="preserve">The cost of design execution is collapsing toward zero. This is not a forecast; it is the measured state of the field. Through 2026, industry reporting is consistent: around nine in ten designers now use AI, most of them every day; roughly half have shipped AI-generated interface code to production; and teams using AI interface tooling report shipping forty to sixty per cent faster. The commentary has converged on a single description of the change — the designer’s role is moving from executor to orchestrator, and the manual drafting layer between an idea and a testable interface is being removed.</w:t>
      </w:r>
    </w:p>
    <w:p>
      <w:pPr>
        <w:spacing w:after="140" w:line="276"/>
      </w:pPr>
      <w:r>
        <w:t xml:space="preserve">For a team whose budget has been justified by the throughput of hand-made artifacts, the implication is stark: </w:t>
      </w:r>
      <w:r>
        <w:rPr>
          <w:b/>
          <w:bCs/>
        </w:rPr>
        <w:t xml:space="preserve">the artifact is no longer scarce</w:t>
      </w:r>
      <w:r>
        <w:t xml:space="preserve">, and “the people who make the screens” is no longer a sufficient description of what the team is for.</w:t>
      </w:r>
    </w:p>
    <w:p>
      <w:pPr>
        <w:pStyle w:val="Heading1"/>
      </w:pPr>
      <w:r>
        <w:t xml:space="preserve">2.  The fork in the road</w:t>
      </w:r>
    </w:p>
    <w:p>
      <w:pPr>
        <w:spacing w:after="140" w:line="276"/>
      </w:pPr>
      <w:r>
        <w:t xml:space="preserve">There are three possible responses, and two of them fail.</w:t>
      </w:r>
    </w:p>
    <w:p>
      <w:pPr>
        <w:pStyle w:val="Heading3"/>
      </w:pPr>
      <w:r>
        <w:t xml:space="preserve">Resist</w:t>
      </w:r>
    </w:p>
    <w:p>
      <w:pPr>
        <w:spacing w:after="140" w:line="276"/>
      </w:pPr>
      <w:r>
        <w:t xml:space="preserve">Keep producing by hand and compete on craft-volume. This loses on economics: it prices human hours against a marginal cost approaching zero, while the quality gap that once justified the premium closes quickly.</w:t>
      </w:r>
    </w:p>
    <w:p>
      <w:pPr>
        <w:pStyle w:val="Heading3"/>
      </w:pPr>
      <w:r>
        <w:t xml:space="preserve">Shrink only</w:t>
      </w:r>
    </w:p>
    <w:p>
      <w:pPr>
        <w:spacing w:after="140" w:line="276"/>
      </w:pPr>
      <w:r>
        <w:t xml:space="preserve">Treat AI purely as a way to cut headcount while keeping the same operating model — briefs in, artifacts out, the same work done faster by fewer people. This captures the easy efficiency but throws away the chance to move up the value chain. The result is a smaller, cheaper artifact factory, still differentiated by nothing. The efficiency is real, but it is the booby prize.</w:t>
      </w:r>
    </w:p>
    <w:p>
      <w:pPr>
        <w:pStyle w:val="Heading3"/>
      </w:pPr>
      <w:r>
        <w:t xml:space="preserve">Transform</w:t>
      </w:r>
    </w:p>
    <w:p>
      <w:pPr>
        <w:spacing w:after="140" w:line="276"/>
      </w:pPr>
      <w:r>
        <w:t xml:space="preserve">Reorganise the team around the work that is now scarce. </w:t>
      </w:r>
      <w:r>
        <w:rPr>
          <w:b/>
          <w:bCs/>
        </w:rPr>
        <w:t xml:space="preserve">The redundancies that accompany this change are real in every version of the future</w:t>
      </w:r>
      <w:r>
        <w:t xml:space="preserve"> — the question is whether they are part of a transformation or merely a contraction.</w:t>
      </w:r>
    </w:p>
    <w:p>
      <w:pPr>
        <w:pStyle w:val="Heading1"/>
      </w:pPr>
      <w:r>
        <w:t xml:space="preserve">3.  Where the value has moved</w:t>
      </w:r>
    </w:p>
    <w:p>
      <w:pPr>
        <w:spacing w:after="140" w:line="276"/>
      </w:pPr>
      <w:r>
        <w:t xml:space="preserve">When execution is free, scarcity — and therefore value — moves to the three things AI cannot do reliably:</w:t>
      </w:r>
    </w:p>
    <w:p>
      <w:pPr>
        <w:pStyle w:val="ListParagraph"/>
        <w:numPr>
          <w:ilvl w:val="0"/>
          <w:numId w:val="3"/>
        </w:numPr>
        <w:spacing w:after="80" w:line="270"/>
      </w:pPr>
      <w:r>
        <w:rPr>
          <w:b/>
          <w:bCs/>
        </w:rPr>
        <w:t xml:space="preserve">Judgment and taste.</w:t>
      </w:r>
      <w:r>
        <w:t xml:space="preserve"> Deciding what “good” means where models are unreliable: the right experience, the appropriate tone, the brand-true call. AI can generate a hundred options; it cannot be trusted to pick.</w:t>
      </w:r>
    </w:p>
    <w:p>
      <w:pPr>
        <w:pStyle w:val="ListParagraph"/>
        <w:numPr>
          <w:ilvl w:val="0"/>
          <w:numId w:val="3"/>
        </w:numPr>
        <w:spacing w:after="80" w:line="270"/>
      </w:pPr>
      <w:r>
        <w:rPr>
          <w:b/>
          <w:bCs/>
        </w:rPr>
        <w:t xml:space="preserve">Criteria and definition.</w:t>
      </w:r>
      <w:r>
        <w:t xml:space="preserve"> Specifying what should be built, and what “done” means, as enforceable standards — before anything is produced. Knowing what to build is now the bottleneck, not the building.</w:t>
      </w:r>
    </w:p>
    <w:p>
      <w:pPr>
        <w:pStyle w:val="ListParagraph"/>
        <w:numPr>
          <w:ilvl w:val="0"/>
          <w:numId w:val="3"/>
        </w:numPr>
        <w:spacing w:after="80" w:line="270"/>
      </w:pPr>
      <w:r>
        <w:rPr>
          <w:b/>
          <w:bCs/>
        </w:rPr>
        <w:t xml:space="preserve">Governance and trust.</w:t>
      </w:r>
      <w:r>
        <w:t xml:space="preserve"> Guaranteeing that what ships is accessible, compliant, on-brand and safe — at machine scale, auditably. In a regulated environment this is a hard requirement that freeform AI tools structurally cannot meet.</w:t>
      </w:r>
    </w:p>
    <w:p>
      <w:pPr>
        <w:spacing w:after="140" w:line="276"/>
      </w:pPr>
      <w:r>
        <w:t xml:space="preserve">Everything in those three categories is human-led and rises in value as AI improves. Everything outside them falls toward zero. </w:t>
      </w:r>
      <w:r>
        <w:rPr>
          <w:b/>
          <w:bCs/>
        </w:rPr>
        <w:t xml:space="preserve">A team that redirects its hours from the second list to the first becomes more valuable as the technology advances, not less.</w:t>
      </w:r>
    </w:p>
    <w:p>
      <w:pPr>
        <w:pStyle w:val="Heading1"/>
      </w:pPr>
      <w:r>
        <w:t xml:space="preserve">4.  From “Delivery” to “Experience”</w:t>
      </w:r>
    </w:p>
    <w:p>
      <w:pPr>
        <w:spacing w:after="140" w:line="276"/>
      </w:pPr>
      <w:r>
        <w:t xml:space="preserve">The rename is not cosmetic; it encodes the strategy. “Delivery” anchors on output and throughput — the very metric AI has destroyed. “Experience” anchors on outcome — the quality of what users actually experience — and is inherently cross-disciplinary: research, content, journey, service and accessibility, not just screens. The wider industry is moving the same way, treating design systems as cross-functional infrastructure rather than “just a design thing.” A Digital Experience team owns two things a Design Delivery team never did: the experience outcome, and the infrastructure that guarantees quality at scale.</w:t>
      </w:r>
    </w:p>
    <w:p>
      <w:pPr>
        <w:pStyle w:val="Heading1"/>
      </w:pPr>
      <w:r>
        <w:t xml:space="preserve">5.  The proof: we have already built the engine</w:t>
      </w:r>
    </w:p>
    <w:p>
      <w:pPr>
        <w:spacing w:after="140" w:line="276"/>
      </w:pPr>
      <w:r>
        <w:t xml:space="preserve">This is what turns a defensive story into an offensive one. For most teams the shift above is a problem they are reacting to. For us it is a capability we have been building on purpose.</w:t>
      </w:r>
    </w:p>
    <w:p>
      <w:pPr>
        <w:spacing w:after="140" w:line="276"/>
      </w:pPr>
      <w:r>
        <w:t xml:space="preserve">The Smart Design System (project Promenaut) is a working instance of the new operating model. It is not a library of files and documents; it is a governed, AI-driven engine in which senior judgment is encoded </w:t>
      </w:r>
      <w:r>
        <w:rPr>
          <w:i/>
          <w:iCs/>
        </w:rPr>
        <w:t xml:space="preserve">once</w:t>
      </w:r>
      <w:r>
        <w:t xml:space="preserve"> into a certified component set, quality standards are written as executable checks, and an agentic harness runs the design discipline against them. Its core principles are, precisely, the operating principles of the transformed team:</w:t>
      </w:r>
    </w:p>
    <w:p>
      <w:pPr>
        <w:pStyle w:val="ListParagraph"/>
        <w:numPr>
          <w:ilvl w:val="0"/>
          <w:numId w:val="4"/>
        </w:numPr>
        <w:spacing w:after="80" w:line="270"/>
      </w:pPr>
      <w:r>
        <w:rPr>
          <w:b/>
          <w:bCs/>
        </w:rPr>
        <w:t xml:space="preserve">Craft is scored; taste is judged.</w:t>
      </w:r>
      <w:r>
        <w:t xml:space="preserve"> Objective quality (accessibility, contrast, tokens, completeness of states) is measured and enforced automatically; the genuine experience and brand calls are handed to a person at a designed gate.</w:t>
      </w:r>
    </w:p>
    <w:p>
      <w:pPr>
        <w:pStyle w:val="ListParagraph"/>
        <w:numPr>
          <w:ilvl w:val="0"/>
          <w:numId w:val="4"/>
        </w:numPr>
        <w:spacing w:after="80" w:line="270"/>
      </w:pPr>
      <w:r>
        <w:rPr>
          <w:b/>
          <w:bCs/>
        </w:rPr>
        <w:t xml:space="preserve">Automate everything around the taste call.</w:t>
      </w:r>
      <w:r>
        <w:t xml:space="preserve"> Compute the evidence, render the comparison, pre-reject the broken, and hand a person a twenty-second decision — making human judgment cheap and rare, not absent.</w:t>
      </w:r>
    </w:p>
    <w:p>
      <w:pPr>
        <w:pStyle w:val="ListParagraph"/>
        <w:numPr>
          <w:ilvl w:val="0"/>
          <w:numId w:val="4"/>
        </w:numPr>
        <w:spacing w:after="80" w:line="270"/>
      </w:pPr>
      <w:r>
        <w:rPr>
          <w:b/>
          <w:bCs/>
        </w:rPr>
        <w:t xml:space="preserve">Criteria-as-executable-checks.</w:t>
      </w:r>
      <w:r>
        <w:t xml:space="preserve"> The team’s standards become the gates the machine enforces. Verification is enforcement.</w:t>
      </w:r>
    </w:p>
    <w:p>
      <w:pPr>
        <w:pStyle w:val="ListParagraph"/>
        <w:numPr>
          <w:ilvl w:val="0"/>
          <w:numId w:val="4"/>
        </w:numPr>
        <w:spacing w:after="80" w:line="270"/>
      </w:pPr>
      <w:r>
        <w:rPr>
          <w:b/>
          <w:bCs/>
        </w:rPr>
        <w:t xml:space="preserve">Gated canon.</w:t>
      </w:r>
      <w:r>
        <w:t xml:space="preserve"> Judgment is spent once and reused infinitely, and a certified component cannot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2"/>
              <w:left w:val="single" w:color="2E6CA4" w:sz="18"/>
              <w:bottom w:val="single" w:color="C9D4E0" w:sz="2"/>
              <w:right w:val="single" w:color="C9D4E0" w:sz="2"/>
            </w:tcBorders>
            <w:shd w:fill="EEF6EE" w:val="clear"/>
            <w:tcMar>
              <w:top w:type="dxa" w:w="130"/>
              <w:left w:type="dxa" w:w="200"/>
              <w:bottom w:type="dxa" w:w="130"/>
              <w:right w:type="dxa" w:w="200"/>
            </w:tcMar>
          </w:tcPr>
          <w:p>
            <w:pPr>
              <w:spacing w:after="0" w:line="280"/>
            </w:pPr>
            <w:r>
              <w:t xml:space="preserve">The case is therefore not “trust us to figure out AI.” It is: </w:t>
            </w:r>
            <w:r>
              <w:rPr>
                <w:b/>
                <w:bCs/>
              </w:rPr>
              <w:t xml:space="preserve">we have already prototyped the future operating model — fund us to run the team on it.</w:t>
            </w:r>
            <w:r>
              <w:t xml:space="preserve"> The transformation is de-risked because the engine already exists.</w:t>
            </w:r>
          </w:p>
        </w:tc>
      </w:tr>
    </w:tbl>
    <w:p>
      <w:pPr>
        <w:pStyle w:val="Heading1"/>
      </w:pPr>
      <w:r>
        <w:t xml:space="preserve">6.  The new operating model and team</w:t>
      </w:r>
    </w:p>
    <w:p>
      <w:pPr>
        <w:spacing w:after="140" w:line="276"/>
      </w:pPr>
      <w:r>
        <w:t xml:space="preserve">The new model has three layers: a Machine that does the production labour (generation from the gated canon, the objective gates, composition of certified parts); a Standards layer of encoded human judgment that the Machine enforces (the canon, the criteria, the gates); and a Human layer that spends its scarce hours on experience strategy, research, curation, governance and the rare taste calls. The team gets smaller, more senior, and gains an engineering spine it never had.</w:t>
      </w:r>
    </w:p>
    <w:p>
      <w:pPr>
        <w:pStyle w:val="Heading2"/>
      </w:pPr>
      <w:r>
        <w:t xml:space="preserve">How today’s roles become tomorrow’s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860"/>
        <w:gridCol w:w="3800"/>
      </w:tblGrid>
      <w:tr>
        <w:trPr>
          <w:tblHeader/>
        </w:trPr>
        <w:tc>
          <w:tcPr>
            <w:tcW w:type="dxa" w:w="2700"/>
            <w:tcBorders>
              <w:top w:val="single" w:color="C9D4E0" w:sz="2"/>
              <w:left w:val="single" w:color="C9D4E0" w:sz="2"/>
              <w:bottom w:val="single" w:color="C9D4E0" w:sz="2"/>
              <w:right w:val="single" w:color="C9D4E0" w:sz="2"/>
            </w:tcBorders>
            <w:shd w:fill="1F3A5F" w:val="clear"/>
            <w:tcMar>
              <w:top w:type="dxa" w:w="70"/>
              <w:left w:type="dxa" w:w="130"/>
              <w:bottom w:type="dxa" w:w="70"/>
              <w:right w:type="dxa" w:w="130"/>
            </w:tcMar>
            <w:vAlign w:val="center"/>
          </w:tcPr>
          <w:p>
            <w:pPr>
              <w:spacing w:after="0" w:line="264"/>
            </w:pPr>
            <w:r>
              <w:rPr>
                <w:b/>
                <w:bCs/>
                <w:color w:val="FFFFFF"/>
                <w:sz w:val="19"/>
                <w:szCs w:val="19"/>
              </w:rPr>
              <w:t xml:space="preserve">Today (Design Delivery)</w:t>
            </w:r>
          </w:p>
        </w:tc>
        <w:tc>
          <w:tcPr>
            <w:tcW w:type="dxa" w:w="2860"/>
            <w:tcBorders>
              <w:top w:val="single" w:color="C9D4E0" w:sz="2"/>
              <w:left w:val="single" w:color="C9D4E0" w:sz="2"/>
              <w:bottom w:val="single" w:color="C9D4E0" w:sz="2"/>
              <w:right w:val="single" w:color="C9D4E0" w:sz="2"/>
            </w:tcBorders>
            <w:shd w:fill="1F3A5F" w:val="clear"/>
            <w:tcMar>
              <w:top w:type="dxa" w:w="70"/>
              <w:left w:type="dxa" w:w="130"/>
              <w:bottom w:type="dxa" w:w="70"/>
              <w:right w:type="dxa" w:w="130"/>
            </w:tcMar>
            <w:vAlign w:val="center"/>
          </w:tcPr>
          <w:p>
            <w:pPr>
              <w:spacing w:after="0" w:line="264"/>
            </w:pPr>
            <w:r>
              <w:rPr>
                <w:b/>
                <w:bCs/>
                <w:color w:val="FFFFFF"/>
                <w:sz w:val="19"/>
                <w:szCs w:val="19"/>
              </w:rPr>
              <w:t xml:space="preserve">Tomorrow (Digital Experience)</w:t>
            </w:r>
          </w:p>
        </w:tc>
        <w:tc>
          <w:tcPr>
            <w:tcW w:type="dxa" w:w="3800"/>
            <w:tcBorders>
              <w:top w:val="single" w:color="C9D4E0" w:sz="2"/>
              <w:left w:val="single" w:color="C9D4E0" w:sz="2"/>
              <w:bottom w:val="single" w:color="C9D4E0" w:sz="2"/>
              <w:right w:val="single" w:color="C9D4E0" w:sz="2"/>
            </w:tcBorders>
            <w:shd w:fill="1F3A5F" w:val="clear"/>
            <w:tcMar>
              <w:top w:type="dxa" w:w="70"/>
              <w:left w:type="dxa" w:w="130"/>
              <w:bottom w:type="dxa" w:w="70"/>
              <w:right w:type="dxa" w:w="130"/>
            </w:tcMar>
            <w:vAlign w:val="center"/>
          </w:tcPr>
          <w:p>
            <w:pPr>
              <w:spacing w:after="0" w:line="264"/>
            </w:pPr>
            <w:r>
              <w:rPr>
                <w:b/>
                <w:bCs/>
                <w:color w:val="FFFFFF"/>
                <w:sz w:val="19"/>
                <w:szCs w:val="19"/>
              </w:rPr>
              <w:t xml:space="preserve">What changes</w:t>
            </w:r>
          </w:p>
        </w:tc>
      </w:tr>
      <w:tr>
        <w:tc>
          <w:tcPr>
            <w:tcW w:type="dxa" w:w="270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Production / UI designer</w:t>
            </w:r>
          </w:p>
        </w:tc>
        <w:tc>
          <w:tcPr>
            <w:tcW w:type="dxa" w:w="286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Experience designer &amp; criteria author</w:t>
            </w:r>
          </w:p>
        </w:tc>
        <w:tc>
          <w:tcPr>
            <w:tcW w:type="dxa" w:w="380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Stops drawing every screen; starts defining what “good” is and judging the machine’s output. Fewer, more senior.</w:t>
            </w:r>
          </w:p>
        </w:tc>
      </w:tr>
      <w:tr>
        <w:tc>
          <w:tcPr>
            <w:tcW w:type="dxa" w:w="270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Design-system / component designer</w:t>
            </w:r>
          </w:p>
        </w:tc>
        <w:tc>
          <w:tcPr>
            <w:tcW w:type="dxa" w:w="286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Canon steward</w:t>
            </w:r>
          </w:p>
        </w:tc>
        <w:tc>
          <w:tcPr>
            <w:tcW w:type="dxa" w:w="380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Spends judgment once, enforced forever. One good decision propagates everywhere and cannot drift.</w:t>
            </w:r>
          </w:p>
        </w:tc>
      </w:tr>
      <w:tr>
        <w:tc>
          <w:tcPr>
            <w:tcW w:type="dxa" w:w="270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(did not exist)</w:t>
            </w:r>
          </w:p>
        </w:tc>
        <w:tc>
          <w:tcPr>
            <w:tcW w:type="dxa" w:w="286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Design-system / experience engineer</w:t>
            </w:r>
          </w:p>
        </w:tc>
        <w:tc>
          <w:tcPr>
            <w:tcW w:type="dxa" w:w="380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The new spine: builds and maintains the harness, gates and generation pipeline — the design–code bridge.</w:t>
            </w:r>
          </w:p>
        </w:tc>
      </w:tr>
      <w:tr>
        <w:tc>
          <w:tcPr>
            <w:tcW w:type="dxa" w:w="270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Researcher (often cut first)</w:t>
            </w:r>
          </w:p>
        </w:tc>
        <w:tc>
          <w:tcPr>
            <w:tcW w:type="dxa" w:w="286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Experience researcher (elevated)</w:t>
            </w:r>
          </w:p>
        </w:tc>
        <w:tc>
          <w:tcPr>
            <w:tcW w:type="dxa" w:w="380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Moves to the front of the value chain: knowing what to build and whether it worked is now scarce.</w:t>
            </w:r>
          </w:p>
        </w:tc>
      </w:tr>
      <w:tr>
        <w:tc>
          <w:tcPr>
            <w:tcW w:type="dxa" w:w="270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UX writer</w:t>
            </w:r>
          </w:p>
        </w:tc>
        <w:tc>
          <w:tcPr>
            <w:tcW w:type="dxa" w:w="286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Content &amp; tone governor</w:t>
            </w:r>
          </w:p>
        </w:tc>
        <w:tc>
          <w:tcPr>
            <w:tcW w:type="dxa" w:w="380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Encodes tone-of-voice as an enforceable check; content quality is governed, not hand-written per screen.</w:t>
            </w:r>
          </w:p>
        </w:tc>
      </w:tr>
      <w:tr>
        <w:tc>
          <w:tcPr>
            <w:tcW w:type="dxa" w:w="270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(scattered / informal)</w:t>
            </w:r>
          </w:p>
        </w:tc>
        <w:tc>
          <w:tcPr>
            <w:tcW w:type="dxa" w:w="286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DesignOps / governance lead</w:t>
            </w:r>
          </w:p>
        </w:tc>
        <w:tc>
          <w:tcPr>
            <w:tcW w:type="dxa" w:w="380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Owns the gate model, the compliance bar and auditability — a senior, central role in a regulated org.</w:t>
            </w:r>
          </w:p>
        </w:tc>
      </w:tr>
      <w:tr>
        <w:tc>
          <w:tcPr>
            <w:tcW w:type="dxa" w:w="270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Design manager</w:t>
            </w:r>
          </w:p>
        </w:tc>
        <w:tc>
          <w:tcPr>
            <w:tcW w:type="dxa" w:w="286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Experience lead / orchestrator</w:t>
            </w:r>
          </w:p>
        </w:tc>
        <w:tc>
          <w:tcPr>
            <w:tcW w:type="dxa" w:w="380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Manages a system and outcomes rather than artifact throughput.</w:t>
            </w:r>
          </w:p>
        </w:tc>
      </w:tr>
    </w:tbl>
    <w:p>
      <w:pPr>
        <w:spacing w:after="140" w:before="140" w:line="276"/>
      </w:pPr>
      <w:r>
        <w:t xml:space="preserve">The team measures itself differently too: </w:t>
      </w:r>
      <w:r>
        <w:rPr>
          <w:b/>
          <w:bCs/>
        </w:rPr>
        <w:t xml:space="preserve">time-to-trustworthy-prototype</w:t>
      </w:r>
      <w:r>
        <w:t xml:space="preserve">, governed-quality rate, compliance caught before ship, canon reuse, and research-validated outcomes — not “artifacts shipped.”</w:t>
      </w:r>
    </w:p>
    <w:p>
      <w:pPr>
        <w:pStyle w:val="Heading1"/>
      </w:pPr>
      <w:r>
        <w:t xml:space="preserve">7.  The plan</w:t>
      </w:r>
    </w:p>
    <w:p>
      <w:pPr>
        <w:spacing w:after="140" w:line="276"/>
      </w:pPr>
      <w:r>
        <w:t xml:space="preserve">The transformation runs in four phases, paced to the maturity of the Smart Design System so the team change is always backed by working proof, never by promise. The governing rule: capability gates the people change, never the reverse.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C9D4E0" w:sz="2"/>
              <w:left w:val="single" w:color="C9D4E0" w:sz="2"/>
              <w:bottom w:val="single" w:color="C9D4E0" w:sz="2"/>
              <w:right w:val="single" w:color="C9D4E0" w:sz="2"/>
            </w:tcBorders>
            <w:shd w:fill="1F3A5F" w:val="clear"/>
            <w:tcMar>
              <w:top w:type="dxa" w:w="70"/>
              <w:left w:type="dxa" w:w="130"/>
              <w:bottom w:type="dxa" w:w="70"/>
              <w:right w:type="dxa" w:w="130"/>
            </w:tcMar>
            <w:vAlign w:val="center"/>
          </w:tcPr>
          <w:p>
            <w:pPr>
              <w:spacing w:after="0" w:line="264"/>
            </w:pPr>
            <w:r>
              <w:rPr>
                <w:b/>
                <w:bCs/>
                <w:color w:val="FFFFFF"/>
                <w:sz w:val="19"/>
                <w:szCs w:val="19"/>
              </w:rPr>
              <w:t xml:space="preserve">Phase</w:t>
            </w:r>
          </w:p>
        </w:tc>
        <w:tc>
          <w:tcPr>
            <w:tcW w:type="dxa" w:w="4060"/>
            <w:tcBorders>
              <w:top w:val="single" w:color="C9D4E0" w:sz="2"/>
              <w:left w:val="single" w:color="C9D4E0" w:sz="2"/>
              <w:bottom w:val="single" w:color="C9D4E0" w:sz="2"/>
              <w:right w:val="single" w:color="C9D4E0" w:sz="2"/>
            </w:tcBorders>
            <w:shd w:fill="1F3A5F" w:val="clear"/>
            <w:tcMar>
              <w:top w:type="dxa" w:w="70"/>
              <w:left w:type="dxa" w:w="130"/>
              <w:bottom w:type="dxa" w:w="70"/>
              <w:right w:type="dxa" w:w="130"/>
            </w:tcMar>
            <w:vAlign w:val="center"/>
          </w:tcPr>
          <w:p>
            <w:pPr>
              <w:spacing w:after="0" w:line="264"/>
            </w:pPr>
            <w:r>
              <w:rPr>
                <w:b/>
                <w:bCs/>
                <w:color w:val="FFFFFF"/>
                <w:sz w:val="19"/>
                <w:szCs w:val="19"/>
              </w:rPr>
              <w:t xml:space="preserve">Goal</w:t>
            </w:r>
          </w:p>
        </w:tc>
        <w:tc>
          <w:tcPr>
            <w:tcW w:type="dxa" w:w="3400"/>
            <w:tcBorders>
              <w:top w:val="single" w:color="C9D4E0" w:sz="2"/>
              <w:left w:val="single" w:color="C9D4E0" w:sz="2"/>
              <w:bottom w:val="single" w:color="C9D4E0" w:sz="2"/>
              <w:right w:val="single" w:color="C9D4E0" w:sz="2"/>
            </w:tcBorders>
            <w:shd w:fill="1F3A5F" w:val="clear"/>
            <w:tcMar>
              <w:top w:type="dxa" w:w="70"/>
              <w:left w:type="dxa" w:w="130"/>
              <w:bottom w:type="dxa" w:w="70"/>
              <w:right w:type="dxa" w:w="130"/>
            </w:tcMar>
            <w:vAlign w:val="center"/>
          </w:tcPr>
          <w:p>
            <w:pPr>
              <w:spacing w:after="0" w:line="264"/>
            </w:pPr>
            <w:r>
              <w:rPr>
                <w:b/>
                <w:bCs/>
                <w:color w:val="FFFFFF"/>
                <w:sz w:val="19"/>
                <w:szCs w:val="19"/>
              </w:rPr>
              <w:t xml:space="preserve">Advance only when…</w:t>
            </w:r>
          </w:p>
        </w:tc>
      </w:tr>
      <w:tr>
        <w:tc>
          <w:tcPr>
            <w:tcW w:type="dxa" w:w="190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0 · Prove
(now)</w:t>
            </w:r>
          </w:p>
        </w:tc>
        <w:tc>
          <w:tcPr>
            <w:tcW w:type="dxa" w:w="406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Demonstrate the loop end-to-end on one real journey; gather the internal evidence.</w:t>
            </w:r>
          </w:p>
        </w:tc>
        <w:tc>
          <w:tcPr>
            <w:tcW w:type="dxa" w:w="340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The proof holds at or above the manual quality baseline.</w:t>
            </w:r>
          </w:p>
        </w:tc>
      </w:tr>
      <w:tr>
        <w:tc>
          <w:tcPr>
            <w:tcW w:type="dxa" w:w="190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1 · Encode
(0–6 mo)</w:t>
            </w:r>
          </w:p>
        </w:tc>
        <w:tc>
          <w:tcPr>
            <w:tcW w:type="dxa" w:w="406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Turn the team’s standards into the system; seed new roles from existing people.</w:t>
            </w:r>
          </w:p>
        </w:tc>
        <w:tc>
          <w:tcPr>
            <w:tcW w:type="dxa" w:w="340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Enough of the area is covered by canon + gates to run a real workflow; the reskilling map is credible.</w:t>
            </w:r>
          </w:p>
        </w:tc>
      </w:tr>
      <w:tr>
        <w:tc>
          <w:tcPr>
            <w:tcW w:type="dxa" w:w="190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2 · Shift
(6–12 mo)</w:t>
            </w:r>
          </w:p>
        </w:tc>
        <w:tc>
          <w:tcPr>
            <w:tcW w:type="dxa" w:w="406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Make the governed system the default for one area; redirect human hours to criteria, research, judgment. Run old and new in parallel.</w:t>
            </w:r>
          </w:p>
        </w:tc>
        <w:tc>
          <w:tcPr>
            <w:tcW w:type="dxa" w:w="3400"/>
            <w:tcBorders>
              <w:top w:val="single" w:color="C9D4E0" w:sz="2"/>
              <w:left w:val="single" w:color="C9D4E0" w:sz="2"/>
              <w:bottom w:val="single" w:color="C9D4E0" w:sz="2"/>
              <w:right w:val="single" w:color="C9D4E0" w:sz="2"/>
            </w:tcBorders>
            <w:shd w:fill="FFFFFF" w:val="clear"/>
            <w:tcMar>
              <w:top w:type="dxa" w:w="70"/>
              <w:left w:type="dxa" w:w="130"/>
              <w:bottom w:type="dxa" w:w="70"/>
              <w:right w:type="dxa" w:w="130"/>
            </w:tcMar>
            <w:vAlign w:val="center"/>
          </w:tcPr>
          <w:p>
            <w:pPr>
              <w:spacing w:after="0" w:line="264"/>
            </w:pPr>
            <w:r>
              <w:t xml:space="preserve">The new model matches or beats the old on quality and outcome while freeing senior time.</w:t>
            </w:r>
          </w:p>
        </w:tc>
      </w:tr>
      <w:tr>
        <w:tc>
          <w:tcPr>
            <w:tcW w:type="dxa" w:w="190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3 · Scale &amp; re-charter
(12–18 mo)</w:t>
            </w:r>
          </w:p>
        </w:tc>
        <w:tc>
          <w:tcPr>
            <w:tcW w:type="dxa" w:w="406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Roll across the portfolio; formalise the Digital Experience charter; open the new-value story.</w:t>
            </w:r>
          </w:p>
        </w:tc>
        <w:tc>
          <w:tcPr>
            <w:tcW w:type="dxa" w:w="3400"/>
            <w:tcBorders>
              <w:top w:val="single" w:color="C9D4E0" w:sz="2"/>
              <w:left w:val="single" w:color="C9D4E0" w:sz="2"/>
              <w:bottom w:val="single" w:color="C9D4E0" w:sz="2"/>
              <w:right w:val="single" w:color="C9D4E0" w:sz="2"/>
            </w:tcBorders>
            <w:shd w:fill="F4F7FA" w:val="clear"/>
            <w:tcMar>
              <w:top w:type="dxa" w:w="70"/>
              <w:left w:type="dxa" w:w="130"/>
              <w:bottom w:type="dxa" w:w="70"/>
              <w:right w:type="dxa" w:w="130"/>
            </w:tcMar>
            <w:vAlign w:val="center"/>
          </w:tcPr>
          <w:p>
            <w:pPr>
              <w:spacing w:after="0" w:line="264"/>
            </w:pPr>
            <w:r>
              <w:t xml:space="preserve">Coverage and adoption are proven; other teams consume the infrastructure.</w:t>
            </w:r>
          </w:p>
        </w:tc>
      </w:tr>
    </w:tbl>
    <w:p>
      <w:pPr>
        <w:pStyle w:val="Heading1"/>
      </w:pPr>
      <w:r>
        <w:t xml:space="preserve">8.  The people</w:t>
      </w:r>
    </w:p>
    <w:p>
      <w:pPr>
        <w:spacing w:after="140" w:line="276"/>
      </w:pPr>
      <w:r>
        <w:t xml:space="preserve">This transformation reduces the number of pure-production design roles, and pretending otherwise would discredit the whole case. But the honest, defensible position is not “AI lets us cut the team.” It is: </w:t>
      </w:r>
      <w:r>
        <w:rPr>
          <w:b/>
          <w:bCs/>
        </w:rPr>
        <w:t xml:space="preserve">we are moving the team up the value chain, and that means a different, smaller, more senior shape, with a real plan for the people affected.</w:t>
      </w:r>
    </w:p>
    <w:p>
      <w:pPr>
        <w:spacing w:after="140" w:line="276"/>
      </w:pPr>
      <w:r>
        <w:t xml:space="preserve">Some production roles convert to higher-value ones — canon steward, criteria author, experience engineer, governance lead — and the plan’s first job is to map every affected person to a possible new role before treating any role as surplus. Where someone is genuinely better placed elsewhere, that is handled with transparency, time, reskilling options and a dignified process. How leaving people are treated is watched closely by those who stay.</w:t>
      </w:r>
    </w:p>
    <w:p>
      <w:pPr>
        <w:spacing w:after="140" w:line="276"/>
      </w:pPr>
      <w:r>
        <w:t xml:space="preserve">The single biggest mistake to avoid is cutting the scarce capabilities — research and judgment — to preserve production headcount. </w:t>
      </w:r>
      <w:r>
        <w:rPr>
          <w:b/>
          <w:bCs/>
        </w:rPr>
        <w:t xml:space="preserve">That is the transformation in reverse.</w:t>
      </w:r>
      <w:r>
        <w:t xml:space="preserve"> The test of success is not whether the team is smaller, but whether it is more capable in the scarce skills afterwards.</w:t>
      </w:r>
    </w:p>
    <w:p>
      <w:pPr>
        <w:pStyle w:val="Heading1"/>
      </w:pPr>
      <w:r>
        <w:t xml:space="preserve">9.  The upside, and the ask</w:t>
      </w:r>
    </w:p>
    <w:p>
      <w:pPr>
        <w:spacing w:after="140" w:line="276"/>
      </w:pPr>
      <w:r>
        <w:t xml:space="preserve">A Digital Experience team can eventually offer value a delivery team never could: provable compliance at scale as an organisational service, and — as a deliberately flagged horizon-3 bet, not an imminent promise — the same engine pointed at run-time to assemble per-user surfaces where every element is certified and the user only ever sees what they are entitled to. The core case stands without this upside; it is a bonus, not the argument.</w:t>
      </w:r>
    </w:p>
    <w:p>
      <w:pPr>
        <w:spacing w:after="60" w:line="276"/>
      </w:pPr>
      <w:r>
        <w:t xml:space="preserve">What we are asking leadership to back:</w:t>
      </w:r>
    </w:p>
    <w:p>
      <w:pPr>
        <w:pStyle w:val="ListParagraph"/>
        <w:numPr>
          <w:ilvl w:val="0"/>
          <w:numId w:val="2"/>
        </w:numPr>
        <w:spacing w:after="80" w:line="270"/>
      </w:pPr>
      <w:r>
        <w:rPr>
          <w:b/>
          <w:bCs/>
        </w:rPr>
        <w:t xml:space="preserve">A mandate to transform</w:t>
      </w:r>
      <w:r>
        <w:t xml:space="preserve"> — a remit to re-charter the team around the new operating model.</w:t>
      </w:r>
    </w:p>
    <w:p>
      <w:pPr>
        <w:pStyle w:val="ListParagraph"/>
        <w:numPr>
          <w:ilvl w:val="0"/>
          <w:numId w:val="2"/>
        </w:numPr>
        <w:spacing w:after="80" w:line="270"/>
      </w:pPr>
      <w:r>
        <w:rPr>
          <w:b/>
          <w:bCs/>
        </w:rPr>
        <w:t xml:space="preserve">A protected lighthouse</w:t>
      </w:r>
      <w:r>
        <w:t xml:space="preserve"> — one product area to run the new model end to end, shielded from BAU pressure.</w:t>
      </w:r>
    </w:p>
    <w:p>
      <w:pPr>
        <w:pStyle w:val="ListParagraph"/>
        <w:numPr>
          <w:ilvl w:val="0"/>
          <w:numId w:val="2"/>
        </w:numPr>
        <w:spacing w:after="80" w:line="270"/>
      </w:pPr>
      <w:r>
        <w:rPr>
          <w:b/>
          <w:bCs/>
        </w:rPr>
        <w:t xml:space="preserve">Investment in the spine</w:t>
      </w:r>
      <w:r>
        <w:t xml:space="preserve"> — funding for design-engineering capability and a genuine reskilling runway.</w:t>
      </w:r>
    </w:p>
    <w:p>
      <w:pPr>
        <w:pStyle w:val="ListParagraph"/>
        <w:numPr>
          <w:ilvl w:val="0"/>
          <w:numId w:val="2"/>
        </w:numPr>
        <w:spacing w:after="80" w:line="270"/>
      </w:pPr>
      <w:r>
        <w:rPr>
          <w:b/>
          <w:bCs/>
        </w:rPr>
        <w:t xml:space="preserve">Time and air cover</w:t>
      </w:r>
      <w:r>
        <w:t xml:space="preserve"> — the parallel-running period, with patience measured against decision gates.</w:t>
      </w:r>
    </w:p>
    <w:p>
      <w:pPr>
        <w:pStyle w:val="ListParagraph"/>
        <w:numPr>
          <w:ilvl w:val="0"/>
          <w:numId w:val="2"/>
        </w:numPr>
        <w:spacing w:after="80" w:line="270"/>
      </w:pPr>
      <w:r>
        <w:rPr>
          <w:b/>
          <w:bCs/>
        </w:rPr>
        <w:t xml:space="preserve">A named executive sponsor</w:t>
      </w:r>
      <w:r>
        <w:t xml:space="preserve"> who owns the transformation outcome alongside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E0" w:sz="2"/>
              <w:left w:val="single" w:color="2E6CA4" w:sz="18"/>
              <w:bottom w:val="single" w:color="C9D4E0" w:sz="2"/>
              <w:right w:val="single" w:color="C9D4E0" w:sz="2"/>
            </w:tcBorders>
            <w:shd w:fill="EEF3F8" w:val="clear"/>
            <w:tcMar>
              <w:top w:type="dxa" w:w="130"/>
              <w:left w:type="dxa" w:w="200"/>
              <w:bottom w:type="dxa" w:w="130"/>
              <w:right w:type="dxa" w:w="200"/>
            </w:tcMar>
          </w:tcPr>
          <w:p>
            <w:pPr>
              <w:spacing w:after="0" w:line="280"/>
            </w:pPr>
            <w:r>
              <w:t xml:space="preserve">Design execution just became nearly free. Doing the old job faster is a trap. The value has moved to judgment, criteria and governance — and we have already built the machine that operationalises that move. Fund us to run the team on it, handle the people transition properly, and we become the team that owns experience </w:t>
            </w:r>
            <w:r>
              <w:rPr>
                <w:i/>
                <w:iCs/>
              </w:rPr>
              <w:t xml:space="preserve">and</w:t>
            </w:r>
            <w:r>
              <w:t xml:space="preserve"> the infrastructure that guarantees it.</w:t>
            </w:r>
          </w:p>
        </w:tc>
      </w:tr>
    </w:tbl>
    <w:p>
      <w:pPr>
        <w:pStyle w:val="Heading1"/>
      </w:pPr>
      <w:r>
        <w:t xml:space="preserve">Evidence &amp; sources</w:t>
      </w:r>
    </w:p>
    <w:p>
      <w:pPr>
        <w:spacing w:after="80" w:line="276"/>
      </w:pPr>
      <w:r>
        <w:rPr>
          <w:color w:val="5A6675"/>
          <w:sz w:val="18"/>
          <w:szCs w:val="18"/>
        </w:rPr>
        <w:t xml:space="preserve">Industry figures cited above are drawn from 2026 design-industry reporting and are indicative of direction and magnitude rather than precise statistics. Selected sources:</w:t>
      </w:r>
    </w:p>
    <w:p>
      <w:pPr>
        <w:spacing w:after="50"/>
      </w:pPr>
      <w:hyperlink w:history="1" r:id="rIdl1thn7gw20_h4dec6vwfr">
        <w:r>
          <w:rPr>
            <w:rStyle w:val="Hyperlink"/>
            <w:sz w:val="18"/>
            <w:szCs w:val="18"/>
          </w:rPr>
          <w:t xml:space="preserve">The State of AI in UX &amp; Product Design: 2026 — Designlab</w:t>
        </w:r>
      </w:hyperlink>
    </w:p>
    <w:p>
      <w:pPr>
        <w:spacing w:after="50"/>
      </w:pPr>
      <w:hyperlink w:history="1" r:id="rIdtjwhlatjh46xnttpptzzk">
        <w:r>
          <w:rPr>
            <w:rStyle w:val="Hyperlink"/>
            <w:sz w:val="18"/>
            <w:szCs w:val="18"/>
          </w:rPr>
          <w:t xml:space="preserve">Design Systems Report 2026 — zeroheight</w:t>
        </w:r>
      </w:hyperlink>
    </w:p>
    <w:p>
      <w:pPr>
        <w:spacing w:after="50"/>
      </w:pPr>
      <w:hyperlink w:history="1" r:id="rIdtc1yt4ia7kcxcmac5gt3-">
        <w:r>
          <w:rPr>
            <w:rStyle w:val="Hyperlink"/>
            <w:sz w:val="18"/>
            <w:szCs w:val="18"/>
          </w:rPr>
          <w:t xml:space="preserve">Design systems team structure in 2026 — Romina Kavcic</w:t>
        </w:r>
      </w:hyperlink>
    </w:p>
    <w:p>
      <w:pPr>
        <w:spacing w:after="50"/>
      </w:pPr>
      <w:hyperlink w:history="1" r:id="rIdxy1jidejlncmvwxfalwmh">
        <w:r>
          <w:rPr>
            <w:rStyle w:val="Hyperlink"/>
            <w:sz w:val="18"/>
            <w:szCs w:val="18"/>
          </w:rPr>
          <w:t xml:space="preserve">10 UX design shifts you can’t ignore in 2026 — UX Collective</w:t>
        </w:r>
      </w:hyperlink>
    </w:p>
    <w:p>
      <w:pPr>
        <w:spacing w:after="50"/>
      </w:pPr>
      <w:hyperlink w:history="1" r:id="rIdunncslez9qr_mo1erefe8">
        <w:r>
          <w:rPr>
            <w:rStyle w:val="Hyperlink"/>
            <w:sz w:val="18"/>
            <w:szCs w:val="18"/>
          </w:rPr>
          <w:t xml:space="preserve">Best AI tools for UI design in 2026 — Emergent</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0" w:sz="4" w:space="6"/>
      </w:pBdr>
      <w:tabs>
        <w:tab w:val="right" w:pos="9360"/>
      </w:tabs>
    </w:pPr>
    <w:r>
      <w:rPr>
        <w:color w:val="5A6675"/>
        <w:sz w:val="16"/>
        <w:szCs w:val="16"/>
      </w:rPr>
      <w:t xml:space="preserve">From Design Delivery to Digital Experience · Draft v0.1</w:t>
    </w:r>
    <w:r>
      <w:rPr>
        <w:sz w:val="16"/>
        <w:szCs w:val="16"/>
      </w:rPr>
      <w:t xml:space="preserve">	</w:t>
    </w:r>
    <w:r>
      <w:rPr>
        <w:color w:val="5A667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before="0"/>
    </w:pPr>
    <w:rPr>
      <w:rFonts w:ascii="Arial" w:cs="Arial" w:eastAsia="Arial" w:hAnsi="Arial"/>
      <w:b/>
      <w:bCs/>
      <w:color w:val="1F3A5F"/>
      <w:sz w:val="52"/>
      <w:szCs w:val="52"/>
    </w:rPr>
  </w:style>
  <w:style w:type="paragraph" w:styleId="Subtitle">
    <w:name w:val="Subtitle"/>
    <w:basedOn w:val="Normal"/>
    <w:next w:val="Normal"/>
    <w:pPr>
      <w:spacing w:after="120" w:before="0"/>
    </w:pPr>
    <w:rPr>
      <w:rFonts w:ascii="Arial" w:cs="Arial" w:eastAsia="Arial" w:hAnsi="Arial"/>
      <w:color w:val="2E6CA4"/>
      <w:sz w:val="26"/>
      <w:szCs w:val="26"/>
    </w:rPr>
  </w:style>
  <w:style w:type="paragraph" w:styleId="Heading1">
    <w:name w:val="Heading 1"/>
    <w:basedOn w:val="Normal"/>
    <w:next w:val="Normal"/>
    <w:qFormat/>
    <w:pPr>
      <w:pBdr>
        <w:bottom w:val="single" w:color="C9D4E0" w:sz="6" w:space="4"/>
      </w:pBdr>
      <w:spacing w:after="14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E6CA4"/>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1thn7gw20_h4dec6vwfr" Type="http://schemas.openxmlformats.org/officeDocument/2006/relationships/hyperlink" Target="https://designlab.com/blog/ai-in-ux-product-design-trends-2026" TargetMode="External"/><Relationship Id="rIdtjwhlatjh46xnttpptzzk" Type="http://schemas.openxmlformats.org/officeDocument/2006/relationships/hyperlink" Target="https://report.zeroheight.com/" TargetMode="External"/><Relationship Id="rIdtc1yt4ia7kcxcmac5gt3-" Type="http://schemas.openxmlformats.org/officeDocument/2006/relationships/hyperlink" Target="https://learn.thedesignsystem.guide/p/design-systems-team-structure-in" TargetMode="External"/><Relationship Id="rIdxy1jidejlncmvwxfalwmh" Type="http://schemas.openxmlformats.org/officeDocument/2006/relationships/hyperlink" Target="https://uxdesign.cc/10-ux-design-shifts-you-cant-ignore-in-2026-8f0da1c6741d" TargetMode="External"/><Relationship Id="rIdunncslez9qr_mo1erefe8" Type="http://schemas.openxmlformats.org/officeDocument/2006/relationships/hyperlink" Target="https://emergent.sh/learn/best-ai-tools-for-ui-design"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2026-06-29T18:22:09.640Z</dcterms:created>
  <dcterms:modified xsi:type="dcterms:W3CDTF">2026-06-29T18:22:09.640Z</dcterms:modified>
</cp:coreProperties>
</file>

<file path=docProps/custom.xml><?xml version="1.0" encoding="utf-8"?>
<Properties xmlns="http://schemas.openxmlformats.org/officeDocument/2006/custom-properties" xmlns:vt="http://schemas.openxmlformats.org/officeDocument/2006/docPropsVTypes"/>
</file>