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783C5832"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D62321">
        <w:rPr>
          <w:rFonts w:ascii="Arial" w:hAnsi="Arial" w:cs="Arial"/>
          <w:b/>
          <w:sz w:val="40"/>
          <w:szCs w:val="32"/>
        </w:rPr>
        <w:t>45</w:t>
      </w:r>
      <w:r w:rsidR="002C194A">
        <w:rPr>
          <w:rFonts w:ascii="Arial" w:hAnsi="Arial" w:cs="Arial"/>
          <w:b/>
          <w:sz w:val="40"/>
          <w:szCs w:val="32"/>
        </w:rPr>
        <w:t xml:space="preserve">, room </w:t>
      </w:r>
      <w:r w:rsidR="00D62321">
        <w:rPr>
          <w:rFonts w:ascii="Arial" w:hAnsi="Arial" w:cs="Arial"/>
          <w:b/>
          <w:sz w:val="40"/>
          <w:szCs w:val="32"/>
        </w:rPr>
        <w:t>256A</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3AB6B7BC"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351E46">
        <w:rPr>
          <w:rFonts w:ascii="Arial" w:hAnsi="Arial" w:cs="Arial"/>
          <w:b/>
          <w:sz w:val="40"/>
          <w:szCs w:val="32"/>
        </w:rPr>
        <w:t>3</w:t>
      </w:r>
      <w:r w:rsidR="00D62321">
        <w:rPr>
          <w:rFonts w:ascii="Arial" w:hAnsi="Arial" w:cs="Arial"/>
          <w:b/>
          <w:sz w:val="40"/>
          <w:szCs w:val="32"/>
        </w:rPr>
        <w:t>3866</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8-26T00:00:00Z">
          <w:dateFormat w:val="MMMM d, yyyy"/>
          <w:lid w:val="en-US"/>
          <w:storeMappedDataAs w:val="dateTime"/>
          <w:calendar w:val="gregorian"/>
        </w:date>
      </w:sdtPr>
      <w:sdtEndPr/>
      <w:sdtContent>
        <w:p w14:paraId="0CC84526" w14:textId="78DE0BF2" w:rsidR="005B4E87" w:rsidRPr="000F5585" w:rsidRDefault="00976172" w:rsidP="00053A1C">
          <w:pPr>
            <w:jc w:val="center"/>
            <w:rPr>
              <w:rFonts w:ascii="Arial" w:hAnsi="Arial" w:cs="Arial"/>
              <w:b/>
              <w:sz w:val="40"/>
              <w:szCs w:val="32"/>
            </w:rPr>
          </w:pPr>
          <w:r>
            <w:rPr>
              <w:rFonts w:ascii="Arial" w:hAnsi="Arial" w:cs="Arial"/>
              <w:b/>
              <w:sz w:val="40"/>
              <w:szCs w:val="32"/>
            </w:rPr>
            <w:t>August 26,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571FB53A"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9-02T00:00:00Z">
            <w:dateFormat w:val="MMMM d, yyyy"/>
            <w:lid w:val="en-US"/>
            <w:storeMappedDataAs w:val="dateTime"/>
            <w:calendar w:val="gregorian"/>
          </w:date>
        </w:sdtPr>
        <w:sdtEndPr/>
        <w:sdtContent>
          <w:r w:rsidR="00976172">
            <w:rPr>
              <w:rFonts w:ascii="Arial" w:hAnsi="Arial" w:cs="Arial"/>
              <w:sz w:val="24"/>
            </w:rPr>
            <w:t>September 2,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11603200" w:rsidR="009C1620" w:rsidRDefault="000E1CCF" w:rsidP="00846916">
      <w:pPr>
        <w:pStyle w:val="ListParagraph"/>
        <w:numPr>
          <w:ilvl w:val="1"/>
          <w:numId w:val="1"/>
        </w:numPr>
        <w:rPr>
          <w:rFonts w:ascii="Arial" w:hAnsi="Arial" w:cs="Arial"/>
          <w:sz w:val="24"/>
          <w:szCs w:val="24"/>
        </w:rPr>
      </w:pPr>
      <w:r>
        <w:rPr>
          <w:rFonts w:ascii="Arial" w:hAnsi="Arial" w:cs="Arial"/>
          <w:sz w:val="24"/>
          <w:szCs w:val="24"/>
        </w:rPr>
        <w:t>Move 1 cat5e</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 xml:space="preserve">room </w:t>
      </w:r>
      <w:r w:rsidR="00976172">
        <w:rPr>
          <w:rFonts w:ascii="Arial" w:hAnsi="Arial" w:cs="Arial"/>
          <w:sz w:val="24"/>
          <w:szCs w:val="24"/>
        </w:rPr>
        <w:t>256</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48256A9" w14:textId="6402BC6A" w:rsidR="00106D23" w:rsidRDefault="00272D32" w:rsidP="00106D23">
      <w:pPr>
        <w:pStyle w:val="ListParagraph"/>
        <w:numPr>
          <w:ilvl w:val="1"/>
          <w:numId w:val="1"/>
        </w:numPr>
        <w:rPr>
          <w:rFonts w:ascii="Arial" w:hAnsi="Arial" w:cs="Arial"/>
          <w:sz w:val="24"/>
          <w:szCs w:val="24"/>
        </w:rPr>
      </w:pPr>
      <w:r w:rsidRPr="00DB0291">
        <w:rPr>
          <w:rFonts w:ascii="Arial" w:hAnsi="Arial" w:cs="Arial"/>
          <w:sz w:val="24"/>
          <w:szCs w:val="24"/>
        </w:rPr>
        <w:t>Refer to the drawing</w:t>
      </w:r>
      <w:r>
        <w:rPr>
          <w:rFonts w:ascii="Arial" w:hAnsi="Arial" w:cs="Arial"/>
          <w:sz w:val="24"/>
          <w:szCs w:val="24"/>
        </w:rPr>
        <w:t xml:space="preserve"> below.</w:t>
      </w:r>
    </w:p>
    <w:p w14:paraId="59CC93BD" w14:textId="0E201733" w:rsidR="00351E46" w:rsidRDefault="00351E46" w:rsidP="00106D23">
      <w:pPr>
        <w:pStyle w:val="ListParagraph"/>
        <w:numPr>
          <w:ilvl w:val="1"/>
          <w:numId w:val="1"/>
        </w:numPr>
        <w:rPr>
          <w:rFonts w:ascii="Arial" w:hAnsi="Arial" w:cs="Arial"/>
          <w:sz w:val="24"/>
          <w:szCs w:val="24"/>
        </w:rPr>
      </w:pPr>
      <w:r>
        <w:rPr>
          <w:rFonts w:ascii="Arial" w:hAnsi="Arial" w:cs="Arial"/>
          <w:sz w:val="24"/>
          <w:szCs w:val="24"/>
        </w:rPr>
        <w:t xml:space="preserve">Move cable inside room </w:t>
      </w:r>
      <w:r w:rsidR="00976172">
        <w:rPr>
          <w:rFonts w:ascii="Arial" w:hAnsi="Arial" w:cs="Arial"/>
          <w:sz w:val="24"/>
          <w:szCs w:val="24"/>
        </w:rPr>
        <w:t>256</w:t>
      </w:r>
      <w:r w:rsidR="008E32C1">
        <w:rPr>
          <w:rFonts w:ascii="Arial" w:hAnsi="Arial" w:cs="Arial"/>
          <w:sz w:val="24"/>
          <w:szCs w:val="24"/>
        </w:rPr>
        <w:t xml:space="preserve"> J03616</w:t>
      </w:r>
      <w:r>
        <w:rPr>
          <w:rFonts w:ascii="Arial" w:hAnsi="Arial" w:cs="Arial"/>
          <w:sz w:val="24"/>
          <w:szCs w:val="24"/>
        </w:rPr>
        <w:t xml:space="preserve"> to </w:t>
      </w:r>
      <w:r w:rsidR="00976172" w:rsidRPr="00976172">
        <w:rPr>
          <w:rFonts w:ascii="Arial" w:hAnsi="Arial" w:cs="Arial"/>
          <w:sz w:val="24"/>
          <w:szCs w:val="24"/>
        </w:rPr>
        <w:t>J04588</w:t>
      </w:r>
      <w:r w:rsidR="00976172">
        <w:rPr>
          <w:rFonts w:ascii="Arial" w:hAnsi="Arial" w:cs="Arial"/>
          <w:sz w:val="24"/>
          <w:szCs w:val="24"/>
        </w:rPr>
        <w:t xml:space="preserve"> in 256A</w:t>
      </w:r>
      <w:r>
        <w:rPr>
          <w:rFonts w:ascii="Arial" w:hAnsi="Arial" w:cs="Arial"/>
          <w:sz w:val="24"/>
          <w:szCs w:val="24"/>
        </w:rPr>
        <w:t>.</w:t>
      </w:r>
    </w:p>
    <w:p w14:paraId="499D7CD2" w14:textId="244002FD"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w:t>
      </w:r>
      <w:r w:rsidR="00351E46">
        <w:rPr>
          <w:rFonts w:ascii="Arial" w:hAnsi="Arial" w:cs="Arial"/>
          <w:sz w:val="24"/>
          <w:szCs w:val="24"/>
        </w:rPr>
        <w:t>5e</w:t>
      </w:r>
      <w:r w:rsidRPr="00CE44FD">
        <w:rPr>
          <w:rFonts w:ascii="Arial" w:hAnsi="Arial" w:cs="Arial"/>
          <w:sz w:val="24"/>
          <w:szCs w:val="24"/>
        </w:rPr>
        <w:t xml:space="preserve"> cables with TIA-568</w:t>
      </w:r>
      <w:r w:rsidR="00351E46">
        <w:rPr>
          <w:rFonts w:ascii="Arial" w:hAnsi="Arial" w:cs="Arial"/>
          <w:sz w:val="24"/>
          <w:szCs w:val="24"/>
        </w:rPr>
        <w:t>A</w:t>
      </w:r>
    </w:p>
    <w:p w14:paraId="4C73EED9" w14:textId="347F43A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Labeling for the new connections on the faceplate and </w:t>
      </w:r>
      <w:r w:rsidR="008C013E">
        <w:rPr>
          <w:rFonts w:ascii="Arial" w:hAnsi="Arial" w:cs="Arial"/>
          <w:sz w:val="24"/>
          <w:szCs w:val="24"/>
        </w:rPr>
        <w:t>a wrap around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Failed cables shall be re-terminated to correct issue. If the cable still fails after re-termination, the cable must demoed and a new cable pulled in its place.</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771D5661" w:rsidR="00AC7EFA" w:rsidRDefault="00AC7EFA" w:rsidP="0058539C">
      <w:pPr>
        <w:pStyle w:val="ListParagraph"/>
        <w:ind w:left="2160"/>
        <w:rPr>
          <w:rFonts w:ascii="Arial" w:hAnsi="Arial" w:cs="Arial"/>
          <w:sz w:val="24"/>
          <w:szCs w:val="24"/>
        </w:rPr>
      </w:pPr>
    </w:p>
    <w:p w14:paraId="0DF8FFF3" w14:textId="0957E081"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lastRenderedPageBreak/>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2828BCF4" w:rsidR="00272D32" w:rsidRDefault="00976172" w:rsidP="00590381">
      <w:pPr>
        <w:pStyle w:val="ListParagraph"/>
        <w:rPr>
          <w:rFonts w:ascii="Arial" w:hAnsi="Arial" w:cs="Arial"/>
          <w:sz w:val="24"/>
          <w:szCs w:val="24"/>
        </w:rPr>
      </w:pPr>
      <w:r>
        <w:rPr>
          <w:noProof/>
        </w:rPr>
        <w:lastRenderedPageBreak/>
        <w:drawing>
          <wp:inline distT="0" distB="0" distL="0" distR="0" wp14:anchorId="3DE59729" wp14:editId="358B09B2">
            <wp:extent cx="6492240" cy="73094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7309485"/>
                    </a:xfrm>
                    <a:prstGeom prst="rect">
                      <a:avLst/>
                    </a:prstGeom>
                  </pic:spPr>
                </pic:pic>
              </a:graphicData>
            </a:graphic>
          </wp:inline>
        </w:drawing>
      </w: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534910BC" w:rsidR="00F84E3F" w:rsidRPr="000C3437"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lastRenderedPageBreak/>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1A09B" w14:textId="77777777" w:rsidR="00B80245" w:rsidRDefault="00B80245" w:rsidP="00F94069">
      <w:pPr>
        <w:spacing w:after="0" w:line="240" w:lineRule="auto"/>
      </w:pPr>
      <w:r>
        <w:separator/>
      </w:r>
    </w:p>
  </w:endnote>
  <w:endnote w:type="continuationSeparator" w:id="0">
    <w:p w14:paraId="3442F8B8" w14:textId="77777777" w:rsidR="00B80245" w:rsidRDefault="00B80245"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54BBB" w14:textId="77777777" w:rsidR="00B80245" w:rsidRDefault="00B80245" w:rsidP="00F94069">
      <w:pPr>
        <w:spacing w:after="0" w:line="240" w:lineRule="auto"/>
      </w:pPr>
      <w:r>
        <w:separator/>
      </w:r>
    </w:p>
  </w:footnote>
  <w:footnote w:type="continuationSeparator" w:id="0">
    <w:p w14:paraId="1576E440" w14:textId="77777777" w:rsidR="00B80245" w:rsidRDefault="00B80245"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556E"/>
    <w:rsid w:val="000C3437"/>
    <w:rsid w:val="000C4E14"/>
    <w:rsid w:val="000E1CCF"/>
    <w:rsid w:val="000F5585"/>
    <w:rsid w:val="001031F1"/>
    <w:rsid w:val="00106D23"/>
    <w:rsid w:val="00124250"/>
    <w:rsid w:val="00126BE8"/>
    <w:rsid w:val="00135CFE"/>
    <w:rsid w:val="00154604"/>
    <w:rsid w:val="00156826"/>
    <w:rsid w:val="0016182D"/>
    <w:rsid w:val="00162C10"/>
    <w:rsid w:val="00171ABF"/>
    <w:rsid w:val="0018296E"/>
    <w:rsid w:val="00184C05"/>
    <w:rsid w:val="00187405"/>
    <w:rsid w:val="001910B3"/>
    <w:rsid w:val="0019392C"/>
    <w:rsid w:val="001A51F4"/>
    <w:rsid w:val="001C5F77"/>
    <w:rsid w:val="001D1962"/>
    <w:rsid w:val="001D5AA4"/>
    <w:rsid w:val="00206709"/>
    <w:rsid w:val="00217893"/>
    <w:rsid w:val="00233048"/>
    <w:rsid w:val="0024118F"/>
    <w:rsid w:val="00247F90"/>
    <w:rsid w:val="00262CA2"/>
    <w:rsid w:val="00267F74"/>
    <w:rsid w:val="00272D32"/>
    <w:rsid w:val="00277176"/>
    <w:rsid w:val="00277523"/>
    <w:rsid w:val="00291666"/>
    <w:rsid w:val="00297BA5"/>
    <w:rsid w:val="002A7603"/>
    <w:rsid w:val="002B1379"/>
    <w:rsid w:val="002B7E7E"/>
    <w:rsid w:val="002C194A"/>
    <w:rsid w:val="002E063C"/>
    <w:rsid w:val="002E7BD3"/>
    <w:rsid w:val="002F37B9"/>
    <w:rsid w:val="003238A3"/>
    <w:rsid w:val="003270F1"/>
    <w:rsid w:val="00351E46"/>
    <w:rsid w:val="003534B5"/>
    <w:rsid w:val="003645E9"/>
    <w:rsid w:val="003720A5"/>
    <w:rsid w:val="00375247"/>
    <w:rsid w:val="00375D79"/>
    <w:rsid w:val="00382ACC"/>
    <w:rsid w:val="003A6D35"/>
    <w:rsid w:val="003B16DF"/>
    <w:rsid w:val="003B62B9"/>
    <w:rsid w:val="003B77D8"/>
    <w:rsid w:val="003D231B"/>
    <w:rsid w:val="003E6E79"/>
    <w:rsid w:val="0040618C"/>
    <w:rsid w:val="004077F0"/>
    <w:rsid w:val="00413D97"/>
    <w:rsid w:val="004501CA"/>
    <w:rsid w:val="0046570E"/>
    <w:rsid w:val="00466DC6"/>
    <w:rsid w:val="00486309"/>
    <w:rsid w:val="0048684A"/>
    <w:rsid w:val="004873E9"/>
    <w:rsid w:val="00492BD5"/>
    <w:rsid w:val="004C7528"/>
    <w:rsid w:val="004E2986"/>
    <w:rsid w:val="004E34A5"/>
    <w:rsid w:val="004E354D"/>
    <w:rsid w:val="004E45EB"/>
    <w:rsid w:val="00514AFD"/>
    <w:rsid w:val="00515C86"/>
    <w:rsid w:val="00523D8E"/>
    <w:rsid w:val="00524A04"/>
    <w:rsid w:val="005305A7"/>
    <w:rsid w:val="00551AF2"/>
    <w:rsid w:val="005523A5"/>
    <w:rsid w:val="0055547B"/>
    <w:rsid w:val="0056491E"/>
    <w:rsid w:val="005674A8"/>
    <w:rsid w:val="0058539C"/>
    <w:rsid w:val="00590381"/>
    <w:rsid w:val="005A3DC2"/>
    <w:rsid w:val="005A6ED1"/>
    <w:rsid w:val="005B4E87"/>
    <w:rsid w:val="005C61A2"/>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32C1"/>
    <w:rsid w:val="008E4216"/>
    <w:rsid w:val="009000D3"/>
    <w:rsid w:val="009059B8"/>
    <w:rsid w:val="00914F35"/>
    <w:rsid w:val="009174C8"/>
    <w:rsid w:val="00936255"/>
    <w:rsid w:val="00936957"/>
    <w:rsid w:val="00964309"/>
    <w:rsid w:val="00976172"/>
    <w:rsid w:val="009769A1"/>
    <w:rsid w:val="009A7AD3"/>
    <w:rsid w:val="009B0AB8"/>
    <w:rsid w:val="009C1620"/>
    <w:rsid w:val="009E3170"/>
    <w:rsid w:val="009F03B6"/>
    <w:rsid w:val="00A00BAC"/>
    <w:rsid w:val="00A157FD"/>
    <w:rsid w:val="00A20577"/>
    <w:rsid w:val="00A21709"/>
    <w:rsid w:val="00A33CB7"/>
    <w:rsid w:val="00A40376"/>
    <w:rsid w:val="00A41E5F"/>
    <w:rsid w:val="00A42BD0"/>
    <w:rsid w:val="00A6504D"/>
    <w:rsid w:val="00A67BFC"/>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0245"/>
    <w:rsid w:val="00B837C6"/>
    <w:rsid w:val="00B92FD9"/>
    <w:rsid w:val="00BC5089"/>
    <w:rsid w:val="00BD3D62"/>
    <w:rsid w:val="00BE57AC"/>
    <w:rsid w:val="00BE64F6"/>
    <w:rsid w:val="00C3787C"/>
    <w:rsid w:val="00C669CF"/>
    <w:rsid w:val="00C75FB6"/>
    <w:rsid w:val="00C936C1"/>
    <w:rsid w:val="00CA5436"/>
    <w:rsid w:val="00CA63B0"/>
    <w:rsid w:val="00CA67B5"/>
    <w:rsid w:val="00CB2A1D"/>
    <w:rsid w:val="00CB470B"/>
    <w:rsid w:val="00CD09CA"/>
    <w:rsid w:val="00CD6ED2"/>
    <w:rsid w:val="00CE2B8B"/>
    <w:rsid w:val="00CE44FD"/>
    <w:rsid w:val="00D06437"/>
    <w:rsid w:val="00D36F1C"/>
    <w:rsid w:val="00D40CCD"/>
    <w:rsid w:val="00D62321"/>
    <w:rsid w:val="00D63C9C"/>
    <w:rsid w:val="00D66413"/>
    <w:rsid w:val="00D67B34"/>
    <w:rsid w:val="00D83981"/>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017C2"/>
    <w:rsid w:val="00F045C7"/>
    <w:rsid w:val="00F1224D"/>
    <w:rsid w:val="00F12507"/>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46637D"/>
    <w:rsid w:val="00475715"/>
    <w:rsid w:val="004B094E"/>
    <w:rsid w:val="004C780E"/>
    <w:rsid w:val="004E3E61"/>
    <w:rsid w:val="00564436"/>
    <w:rsid w:val="0067276E"/>
    <w:rsid w:val="007B2AA2"/>
    <w:rsid w:val="00963570"/>
    <w:rsid w:val="00A148CD"/>
    <w:rsid w:val="00B354E6"/>
    <w:rsid w:val="00E56465"/>
    <w:rsid w:val="00F1579C"/>
    <w:rsid w:val="00F3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2.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3.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11</TotalTime>
  <Pages>11</Pages>
  <Words>2195</Words>
  <Characters>12517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4</cp:revision>
  <dcterms:created xsi:type="dcterms:W3CDTF">2022-08-26T19:39:00Z</dcterms:created>
  <dcterms:modified xsi:type="dcterms:W3CDTF">2022-08-26T19:49:00Z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