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pPr>
      <w:r>
        <w:rPr>
          <w:b/>
          <w:bCs/>
          <w:color w:val="1F3864"/>
          <w:sz w:val="48"/>
          <w:szCs w:val="48"/>
        </w:rPr>
        <w:t xml:space="preserve">SkySlope: Audience, Personas &amp; Path to Purchase</w:t>
      </w:r>
    </w:p>
    <w:p>
      <w:pPr>
        <w:spacing w:after="60"/>
      </w:pPr>
      <w:r>
        <w:rPr>
          <w:i/>
          <w:iCs/>
          <w:color w:val="2E74B5"/>
          <w:sz w:val="26"/>
          <w:szCs w:val="26"/>
        </w:rPr>
        <w:t xml:space="preserve">Competitive &amp; Social-Proof Analysis + Audience Growth Engine</w:t>
      </w:r>
    </w:p>
    <w:p>
      <w:pPr>
        <w:pBdr>
          <w:bottom w:val="single" w:color="2E74B5" w:sz="8"/>
        </w:pBdr>
        <w:spacing w:after="360"/>
      </w:pPr>
      <w:r>
        <w:rPr>
          <w:color w:val="595959"/>
          <w:sz w:val="20"/>
          <w:szCs w:val="20"/>
        </w:rPr>
        <w:t xml:space="preserve">Prepared by Click Shift  |  Source: Semrush Position Tracking (Aug 4–10, 2026, 215 keywords) + public review-platform research  |  Companion to the SkySlope Social Media Strategy</w:t>
      </w:r>
    </w:p>
    <w:p>
      <w:pPr>
        <w:pStyle w:val="Heading1"/>
        <w:spacing w:after="140" w:before="280"/>
      </w:pPr>
      <w:r>
        <w:rPr>
          <w:b/>
          <w:bCs/>
          <w:color w:val="1F3864"/>
          <w:sz w:val="30"/>
          <w:szCs w:val="30"/>
        </w:rPr>
        <w:t xml:space="preserve">1. The Competitive Set (From the Ranking Data)</w:t>
      </w:r>
    </w:p>
    <w:p>
      <w:pPr>
        <w:spacing w:after="120"/>
      </w:pPr>
      <w:r>
        <w:rPr>
          <w:rFonts w:ascii="Calibri" w:cs="Calibri" w:eastAsia="Calibri" w:hAnsi="Calibri"/>
          <w:sz w:val="22"/>
          <w:szCs w:val="22"/>
        </w:rPr>
        <w:t xml:space="preserve">The tracking file pits skyslope.com against three tracked competitors across 215 keywords. Each occupies a distinct position in the buyer's research journey: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4140"/>
        <w:gridCol w:w="3420"/>
      </w:tblGrid>
      <w:tr>
        <w:tc>
          <w:tcPr>
            <w:tcW w:type="dxa" w:w="2160"/>
            <w:shd w:fill="DEEBF7" w:val="clear"/>
            <w:tcMar>
              <w:top w:type="dxa" w:w="80"/>
              <w:left w:type="dxa" w:w="120"/>
              <w:bottom w:type="dxa" w:w="80"/>
              <w:right w:type="dxa" w:w="120"/>
            </w:tcMar>
          </w:tcPr>
          <w:p>
            <w:r>
              <w:rPr>
                <w:b/>
                <w:bCs/>
                <w:sz w:val="20"/>
                <w:szCs w:val="20"/>
              </w:rPr>
              <w:t xml:space="preserve">Competitor</w:t>
            </w:r>
          </w:p>
        </w:tc>
        <w:tc>
          <w:tcPr>
            <w:tcW w:type="dxa" w:w="4140"/>
            <w:shd w:fill="DEEBF7" w:val="clear"/>
            <w:tcMar>
              <w:top w:type="dxa" w:w="80"/>
              <w:left w:type="dxa" w:w="120"/>
              <w:bottom w:type="dxa" w:w="80"/>
              <w:right w:type="dxa" w:w="120"/>
            </w:tcMar>
          </w:tcPr>
          <w:p>
            <w:r>
              <w:rPr>
                <w:b/>
                <w:bCs/>
                <w:sz w:val="20"/>
                <w:szCs w:val="20"/>
              </w:rPr>
              <w:t xml:space="preserve">Search footprint (Aug 4–10)</w:t>
            </w:r>
          </w:p>
        </w:tc>
        <w:tc>
          <w:tcPr>
            <w:tcW w:type="dxa" w:w="3420"/>
            <w:shd w:fill="DEEBF7" w:val="clear"/>
            <w:tcMar>
              <w:top w:type="dxa" w:w="80"/>
              <w:left w:type="dxa" w:w="120"/>
              <w:bottom w:type="dxa" w:w="80"/>
              <w:right w:type="dxa" w:w="120"/>
            </w:tcMar>
          </w:tcPr>
          <w:p>
            <w:r>
              <w:rPr>
                <w:b/>
                <w:bCs/>
                <w:sz w:val="20"/>
                <w:szCs w:val="20"/>
              </w:rPr>
              <w:t xml:space="preserve">Strategic identity</w:t>
            </w:r>
          </w:p>
        </w:tc>
      </w:tr>
      <w:tr>
        <w:tc>
          <w:tcPr>
            <w:tcW w:type="dxa" w:w="2160"/>
            <w:tcMar>
              <w:top w:type="dxa" w:w="80"/>
              <w:left w:type="dxa" w:w="120"/>
              <w:bottom w:type="dxa" w:w="80"/>
              <w:right w:type="dxa" w:w="120"/>
            </w:tcMar>
          </w:tcPr>
          <w:p>
            <w:r>
              <w:rPr>
                <w:b/>
                <w:bCs/>
                <w:sz w:val="20"/>
                <w:szCs w:val="20"/>
              </w:rPr>
              <w:t xml:space="preserve">Dotloop (Showcase/Zillow heritage)</w:t>
            </w:r>
          </w:p>
        </w:tc>
        <w:tc>
          <w:tcPr>
            <w:tcW w:type="dxa" w:w="4140"/>
            <w:tcMar>
              <w:top w:type="dxa" w:w="80"/>
              <w:left w:type="dxa" w:w="120"/>
              <w:bottom w:type="dxa" w:w="80"/>
              <w:right w:type="dxa" w:w="120"/>
            </w:tcMar>
          </w:tcPr>
          <w:p>
            <w:r>
              <w:rPr>
                <w:b w:val="false"/>
                <w:bCs w:val="false"/>
                <w:sz w:val="20"/>
                <w:szCs w:val="20"/>
              </w:rPr>
              <w:t xml:space="preserve">Ranks on 89 of 215 keywords; 44 top-3; 39 AI-overview placements. #1 on "transaction management," "real estate broker software," "transaction coordinator software."</w:t>
            </w:r>
          </w:p>
        </w:tc>
        <w:tc>
          <w:tcPr>
            <w:tcW w:type="dxa" w:w="3420"/>
            <w:tcMar>
              <w:top w:type="dxa" w:w="80"/>
              <w:left w:type="dxa" w:w="120"/>
              <w:bottom w:type="dxa" w:w="80"/>
              <w:right w:type="dxa" w:w="120"/>
            </w:tcMar>
          </w:tcPr>
          <w:p>
            <w:r>
              <w:rPr>
                <w:b w:val="false"/>
                <w:bCs w:val="false"/>
                <w:sz w:val="20"/>
                <w:szCs w:val="20"/>
              </w:rPr>
              <w:t xml:space="preserve">The incumbent brand. Agent-familiar, huge install base, branded search gravity ("how to... in dotloop" queries).</w:t>
            </w:r>
          </w:p>
        </w:tc>
      </w:tr>
      <w:tr>
        <w:tc>
          <w:tcPr>
            <w:tcW w:type="dxa" w:w="2160"/>
            <w:tcMar>
              <w:top w:type="dxa" w:w="80"/>
              <w:left w:type="dxa" w:w="120"/>
              <w:bottom w:type="dxa" w:w="80"/>
              <w:right w:type="dxa" w:w="120"/>
            </w:tcMar>
          </w:tcPr>
          <w:p>
            <w:r>
              <w:rPr>
                <w:b/>
                <w:bCs/>
                <w:sz w:val="20"/>
                <w:szCs w:val="20"/>
              </w:rPr>
              <w:t xml:space="preserve">Paperless Pipeline</w:t>
            </w:r>
          </w:p>
        </w:tc>
        <w:tc>
          <w:tcPr>
            <w:tcW w:type="dxa" w:w="4140"/>
            <w:tcMar>
              <w:top w:type="dxa" w:w="80"/>
              <w:left w:type="dxa" w:w="120"/>
              <w:bottom w:type="dxa" w:w="80"/>
              <w:right w:type="dxa" w:w="120"/>
            </w:tcMar>
          </w:tcPr>
          <w:p>
            <w:r>
              <w:rPr>
                <w:b w:val="false"/>
                <w:bCs w:val="false"/>
                <w:sz w:val="20"/>
                <w:szCs w:val="20"/>
              </w:rPr>
              <w:t xml:space="preserve">Ranks on 60; 28 top-3; 28 AI overviews — and #1 on the money term "real estate transaction management software" (1,000/mo) where SkySlope sits at #24. Owns the entire TC keyword cluster (highest-volume cluster in the file: 5,560 combined monthly searches).</w:t>
            </w:r>
          </w:p>
        </w:tc>
        <w:tc>
          <w:tcPr>
            <w:tcW w:type="dxa" w:w="3420"/>
            <w:tcMar>
              <w:top w:type="dxa" w:w="80"/>
              <w:left w:type="dxa" w:w="120"/>
              <w:bottom w:type="dxa" w:w="80"/>
              <w:right w:type="dxa" w:w="120"/>
            </w:tcMar>
          </w:tcPr>
          <w:p>
            <w:r>
              <w:rPr>
                <w:b w:val="false"/>
                <w:bCs w:val="false"/>
                <w:sz w:val="20"/>
                <w:szCs w:val="20"/>
              </w:rPr>
              <w:t xml:space="preserve">The content-marketing assassin. A smaller company out-publishing everyone: its comparison listicles (including "SkySlope vs Dotloop vs Paperless Pipeline") rank on category terms — a competitor literally hosts the comparison a prospect reads.</w:t>
            </w:r>
          </w:p>
        </w:tc>
      </w:tr>
      <w:tr>
        <w:tc>
          <w:tcPr>
            <w:tcW w:type="dxa" w:w="2160"/>
            <w:tcMar>
              <w:top w:type="dxa" w:w="80"/>
              <w:left w:type="dxa" w:w="120"/>
              <w:bottom w:type="dxa" w:w="80"/>
              <w:right w:type="dxa" w:w="120"/>
            </w:tcMar>
          </w:tcPr>
          <w:p>
            <w:r>
              <w:rPr>
                <w:b/>
                <w:bCs/>
                <w:sz w:val="20"/>
                <w:szCs w:val="20"/>
              </w:rPr>
              <w:t xml:space="preserve">BoldTrail BackOffice (Inside Real Estate, ex-Brokermint)</w:t>
            </w:r>
          </w:p>
        </w:tc>
        <w:tc>
          <w:tcPr>
            <w:tcW w:type="dxa" w:w="4140"/>
            <w:tcMar>
              <w:top w:type="dxa" w:w="80"/>
              <w:left w:type="dxa" w:w="120"/>
              <w:bottom w:type="dxa" w:w="80"/>
              <w:right w:type="dxa" w:w="120"/>
            </w:tcMar>
          </w:tcPr>
          <w:p>
            <w:r>
              <w:rPr>
                <w:b w:val="false"/>
                <w:bCs w:val="false"/>
                <w:sz w:val="20"/>
                <w:szCs w:val="20"/>
              </w:rPr>
              <w:t xml:space="preserve">Narrow footprint (17 keywords) but efficient: 13 top-3, 12 AI overviews, #1 on "transaction coordinator software" and "real estate back office software."</w:t>
            </w:r>
          </w:p>
        </w:tc>
        <w:tc>
          <w:tcPr>
            <w:tcW w:type="dxa" w:w="3420"/>
            <w:tcMar>
              <w:top w:type="dxa" w:w="80"/>
              <w:left w:type="dxa" w:w="120"/>
              <w:bottom w:type="dxa" w:w="80"/>
              <w:right w:type="dxa" w:w="120"/>
            </w:tcMar>
          </w:tcPr>
          <w:p>
            <w:r>
              <w:rPr>
                <w:b w:val="false"/>
                <w:bCs w:val="false"/>
                <w:sz w:val="20"/>
                <w:szCs w:val="20"/>
              </w:rPr>
              <w:t xml:space="preserve">The suite play. Sells back office as part of a full front-office/CRM ecosystem to brokerage decision-makers.</w:t>
            </w:r>
          </w:p>
        </w:tc>
      </w:tr>
      <w:tr>
        <w:tc>
          <w:tcPr>
            <w:tcW w:type="dxa" w:w="2160"/>
            <w:tcMar>
              <w:top w:type="dxa" w:w="80"/>
              <w:left w:type="dxa" w:w="120"/>
              <w:bottom w:type="dxa" w:w="80"/>
              <w:right w:type="dxa" w:w="120"/>
            </w:tcMar>
          </w:tcPr>
          <w:p>
            <w:r>
              <w:rPr>
                <w:b/>
                <w:bCs/>
                <w:sz w:val="20"/>
                <w:szCs w:val="20"/>
              </w:rPr>
              <w:t xml:space="preserve">SkySlope</w:t>
            </w:r>
          </w:p>
        </w:tc>
        <w:tc>
          <w:tcPr>
            <w:tcW w:type="dxa" w:w="4140"/>
            <w:tcMar>
              <w:top w:type="dxa" w:w="80"/>
              <w:left w:type="dxa" w:w="120"/>
              <w:bottom w:type="dxa" w:w="80"/>
              <w:right w:type="dxa" w:w="120"/>
            </w:tcMar>
          </w:tcPr>
          <w:p>
            <w:r>
              <w:rPr>
                <w:b w:val="false"/>
                <w:bCs w:val="false"/>
                <w:sz w:val="20"/>
                <w:szCs w:val="20"/>
              </w:rPr>
              <w:t xml:space="preserve">Ranks on 65; 13 top-3 — but 13 AI-overview placements concentrated on brokerage/back-office terms ("real estate office software" #1, "real estate brokerage software" #1, "real estate forms software" #1). Nearly invisible on the TC cluster (ranks on 3 of 12 TC keywords).</w:t>
            </w:r>
          </w:p>
        </w:tc>
        <w:tc>
          <w:tcPr>
            <w:tcW w:type="dxa" w:w="3420"/>
            <w:tcMar>
              <w:top w:type="dxa" w:w="80"/>
              <w:left w:type="dxa" w:w="120"/>
              <w:bottom w:type="dxa" w:w="80"/>
              <w:right w:type="dxa" w:w="120"/>
            </w:tcMar>
          </w:tcPr>
          <w:p>
            <w:r>
              <w:rPr>
                <w:b w:val="false"/>
                <w:bCs w:val="false"/>
                <w:sz w:val="20"/>
                <w:szCs w:val="20"/>
              </w:rPr>
              <w:t xml:space="preserve">The compliance-first enterprise choice, winning the AI-answer layer on broker-intent terms but losing the highest-volume human audience (TCs) and the mid-funnel comparison narrative.</w:t>
            </w:r>
          </w:p>
        </w:tc>
      </w:tr>
    </w:tbl>
    <w:p>
      <w:pPr>
        <w:spacing w:after="120"/>
      </w:pPr>
      <w:r>
        <w:rPr>
          <w:rFonts w:ascii="Calibri" w:cs="Calibri" w:eastAsia="Calibri" w:hAnsi="Calibri"/>
          <w:sz w:val="22"/>
          <w:szCs w:val="22"/>
        </w:rPr>
        <w:t xml:space="preserve"/>
      </w:r>
    </w:p>
    <w:p>
      <w:pPr>
        <w:pStyle w:val="ListParagraph"/>
        <w:numPr>
          <w:ilvl w:val="0"/>
          <w:numId w:val="2"/>
        </w:numPr>
        <w:spacing w:after="80"/>
      </w:pPr>
      <w:r>
        <w:rPr>
          <w:b/>
          <w:bCs/>
          <w:sz w:val="22"/>
          <w:szCs w:val="22"/>
        </w:rPr>
        <w:t xml:space="preserve">What the data says — </w:t>
      </w:r>
      <w:r>
        <w:rPr>
          <w:sz w:val="22"/>
          <w:szCs w:val="22"/>
        </w:rPr>
        <w:t xml:space="preserve">SkySlope's search wins are AI overviews aimed at broker/owner queries — that audience is being reached. The gap is the TC audience (biggest search volume, Paperless Pipeline's stronghold) and comparison-stage content (competitors host the narratives).</w:t>
      </w:r>
    </w:p>
    <w:p>
      <w:pPr>
        <w:pStyle w:val="ListParagraph"/>
        <w:numPr>
          <w:ilvl w:val="0"/>
          <w:numId w:val="2"/>
        </w:numPr>
        <w:spacing w:after="80"/>
      </w:pPr>
      <w:r>
        <w:rPr>
          <w:b/>
          <w:bCs/>
          <w:sz w:val="22"/>
          <w:szCs w:val="22"/>
        </w:rPr>
        <w:t xml:space="preserve">Why it matters for social — </w:t>
      </w:r>
      <w:r>
        <w:rPr>
          <w:sz w:val="22"/>
          <w:szCs w:val="22"/>
        </w:rPr>
        <w:t xml:space="preserve">Intent mix is 187 informational / 49 commercial — this market researches heavily before ever talking to sales. Whoever owns research-stage trust wins the shortlist.</w:t>
      </w:r>
    </w:p>
    <w:p>
      <w:pPr>
        <w:pStyle w:val="Heading1"/>
        <w:spacing w:after="140" w:before="280"/>
      </w:pPr>
      <w:r>
        <w:rPr>
          <w:b/>
          <w:bCs/>
          <w:color w:val="1F3864"/>
          <w:sz w:val="30"/>
          <w:szCs w:val="30"/>
        </w:rPr>
        <w:t xml:space="preserve">2. Audience Definition</w:t>
      </w:r>
    </w:p>
    <w:p>
      <w:pPr>
        <w:spacing w:after="120"/>
      </w:pPr>
      <w:r>
        <w:rPr>
          <w:rFonts w:ascii="Calibri" w:cs="Calibri" w:eastAsia="Calibri" w:hAnsi="Calibri"/>
          <w:sz w:val="22"/>
          <w:szCs w:val="22"/>
        </w:rPr>
        <w:t xml:space="preserve">SkySlope's social audience is the people inside a residential real estate brokerage's transaction engine — plus the ecosystem that influences them:</w:t>
      </w:r>
    </w:p>
    <w:p>
      <w:pPr>
        <w:pStyle w:val="ListParagraph"/>
        <w:numPr>
          <w:ilvl w:val="0"/>
          <w:numId w:val="2"/>
        </w:numPr>
        <w:spacing w:after="80"/>
      </w:pPr>
      <w:r>
        <w:rPr>
          <w:b/>
          <w:bCs/>
          <w:sz w:val="22"/>
          <w:szCs w:val="22"/>
        </w:rPr>
        <w:t xml:space="preserve">Economic buyers — </w:t>
      </w:r>
      <w:r>
        <w:rPr>
          <w:sz w:val="22"/>
          <w:szCs w:val="22"/>
        </w:rPr>
        <w:t xml:space="preserve">Primary buying audience: Broker-owners, brokerage operations leaders, and admins at mid-size to enterprise residential brokerages and franchises (US &amp; Canada) who own the back-office decision: compliance, commissions, file review, agent productivity.</w:t>
      </w:r>
    </w:p>
    <w:p>
      <w:pPr>
        <w:pStyle w:val="ListParagraph"/>
        <w:numPr>
          <w:ilvl w:val="0"/>
          <w:numId w:val="2"/>
        </w:numPr>
        <w:spacing w:after="80"/>
      </w:pPr>
      <w:r>
        <w:rPr>
          <w:b/>
          <w:bCs/>
          <w:sz w:val="22"/>
          <w:szCs w:val="22"/>
        </w:rPr>
        <w:t xml:space="preserve">Users &amp; champions — </w:t>
      </w:r>
      <w:r>
        <w:rPr>
          <w:sz w:val="22"/>
          <w:szCs w:val="22"/>
        </w:rPr>
        <w:t xml:space="preserve">Primary usage audience: Transaction coordinators (in-house and independent) and agents who live in the product daily. They rarely sign the contract but they make or break adoption, renewal, and word-of-mouth — and they are the largest searching audience in the data.</w:t>
      </w:r>
    </w:p>
    <w:p>
      <w:pPr>
        <w:pStyle w:val="ListParagraph"/>
        <w:numPr>
          <w:ilvl w:val="0"/>
          <w:numId w:val="2"/>
        </w:numPr>
        <w:spacing w:after="80"/>
      </w:pPr>
      <w:r>
        <w:rPr>
          <w:b/>
          <w:bCs/>
          <w:sz w:val="22"/>
          <w:szCs w:val="22"/>
        </w:rPr>
        <w:t xml:space="preserve">Ecosystem — </w:t>
      </w:r>
      <w:r>
        <w:rPr>
          <w:sz w:val="22"/>
          <w:szCs w:val="22"/>
        </w:rPr>
        <w:t xml:space="preserve">Influence layer: MLSs and associations (member-benefit deals), franchise leadership, RE tech reviewers/influencers, TC communities and Facebook groups, and peer brokers — the referral network that validates the shortlist.</w:t>
      </w:r>
    </w:p>
    <w:p>
      <w:pPr>
        <w:spacing w:after="120"/>
      </w:pPr>
      <w:r>
        <w:rPr>
          <w:rFonts w:ascii="Calibri" w:cs="Calibri" w:eastAsia="Calibri" w:hAnsi="Calibri"/>
          <w:sz w:val="22"/>
          <w:szCs w:val="22"/>
        </w:rPr>
        <w:t xml:space="preserve">Defining trait: this is a small, dense, extremely networked industry. Everyone knows a TC or broker one DM away. Social here isn't broadcast media — it's the industry's group chat.</w:t>
      </w:r>
    </w:p>
    <w:p>
      <w:pPr>
        <w:pStyle w:val="Heading1"/>
        <w:spacing w:after="140" w:before="280"/>
      </w:pPr>
      <w:r>
        <w:rPr>
          <w:b/>
          <w:bCs/>
          <w:color w:val="1F3864"/>
          <w:sz w:val="30"/>
          <w:szCs w:val="30"/>
        </w:rPr>
        <w:t xml:space="preserve">3. Key Personas &amp; Buyer Journeys</w:t>
      </w:r>
    </w:p>
    <w:p>
      <w:pPr>
        <w:pStyle w:val="Heading2"/>
        <w:spacing w:after="100" w:before="200"/>
      </w:pPr>
      <w:r>
        <w:rPr>
          <w:b/>
          <w:bCs/>
          <w:color w:val="2E74B5"/>
          <w:sz w:val="24"/>
          <w:szCs w:val="24"/>
        </w:rPr>
        <w:t xml:space="preserve">Persona 1 — The Broker-Owner / COO ("Barbara")</w:t>
      </w:r>
    </w:p>
    <w:p>
      <w:pPr>
        <w:pStyle w:val="ListParagraph"/>
        <w:numPr>
          <w:ilvl w:val="0"/>
          <w:numId w:val="2"/>
        </w:numPr>
        <w:spacing w:after="80"/>
      </w:pPr>
      <w:r>
        <w:rPr>
          <w:sz w:val="22"/>
          <w:szCs w:val="22"/>
        </w:rPr>
        <w:t xml:space="preserve">Owns P&amp;L and liability. Cares about audit risk, E&amp;O exposure, commission accuracy, agent retention. Searches "real estate back office software," "brokerage management" — the cluster where SkySlope already wins AI overviews (43 keywords, 4,150 combined volume).</w:t>
      </w:r>
    </w:p>
    <w:p>
      <w:pPr>
        <w:pStyle w:val="ListParagraph"/>
        <w:numPr>
          <w:ilvl w:val="0"/>
          <w:numId w:val="2"/>
        </w:numPr>
        <w:spacing w:after="80"/>
      </w:pPr>
      <w:r>
        <w:rPr>
          <w:sz w:val="22"/>
          <w:szCs w:val="22"/>
        </w:rPr>
        <w:t xml:space="preserve">Journey: pain trigger (audit scare, admin churn, M&amp;A growth) → asks peer brokers + franchise network → Googles/asks ChatGPT → reads G2/Capterra → shortlists 2–3 → demos with committee (ops + TC lead) → decides on trust and switching-cost math.</w:t>
      </w:r>
    </w:p>
    <w:p>
      <w:pPr>
        <w:pStyle w:val="ListParagraph"/>
        <w:numPr>
          <w:ilvl w:val="0"/>
          <w:numId w:val="2"/>
        </w:numPr>
        <w:spacing w:after="80"/>
      </w:pPr>
      <w:r>
        <w:rPr>
          <w:sz w:val="22"/>
          <w:szCs w:val="22"/>
        </w:rPr>
        <w:t xml:space="preserve">Social's role: LinkedIn is her channel. Exec POV content, compliance data, peer-brokerage testimonials build the credibility that gets SkySlope on the shortlist before sales ever calls.</w:t>
      </w:r>
    </w:p>
    <w:p>
      <w:pPr>
        <w:pStyle w:val="Heading2"/>
        <w:spacing w:after="100" w:before="200"/>
      </w:pPr>
      <w:r>
        <w:rPr>
          <w:b/>
          <w:bCs/>
          <w:color w:val="2E74B5"/>
          <w:sz w:val="24"/>
          <w:szCs w:val="24"/>
        </w:rPr>
        <w:t xml:space="preserve">Persona 2 — The Transaction Coordinator ("Tina")</w:t>
      </w:r>
    </w:p>
    <w:p>
      <w:pPr>
        <w:pStyle w:val="ListParagraph"/>
        <w:numPr>
          <w:ilvl w:val="0"/>
          <w:numId w:val="2"/>
        </w:numPr>
        <w:spacing w:after="80"/>
      </w:pPr>
      <w:r>
        <w:rPr>
          <w:sz w:val="22"/>
          <w:szCs w:val="22"/>
        </w:rPr>
        <w:t xml:space="preserve">In-house or independent, manages 15–40 files at once. Cares about checklists, speed, chasing signatures, not getting blamed. The highest-volume searcher in the dataset — and the persona SkySlope is least visible to today.</w:t>
      </w:r>
    </w:p>
    <w:p>
      <w:pPr>
        <w:pStyle w:val="ListParagraph"/>
        <w:numPr>
          <w:ilvl w:val="0"/>
          <w:numId w:val="2"/>
        </w:numPr>
        <w:spacing w:after="80"/>
      </w:pPr>
      <w:r>
        <w:rPr>
          <w:sz w:val="22"/>
          <w:szCs w:val="22"/>
        </w:rPr>
        <w:t xml:space="preserve">Journey: discovers tools via TC Facebook groups, TC courses/communities, Reddit, and colleagues at previous brokerages. Independent TCs often choose or recommend the stack; brokers defer to them. She evaluates by watching real workflows on video, not feature pages.</w:t>
      </w:r>
    </w:p>
    <w:p>
      <w:pPr>
        <w:pStyle w:val="ListParagraph"/>
        <w:numPr>
          <w:ilvl w:val="0"/>
          <w:numId w:val="2"/>
        </w:numPr>
        <w:spacing w:after="80"/>
      </w:pPr>
      <w:r>
        <w:rPr>
          <w:sz w:val="22"/>
          <w:szCs w:val="22"/>
        </w:rPr>
        <w:t xml:space="preserve">Social's role: relatable TC-life content (the zero-CTA bucket), workflow tips, and the Index's paperwork stats speak directly to her. She is also the industry's most active sharer — TC communities amplify anything that makes their work visible.</w:t>
      </w:r>
    </w:p>
    <w:p>
      <w:pPr>
        <w:pStyle w:val="Heading2"/>
        <w:spacing w:after="100" w:before="200"/>
      </w:pPr>
      <w:r>
        <w:rPr>
          <w:b/>
          <w:bCs/>
          <w:color w:val="2E74B5"/>
          <w:sz w:val="24"/>
          <w:szCs w:val="24"/>
        </w:rPr>
        <w:t xml:space="preserve">Persona 3 — The Producing Agent / Team Lead ("Alex")</w:t>
      </w:r>
    </w:p>
    <w:p>
      <w:pPr>
        <w:pStyle w:val="ListParagraph"/>
        <w:numPr>
          <w:ilvl w:val="0"/>
          <w:numId w:val="2"/>
        </w:numPr>
        <w:spacing w:after="80"/>
      </w:pPr>
      <w:r>
        <w:rPr>
          <w:sz w:val="22"/>
          <w:szCs w:val="22"/>
        </w:rPr>
        <w:t xml:space="preserve">Uses whatever the brokerage provides; complains loudly when it's clunky. Cares about speed on mobile, e-signature UX, looking professional to clients. Searches "realtor software," forms/e-sign terms.</w:t>
      </w:r>
    </w:p>
    <w:p>
      <w:pPr>
        <w:pStyle w:val="ListParagraph"/>
        <w:numPr>
          <w:ilvl w:val="0"/>
          <w:numId w:val="2"/>
        </w:numPr>
        <w:spacing w:after="80"/>
      </w:pPr>
      <w:r>
        <w:rPr>
          <w:sz w:val="22"/>
          <w:szCs w:val="22"/>
        </w:rPr>
        <w:t xml:space="preserve">Journey: rarely buys transaction management alone, but agent sentiment drives brokerage renewals and team-level adoption. Dotloop's consumer-grade brand gravity lives here.</w:t>
      </w:r>
    </w:p>
    <w:p>
      <w:pPr>
        <w:pStyle w:val="ListParagraph"/>
        <w:numPr>
          <w:ilvl w:val="0"/>
          <w:numId w:val="2"/>
        </w:numPr>
        <w:spacing w:after="80"/>
      </w:pPr>
      <w:r>
        <w:rPr>
          <w:sz w:val="22"/>
          <w:szCs w:val="22"/>
        </w:rPr>
        <w:t xml:space="preserve">Social's role: Instagram/TikTok humor and day-in-the-life content wins goodwill; agent-facing 'wins' content (fast closings, e-sign in minutes) makes SkySlope feel modern, countering the "built for compliance, not for me" perception.</w:t>
      </w:r>
    </w:p>
    <w:p>
      <w:pPr>
        <w:pStyle w:val="Heading2"/>
        <w:spacing w:after="100" w:before="200"/>
      </w:pPr>
      <w:r>
        <w:rPr>
          <w:b/>
          <w:bCs/>
          <w:color w:val="2E74B5"/>
          <w:sz w:val="24"/>
          <w:szCs w:val="24"/>
        </w:rPr>
        <w:t xml:space="preserve">Persona 4 — The Compliance / Ops Manager ("Carmen")</w:t>
      </w:r>
    </w:p>
    <w:p>
      <w:pPr>
        <w:pStyle w:val="ListParagraph"/>
        <w:numPr>
          <w:ilvl w:val="0"/>
          <w:numId w:val="2"/>
        </w:numPr>
        <w:spacing w:after="80"/>
      </w:pPr>
      <w:r>
        <w:rPr>
          <w:sz w:val="22"/>
          <w:szCs w:val="22"/>
        </w:rPr>
        <w:t xml:space="preserve">The silent evaluator on every demo. Cares about file-review queues, audit trails, state-form coverage. Small search volume but outsized veto power.</w:t>
      </w:r>
    </w:p>
    <w:p>
      <w:pPr>
        <w:pStyle w:val="ListParagraph"/>
        <w:numPr>
          <w:ilvl w:val="0"/>
          <w:numId w:val="2"/>
        </w:numPr>
        <w:spacing w:after="80"/>
      </w:pPr>
      <w:r>
        <w:rPr>
          <w:sz w:val="22"/>
          <w:szCs w:val="22"/>
        </w:rPr>
        <w:t xml:space="preserve">Social's role: methodology-backed compliance stats (the Index) and case studies are shareable armor she brings to the decision meeting.</w:t>
      </w:r>
    </w:p>
    <w:p>
      <w:pPr>
        <w:pStyle w:val="Heading1"/>
        <w:spacing w:after="140" w:before="280"/>
      </w:pPr>
      <w:r>
        <w:rPr>
          <w:b/>
          <w:bCs/>
          <w:color w:val="1F3864"/>
          <w:sz w:val="30"/>
          <w:szCs w:val="30"/>
        </w:rPr>
        <w:t xml:space="preserve">4. Path to Purchase — Where Social Does the Work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660"/>
        <w:gridCol w:w="2160"/>
      </w:tblGrid>
      <w:tr>
        <w:tc>
          <w:tcPr>
            <w:tcW w:type="dxa" w:w="1700"/>
            <w:shd w:fill="DEEBF7" w:val="clear"/>
            <w:tcMar>
              <w:top w:type="dxa" w:w="80"/>
              <w:left w:type="dxa" w:w="120"/>
              <w:bottom w:type="dxa" w:w="80"/>
              <w:right w:type="dxa" w:w="120"/>
            </w:tcMar>
          </w:tcPr>
          <w:p>
            <w:r>
              <w:rPr>
                <w:b/>
                <w:bCs/>
                <w:sz w:val="20"/>
                <w:szCs w:val="20"/>
              </w:rPr>
              <w:t xml:space="preserve">Stage</w:t>
            </w:r>
          </w:p>
        </w:tc>
        <w:tc>
          <w:tcPr>
            <w:tcW w:type="dxa" w:w="3200"/>
            <w:shd w:fill="DEEBF7" w:val="clear"/>
            <w:tcMar>
              <w:top w:type="dxa" w:w="80"/>
              <w:left w:type="dxa" w:w="120"/>
              <w:bottom w:type="dxa" w:w="80"/>
              <w:right w:type="dxa" w:w="120"/>
            </w:tcMar>
          </w:tcPr>
          <w:p>
            <w:r>
              <w:rPr>
                <w:b/>
                <w:bCs/>
                <w:sz w:val="20"/>
                <w:szCs w:val="20"/>
              </w:rPr>
              <w:t xml:space="preserve">What the buyer does</w:t>
            </w:r>
          </w:p>
        </w:tc>
        <w:tc>
          <w:tcPr>
            <w:tcW w:type="dxa" w:w="2660"/>
            <w:shd w:fill="DEEBF7" w:val="clear"/>
            <w:tcMar>
              <w:top w:type="dxa" w:w="80"/>
              <w:left w:type="dxa" w:w="120"/>
              <w:bottom w:type="dxa" w:w="80"/>
              <w:right w:type="dxa" w:w="120"/>
            </w:tcMar>
          </w:tcPr>
          <w:p>
            <w:r>
              <w:rPr>
                <w:b/>
                <w:bCs/>
                <w:sz w:val="20"/>
                <w:szCs w:val="20"/>
              </w:rPr>
              <w:t xml:space="preserve">Social's job</w:t>
            </w:r>
          </w:p>
        </w:tc>
        <w:tc>
          <w:tcPr>
            <w:tcW w:type="dxa" w:w="2160"/>
            <w:shd w:fill="DEEBF7" w:val="clear"/>
            <w:tcMar>
              <w:top w:type="dxa" w:w="80"/>
              <w:left w:type="dxa" w:w="120"/>
              <w:bottom w:type="dxa" w:w="80"/>
              <w:right w:type="dxa" w:w="120"/>
            </w:tcMar>
          </w:tcPr>
          <w:p>
            <w:r>
              <w:rPr>
                <w:b/>
                <w:bCs/>
                <w:sz w:val="20"/>
                <w:szCs w:val="20"/>
              </w:rPr>
              <w:t xml:space="preserve">Content/assets</w:t>
            </w:r>
          </w:p>
        </w:tc>
      </w:tr>
      <w:tr>
        <w:tc>
          <w:tcPr>
            <w:tcW w:type="dxa" w:w="1700"/>
            <w:tcMar>
              <w:top w:type="dxa" w:w="80"/>
              <w:left w:type="dxa" w:w="120"/>
              <w:bottom w:type="dxa" w:w="80"/>
              <w:right w:type="dxa" w:w="120"/>
            </w:tcMar>
          </w:tcPr>
          <w:p>
            <w:r>
              <w:rPr>
                <w:b/>
                <w:bCs/>
                <w:sz w:val="20"/>
                <w:szCs w:val="20"/>
              </w:rPr>
              <w:t xml:space="preserve">1. Trigger</w:t>
            </w:r>
          </w:p>
        </w:tc>
        <w:tc>
          <w:tcPr>
            <w:tcW w:type="dxa" w:w="3200"/>
            <w:tcMar>
              <w:top w:type="dxa" w:w="80"/>
              <w:left w:type="dxa" w:w="120"/>
              <w:bottom w:type="dxa" w:w="80"/>
              <w:right w:type="dxa" w:w="120"/>
            </w:tcMar>
          </w:tcPr>
          <w:p>
            <w:r>
              <w:rPr>
                <w:b w:val="false"/>
                <w:bCs w:val="false"/>
                <w:sz w:val="20"/>
                <w:szCs w:val="20"/>
              </w:rPr>
              <w:t xml:space="preserve">Audit scare, admin overload, growth, franchise mandate, contract renewal at incumbent.</w:t>
            </w:r>
          </w:p>
        </w:tc>
        <w:tc>
          <w:tcPr>
            <w:tcW w:type="dxa" w:w="2660"/>
            <w:tcMar>
              <w:top w:type="dxa" w:w="80"/>
              <w:left w:type="dxa" w:w="120"/>
              <w:bottom w:type="dxa" w:w="80"/>
              <w:right w:type="dxa" w:w="120"/>
            </w:tcMar>
          </w:tcPr>
          <w:p>
            <w:r>
              <w:rPr>
                <w:b w:val="false"/>
                <w:bCs w:val="false"/>
                <w:sz w:val="20"/>
                <w:szCs w:val="20"/>
              </w:rPr>
              <w:t xml:space="preserve">Be already-known: brand familiarity from feed presence so SkySlope is a name, not a stranger.</w:t>
            </w:r>
          </w:p>
        </w:tc>
        <w:tc>
          <w:tcPr>
            <w:tcW w:type="dxa" w:w="2160"/>
            <w:tcMar>
              <w:top w:type="dxa" w:w="80"/>
              <w:left w:type="dxa" w:w="120"/>
              <w:bottom w:type="dxa" w:w="80"/>
              <w:right w:type="dxa" w:w="120"/>
            </w:tcMar>
          </w:tcPr>
          <w:p>
            <w:r>
              <w:rPr>
                <w:b w:val="false"/>
                <w:bCs w:val="false"/>
                <w:sz w:val="20"/>
                <w:szCs w:val="20"/>
              </w:rPr>
              <w:t xml:space="preserve">Zero-CTA relatable content; Index stat drops</w:t>
            </w:r>
          </w:p>
        </w:tc>
      </w:tr>
      <w:tr>
        <w:tc>
          <w:tcPr>
            <w:tcW w:type="dxa" w:w="1700"/>
            <w:tcMar>
              <w:top w:type="dxa" w:w="80"/>
              <w:left w:type="dxa" w:w="120"/>
              <w:bottom w:type="dxa" w:w="80"/>
              <w:right w:type="dxa" w:w="120"/>
            </w:tcMar>
          </w:tcPr>
          <w:p>
            <w:r>
              <w:rPr>
                <w:b/>
                <w:bCs/>
                <w:sz w:val="20"/>
                <w:szCs w:val="20"/>
              </w:rPr>
              <w:t xml:space="preserve">2. Research</w:t>
            </w:r>
          </w:p>
        </w:tc>
        <w:tc>
          <w:tcPr>
            <w:tcW w:type="dxa" w:w="3200"/>
            <w:tcMar>
              <w:top w:type="dxa" w:w="80"/>
              <w:left w:type="dxa" w:w="120"/>
              <w:bottom w:type="dxa" w:w="80"/>
              <w:right w:type="dxa" w:w="120"/>
            </w:tcMar>
          </w:tcPr>
          <w:p>
            <w:r>
              <w:rPr>
                <w:b w:val="false"/>
                <w:bCs w:val="false"/>
                <w:sz w:val="20"/>
                <w:szCs w:val="20"/>
              </w:rPr>
              <w:t xml:space="preserve">Googles category terms; asks ChatGPT (AI overviews now answer 92 of 215 tracked queries for somebody); reads listicles — often hosted by competitors.</w:t>
            </w:r>
          </w:p>
        </w:tc>
        <w:tc>
          <w:tcPr>
            <w:tcW w:type="dxa" w:w="2660"/>
            <w:tcMar>
              <w:top w:type="dxa" w:w="80"/>
              <w:left w:type="dxa" w:w="120"/>
              <w:bottom w:type="dxa" w:w="80"/>
              <w:right w:type="dxa" w:w="120"/>
            </w:tcMar>
          </w:tcPr>
          <w:p>
            <w:r>
              <w:rPr>
                <w:b w:val="false"/>
                <w:bCs w:val="false"/>
                <w:sz w:val="20"/>
                <w:szCs w:val="20"/>
              </w:rPr>
              <w:t xml:space="preserve">Awareness + authority: data content earns the citations that feed AI answers and search; social profiles are checked as a legitimacy signal.</w:t>
            </w:r>
          </w:p>
        </w:tc>
        <w:tc>
          <w:tcPr>
            <w:tcW w:type="dxa" w:w="2160"/>
            <w:tcMar>
              <w:top w:type="dxa" w:w="80"/>
              <w:left w:type="dxa" w:w="120"/>
              <w:bottom w:type="dxa" w:w="80"/>
              <w:right w:type="dxa" w:w="120"/>
            </w:tcMar>
          </w:tcPr>
          <w:p>
            <w:r>
              <w:rPr>
                <w:b w:val="false"/>
                <w:bCs w:val="false"/>
                <w:sz w:val="20"/>
                <w:szCs w:val="20"/>
              </w:rPr>
              <w:t xml:space="preserve">Quarterly State of the Transaction; LinkedIn carousels; active, current feeds</w:t>
            </w:r>
          </w:p>
        </w:tc>
      </w:tr>
      <w:tr>
        <w:tc>
          <w:tcPr>
            <w:tcW w:type="dxa" w:w="1700"/>
            <w:tcMar>
              <w:top w:type="dxa" w:w="80"/>
              <w:left w:type="dxa" w:w="120"/>
              <w:bottom w:type="dxa" w:w="80"/>
              <w:right w:type="dxa" w:w="120"/>
            </w:tcMar>
          </w:tcPr>
          <w:p>
            <w:r>
              <w:rPr>
                <w:b/>
                <w:bCs/>
                <w:sz w:val="20"/>
                <w:szCs w:val="20"/>
              </w:rPr>
              <w:t xml:space="preserve">3. Validation</w:t>
            </w:r>
          </w:p>
        </w:tc>
        <w:tc>
          <w:tcPr>
            <w:tcW w:type="dxa" w:w="3200"/>
            <w:tcMar>
              <w:top w:type="dxa" w:w="80"/>
              <w:left w:type="dxa" w:w="120"/>
              <w:bottom w:type="dxa" w:w="80"/>
              <w:right w:type="dxa" w:w="120"/>
            </w:tcMar>
          </w:tcPr>
          <w:p>
            <w:r>
              <w:rPr>
                <w:b w:val="false"/>
                <w:bCs w:val="false"/>
                <w:sz w:val="20"/>
                <w:szCs w:val="20"/>
              </w:rPr>
              <w:t xml:space="preserve">Checks G2/Capterra; asks peers in Facebook groups, Reddit, TC communities; watches real users on YouTube/TikTok; stalks the brand's socials and comment sections.</w:t>
            </w:r>
          </w:p>
        </w:tc>
        <w:tc>
          <w:tcPr>
            <w:tcW w:type="dxa" w:w="2660"/>
            <w:tcMar>
              <w:top w:type="dxa" w:w="80"/>
              <w:left w:type="dxa" w:w="120"/>
              <w:bottom w:type="dxa" w:w="80"/>
              <w:right w:type="dxa" w:w="120"/>
            </w:tcMar>
          </w:tcPr>
          <w:p>
            <w:r>
              <w:rPr>
                <w:b w:val="false"/>
                <w:bCs w:val="false"/>
                <w:sz w:val="20"/>
                <w:szCs w:val="20"/>
              </w:rPr>
              <w:t xml:space="preserve">Credibility: this is where deals are quietly won or lost — see the warning section below.</w:t>
            </w:r>
          </w:p>
        </w:tc>
        <w:tc>
          <w:tcPr>
            <w:tcW w:type="dxa" w:w="2160"/>
            <w:tcMar>
              <w:top w:type="dxa" w:w="80"/>
              <w:left w:type="dxa" w:w="120"/>
              <w:bottom w:type="dxa" w:w="80"/>
              <w:right w:type="dxa" w:w="120"/>
            </w:tcMar>
          </w:tcPr>
          <w:p>
            <w:r>
              <w:rPr>
                <w:b w:val="false"/>
                <w:bCs w:val="false"/>
                <w:sz w:val="20"/>
                <w:szCs w:val="20"/>
              </w:rPr>
              <w:t xml:space="preserve">Spotlight testimonial videos; community participation; review responses</w:t>
            </w:r>
          </w:p>
        </w:tc>
      </w:tr>
      <w:tr>
        <w:tc>
          <w:tcPr>
            <w:tcW w:type="dxa" w:w="1700"/>
            <w:tcMar>
              <w:top w:type="dxa" w:w="80"/>
              <w:left w:type="dxa" w:w="120"/>
              <w:bottom w:type="dxa" w:w="80"/>
              <w:right w:type="dxa" w:w="120"/>
            </w:tcMar>
          </w:tcPr>
          <w:p>
            <w:r>
              <w:rPr>
                <w:b/>
                <w:bCs/>
                <w:sz w:val="20"/>
                <w:szCs w:val="20"/>
              </w:rPr>
              <w:t xml:space="preserve">4. Shortlist &amp; demo</w:t>
            </w:r>
          </w:p>
        </w:tc>
        <w:tc>
          <w:tcPr>
            <w:tcW w:type="dxa" w:w="3200"/>
            <w:tcMar>
              <w:top w:type="dxa" w:w="80"/>
              <w:left w:type="dxa" w:w="120"/>
              <w:bottom w:type="dxa" w:w="80"/>
              <w:right w:type="dxa" w:w="120"/>
            </w:tcMar>
          </w:tcPr>
          <w:p>
            <w:r>
              <w:rPr>
                <w:b w:val="false"/>
                <w:bCs w:val="false"/>
                <w:sz w:val="20"/>
                <w:szCs w:val="20"/>
              </w:rPr>
              <w:t xml:space="preserve">Committee demo (broker + ops + TC lead); compares 2–3 vendors; TC/agent sentiment consulted.</w:t>
            </w:r>
          </w:p>
        </w:tc>
        <w:tc>
          <w:tcPr>
            <w:tcW w:type="dxa" w:w="2660"/>
            <w:tcMar>
              <w:top w:type="dxa" w:w="80"/>
              <w:left w:type="dxa" w:w="120"/>
              <w:bottom w:type="dxa" w:w="80"/>
              <w:right w:type="dxa" w:w="120"/>
            </w:tcMar>
          </w:tcPr>
          <w:p>
            <w:r>
              <w:rPr>
                <w:b w:val="false"/>
                <w:bCs w:val="false"/>
                <w:sz w:val="20"/>
                <w:szCs w:val="20"/>
              </w:rPr>
              <w:t xml:space="preserve">Champion enablement: give Tina and Carmen shareable proof to bring into the room.</w:t>
            </w:r>
          </w:p>
        </w:tc>
        <w:tc>
          <w:tcPr>
            <w:tcW w:type="dxa" w:w="2160"/>
            <w:tcMar>
              <w:top w:type="dxa" w:w="80"/>
              <w:left w:type="dxa" w:w="120"/>
              <w:bottom w:type="dxa" w:w="80"/>
              <w:right w:type="dxa" w:w="120"/>
            </w:tcMar>
          </w:tcPr>
          <w:p>
            <w:r>
              <w:rPr>
                <w:b w:val="false"/>
                <w:bCs w:val="false"/>
                <w:sz w:val="20"/>
                <w:szCs w:val="20"/>
              </w:rPr>
              <w:t xml:space="preserve">Case-study posts; comparison-honest content; exec POV</w:t>
            </w:r>
          </w:p>
        </w:tc>
      </w:tr>
      <w:tr>
        <w:tc>
          <w:tcPr>
            <w:tcW w:type="dxa" w:w="1700"/>
            <w:tcMar>
              <w:top w:type="dxa" w:w="80"/>
              <w:left w:type="dxa" w:w="120"/>
              <w:bottom w:type="dxa" w:w="80"/>
              <w:right w:type="dxa" w:w="120"/>
            </w:tcMar>
          </w:tcPr>
          <w:p>
            <w:r>
              <w:rPr>
                <w:b/>
                <w:bCs/>
                <w:sz w:val="20"/>
                <w:szCs w:val="20"/>
              </w:rPr>
              <w:t xml:space="preserve">5. Decision &amp; onboarding</w:t>
            </w:r>
          </w:p>
        </w:tc>
        <w:tc>
          <w:tcPr>
            <w:tcW w:type="dxa" w:w="3200"/>
            <w:tcMar>
              <w:top w:type="dxa" w:w="80"/>
              <w:left w:type="dxa" w:w="120"/>
              <w:bottom w:type="dxa" w:w="80"/>
              <w:right w:type="dxa" w:w="120"/>
            </w:tcMar>
          </w:tcPr>
          <w:p>
            <w:r>
              <w:rPr>
                <w:b w:val="false"/>
                <w:bCs w:val="false"/>
                <w:sz w:val="20"/>
                <w:szCs w:val="20"/>
              </w:rPr>
              <w:t xml:space="preserve">Negotiates, plans migration; fear of switching pain is the #1 objection.</w:t>
            </w:r>
          </w:p>
        </w:tc>
        <w:tc>
          <w:tcPr>
            <w:tcW w:type="dxa" w:w="2660"/>
            <w:tcMar>
              <w:top w:type="dxa" w:w="80"/>
              <w:left w:type="dxa" w:w="120"/>
              <w:bottom w:type="dxa" w:w="80"/>
              <w:right w:type="dxa" w:w="120"/>
            </w:tcMar>
          </w:tcPr>
          <w:p>
            <w:r>
              <w:rPr>
                <w:b w:val="false"/>
                <w:bCs w:val="false"/>
                <w:sz w:val="20"/>
                <w:szCs w:val="20"/>
              </w:rPr>
              <w:t xml:space="preserve">De-risk: show real onboarding stories and support responsiveness publicly.</w:t>
            </w:r>
          </w:p>
        </w:tc>
        <w:tc>
          <w:tcPr>
            <w:tcW w:type="dxa" w:w="2160"/>
            <w:tcMar>
              <w:top w:type="dxa" w:w="80"/>
              <w:left w:type="dxa" w:w="120"/>
              <w:bottom w:type="dxa" w:w="80"/>
              <w:right w:type="dxa" w:w="120"/>
            </w:tcMar>
          </w:tcPr>
          <w:p>
            <w:r>
              <w:rPr>
                <w:b w:val="false"/>
                <w:bCs w:val="false"/>
                <w:sz w:val="20"/>
                <w:szCs w:val="20"/>
              </w:rPr>
              <w:t xml:space="preserve">Onboarding-journey content; support-win stories</w:t>
            </w:r>
          </w:p>
        </w:tc>
      </w:tr>
      <w:tr>
        <w:tc>
          <w:tcPr>
            <w:tcW w:type="dxa" w:w="1700"/>
            <w:tcMar>
              <w:top w:type="dxa" w:w="80"/>
              <w:left w:type="dxa" w:w="120"/>
              <w:bottom w:type="dxa" w:w="80"/>
              <w:right w:type="dxa" w:w="120"/>
            </w:tcMar>
          </w:tcPr>
          <w:p>
            <w:r>
              <w:rPr>
                <w:b/>
                <w:bCs/>
                <w:sz w:val="20"/>
                <w:szCs w:val="20"/>
              </w:rPr>
              <w:t xml:space="preserve">6. Adoption → referral</w:t>
            </w:r>
          </w:p>
        </w:tc>
        <w:tc>
          <w:tcPr>
            <w:tcW w:type="dxa" w:w="3200"/>
            <w:tcMar>
              <w:top w:type="dxa" w:w="80"/>
              <w:left w:type="dxa" w:w="120"/>
              <w:bottom w:type="dxa" w:w="80"/>
              <w:right w:type="dxa" w:w="120"/>
            </w:tcMar>
          </w:tcPr>
          <w:p>
            <w:r>
              <w:rPr>
                <w:b w:val="false"/>
                <w:bCs w:val="false"/>
                <w:sz w:val="20"/>
                <w:szCs w:val="20"/>
              </w:rPr>
              <w:t xml:space="preserve">Users form opinions in week one; happy TCs and brokers recommend in the same communities stage 3 happens in.</w:t>
            </w:r>
          </w:p>
        </w:tc>
        <w:tc>
          <w:tcPr>
            <w:tcW w:type="dxa" w:w="2660"/>
            <w:tcMar>
              <w:top w:type="dxa" w:w="80"/>
              <w:left w:type="dxa" w:w="120"/>
              <w:bottom w:type="dxa" w:w="80"/>
              <w:right w:type="dxa" w:w="120"/>
            </w:tcMar>
          </w:tcPr>
          <w:p>
            <w:r>
              <w:rPr>
                <w:b w:val="false"/>
                <w:bCs w:val="false"/>
                <w:sz w:val="20"/>
                <w:szCs w:val="20"/>
              </w:rPr>
              <w:t xml:space="preserve">Referral engine: turn customers into content (Spotlights), celebrate them publicly, make sharing effortless.</w:t>
            </w:r>
          </w:p>
        </w:tc>
        <w:tc>
          <w:tcPr>
            <w:tcW w:type="dxa" w:w="2160"/>
            <w:tcMar>
              <w:top w:type="dxa" w:w="80"/>
              <w:left w:type="dxa" w:w="120"/>
              <w:bottom w:type="dxa" w:w="80"/>
              <w:right w:type="dxa" w:w="120"/>
            </w:tcMar>
          </w:tcPr>
          <w:p>
            <w:r>
              <w:rPr>
                <w:b w:val="false"/>
                <w:bCs w:val="false"/>
                <w:sz w:val="20"/>
                <w:szCs w:val="20"/>
              </w:rPr>
              <w:t xml:space="preserve">Customer Spotlights; annual Wrapped stats; tag-a-colleague formats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loop matters more than the funnel: stage 6 content (celebrated customers) is exactly what stage 3 researchers find. Every Spotlight video is simultaneously a retention asset and a validation asset.</w:t>
      </w:r>
    </w:p>
    <w:p>
      <w:pPr>
        <w:pStyle w:val="Heading1"/>
        <w:spacing w:after="140" w:before="280"/>
      </w:pPr>
      <w:r>
        <w:rPr>
          <w:b/>
          <w:bCs/>
          <w:color w:val="C00000"/>
          <w:sz w:val="30"/>
          <w:szCs w:val="30"/>
        </w:rPr>
        <w:t xml:space="preserve">⚠ 5. THE BIG WARNING: What Researching Buyers See Today</w:t>
      </w:r>
    </w:p>
    <w:p>
      <w:pPr>
        <w:spacing w:after="120"/>
      </w:pPr>
      <w:r>
        <w:rPr>
          <w:rFonts w:ascii="Calibri" w:cs="Calibri" w:eastAsia="Calibri" w:hAnsi="Calibri"/>
          <w:b/>
          <w:bCs/>
          <w:sz w:val="22"/>
          <w:szCs w:val="22"/>
        </w:rPr>
        <w:t xml:space="preserve">When Barbara or Tina does stage-3 validation right now, this is the side-by-side view — and it is not neutral territory: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930"/>
        <w:gridCol w:w="1930"/>
        <w:gridCol w:w="1930"/>
        <w:gridCol w:w="1930"/>
      </w:tblGrid>
      <w:tr>
        <w:tc>
          <w:tcPr>
            <w:tcW w:type="dxa" w:w="2000"/>
            <w:shd w:fill="FCE4E4" w:val="clear"/>
            <w:tcMar>
              <w:top w:type="dxa" w:w="80"/>
              <w:left w:type="dxa" w:w="120"/>
              <w:bottom w:type="dxa" w:w="80"/>
              <w:right w:type="dxa" w:w="120"/>
            </w:tcMar>
          </w:tcPr>
          <w:p>
            <w:r>
              <w:rPr>
                <w:b/>
                <w:bCs/>
                <w:sz w:val="20"/>
                <w:szCs w:val="20"/>
              </w:rPr>
              <w:t xml:space="preserve">Signal</w:t>
            </w:r>
          </w:p>
        </w:tc>
        <w:tc>
          <w:tcPr>
            <w:tcW w:type="dxa" w:w="1930"/>
            <w:shd w:fill="FCE4E4" w:val="clear"/>
            <w:tcMar>
              <w:top w:type="dxa" w:w="80"/>
              <w:left w:type="dxa" w:w="120"/>
              <w:bottom w:type="dxa" w:w="80"/>
              <w:right w:type="dxa" w:w="120"/>
            </w:tcMar>
          </w:tcPr>
          <w:p>
            <w:r>
              <w:rPr>
                <w:b/>
                <w:bCs/>
                <w:sz w:val="20"/>
                <w:szCs w:val="20"/>
              </w:rPr>
              <w:t xml:space="preserve">SkySlope</w:t>
            </w:r>
          </w:p>
        </w:tc>
        <w:tc>
          <w:tcPr>
            <w:tcW w:type="dxa" w:w="1930"/>
            <w:shd w:fill="FCE4E4" w:val="clear"/>
            <w:tcMar>
              <w:top w:type="dxa" w:w="80"/>
              <w:left w:type="dxa" w:w="120"/>
              <w:bottom w:type="dxa" w:w="80"/>
              <w:right w:type="dxa" w:w="120"/>
            </w:tcMar>
          </w:tcPr>
          <w:p>
            <w:r>
              <w:rPr>
                <w:b/>
                <w:bCs/>
                <w:sz w:val="20"/>
                <w:szCs w:val="20"/>
              </w:rPr>
              <w:t xml:space="preserve">Dotloop</w:t>
            </w:r>
          </w:p>
        </w:tc>
        <w:tc>
          <w:tcPr>
            <w:tcW w:type="dxa" w:w="1930"/>
            <w:shd w:fill="FCE4E4" w:val="clear"/>
            <w:tcMar>
              <w:top w:type="dxa" w:w="80"/>
              <w:left w:type="dxa" w:w="120"/>
              <w:bottom w:type="dxa" w:w="80"/>
              <w:right w:type="dxa" w:w="120"/>
            </w:tcMar>
          </w:tcPr>
          <w:p>
            <w:r>
              <w:rPr>
                <w:b/>
                <w:bCs/>
                <w:sz w:val="20"/>
                <w:szCs w:val="20"/>
              </w:rPr>
              <w:t xml:space="preserve">Paperless Pipeline</w:t>
            </w:r>
          </w:p>
        </w:tc>
        <w:tc>
          <w:tcPr>
            <w:tcW w:type="dxa" w:w="1930"/>
            <w:shd w:fill="FCE4E4" w:val="clear"/>
            <w:tcMar>
              <w:top w:type="dxa" w:w="80"/>
              <w:left w:type="dxa" w:w="120"/>
              <w:bottom w:type="dxa" w:w="80"/>
              <w:right w:type="dxa" w:w="120"/>
            </w:tcMar>
          </w:tcPr>
          <w:p>
            <w:r>
              <w:rPr>
                <w:b/>
                <w:bCs/>
                <w:sz w:val="20"/>
                <w:szCs w:val="20"/>
              </w:rPr>
              <w:t xml:space="preserve">BoldTrail BackOffice</w:t>
            </w:r>
          </w:p>
        </w:tc>
      </w:tr>
      <w:tr>
        <w:tc>
          <w:tcPr>
            <w:tcW w:type="dxa" w:w="2000"/>
            <w:tcMar>
              <w:top w:type="dxa" w:w="80"/>
              <w:left w:type="dxa" w:w="120"/>
              <w:bottom w:type="dxa" w:w="80"/>
              <w:right w:type="dxa" w:w="120"/>
            </w:tcMar>
          </w:tcPr>
          <w:p>
            <w:r>
              <w:rPr>
                <w:b/>
                <w:bCs/>
                <w:sz w:val="20"/>
                <w:szCs w:val="20"/>
              </w:rPr>
              <w:t xml:space="preserve">G2 rating</w:t>
            </w:r>
          </w:p>
        </w:tc>
        <w:tc>
          <w:tcPr>
            <w:tcW w:type="dxa" w:w="1930"/>
            <w:tcMar>
              <w:top w:type="dxa" w:w="80"/>
              <w:left w:type="dxa" w:w="120"/>
              <w:bottom w:type="dxa" w:w="80"/>
              <w:right w:type="dxa" w:w="120"/>
            </w:tcMar>
          </w:tcPr>
          <w:p>
            <w:r>
              <w:rPr>
                <w:b w:val="false"/>
                <w:bCs w:val="false"/>
                <w:sz w:val="20"/>
                <w:szCs w:val="20"/>
              </w:rPr>
              <w:t xml:space="preserve">4.4★ (81 reviews)</w:t>
            </w:r>
          </w:p>
        </w:tc>
        <w:tc>
          <w:tcPr>
            <w:tcW w:type="dxa" w:w="1930"/>
            <w:tcMar>
              <w:top w:type="dxa" w:w="80"/>
              <w:left w:type="dxa" w:w="120"/>
              <w:bottom w:type="dxa" w:w="80"/>
              <w:right w:type="dxa" w:w="120"/>
            </w:tcMar>
          </w:tcPr>
          <w:p>
            <w:r>
              <w:rPr>
                <w:b w:val="false"/>
                <w:bCs w:val="false"/>
                <w:sz w:val="20"/>
                <w:szCs w:val="20"/>
              </w:rPr>
              <w:t xml:space="preserve">4.3★ (175 reviews)</w:t>
            </w:r>
          </w:p>
        </w:tc>
        <w:tc>
          <w:tcPr>
            <w:tcW w:type="dxa" w:w="1930"/>
            <w:tcMar>
              <w:top w:type="dxa" w:w="80"/>
              <w:left w:type="dxa" w:w="120"/>
              <w:bottom w:type="dxa" w:w="80"/>
              <w:right w:type="dxa" w:w="120"/>
            </w:tcMar>
          </w:tcPr>
          <w:p>
            <w:r>
              <w:rPr>
                <w:b w:val="false"/>
                <w:bCs w:val="false"/>
                <w:sz w:val="20"/>
                <w:szCs w:val="20"/>
              </w:rPr>
              <w:t xml:space="preserve">(low volume on G2)</w:t>
            </w:r>
          </w:p>
        </w:tc>
        <w:tc>
          <w:tcPr>
            <w:tcW w:type="dxa" w:w="1930"/>
            <w:tcMar>
              <w:top w:type="dxa" w:w="80"/>
              <w:left w:type="dxa" w:w="120"/>
              <w:bottom w:type="dxa" w:w="80"/>
              <w:right w:type="dxa" w:w="120"/>
            </w:tcMar>
          </w:tcPr>
          <w:p>
            <w:r>
              <w:rPr>
                <w:b w:val="false"/>
                <w:bCs w:val="false"/>
                <w:sz w:val="20"/>
                <w:szCs w:val="20"/>
              </w:rPr>
              <w:t xml:space="preserve">4.3★ (176 reviews)</w:t>
            </w:r>
          </w:p>
        </w:tc>
      </w:tr>
      <w:tr>
        <w:tc>
          <w:tcPr>
            <w:tcW w:type="dxa" w:w="2000"/>
            <w:tcMar>
              <w:top w:type="dxa" w:w="80"/>
              <w:left w:type="dxa" w:w="120"/>
              <w:bottom w:type="dxa" w:w="80"/>
              <w:right w:type="dxa" w:w="120"/>
            </w:tcMar>
          </w:tcPr>
          <w:p>
            <w:r>
              <w:rPr>
                <w:b/>
                <w:bCs/>
                <w:sz w:val="20"/>
                <w:szCs w:val="20"/>
              </w:rPr>
              <w:t xml:space="preserve">Capterra rating</w:t>
            </w:r>
          </w:p>
        </w:tc>
        <w:tc>
          <w:tcPr>
            <w:tcW w:type="dxa" w:w="1930"/>
            <w:tcMar>
              <w:top w:type="dxa" w:w="80"/>
              <w:left w:type="dxa" w:w="120"/>
              <w:bottom w:type="dxa" w:w="80"/>
              <w:right w:type="dxa" w:w="120"/>
            </w:tcMar>
          </w:tcPr>
          <w:p>
            <w:r>
              <w:rPr>
                <w:b/>
                <w:bCs/>
                <w:color w:val="C00000"/>
                <w:sz w:val="20"/>
                <w:szCs w:val="20"/>
              </w:rPr>
              <w:t xml:space="preserve">3.9★ (77) — lowest of the set</w:t>
            </w:r>
          </w:p>
        </w:tc>
        <w:tc>
          <w:tcPr>
            <w:tcW w:type="dxa" w:w="1930"/>
            <w:tcMar>
              <w:top w:type="dxa" w:w="80"/>
              <w:left w:type="dxa" w:w="120"/>
              <w:bottom w:type="dxa" w:w="80"/>
              <w:right w:type="dxa" w:w="120"/>
            </w:tcMar>
          </w:tcPr>
          <w:p>
            <w:r>
              <w:rPr>
                <w:b w:val="false"/>
                <w:bCs w:val="false"/>
                <w:sz w:val="20"/>
                <w:szCs w:val="20"/>
              </w:rPr>
              <w:t xml:space="preserve">~4.5★ (large volume)</w:t>
            </w:r>
          </w:p>
        </w:tc>
        <w:tc>
          <w:tcPr>
            <w:tcW w:type="dxa" w:w="1930"/>
            <w:tcMar>
              <w:top w:type="dxa" w:w="80"/>
              <w:left w:type="dxa" w:w="120"/>
              <w:bottom w:type="dxa" w:w="80"/>
              <w:right w:type="dxa" w:w="120"/>
            </w:tcMar>
          </w:tcPr>
          <w:p>
            <w:r>
              <w:rPr>
                <w:b w:val="false"/>
                <w:bCs w:val="false"/>
                <w:sz w:val="20"/>
                <w:szCs w:val="20"/>
              </w:rPr>
              <w:t xml:space="preserve">4.8★ — highest satisfaction</w:t>
            </w:r>
          </w:p>
        </w:tc>
        <w:tc>
          <w:tcPr>
            <w:tcW w:type="dxa" w:w="1930"/>
            <w:tcMar>
              <w:top w:type="dxa" w:w="80"/>
              <w:left w:type="dxa" w:w="120"/>
              <w:bottom w:type="dxa" w:w="80"/>
              <w:right w:type="dxa" w:w="120"/>
            </w:tcMar>
          </w:tcPr>
          <w:p>
            <w:r>
              <w:rPr>
                <w:b w:val="false"/>
                <w:bCs w:val="false"/>
                <w:sz w:val="20"/>
                <w:szCs w:val="20"/>
              </w:rPr>
              <w:t xml:space="preserve">4.3★-range</w:t>
            </w:r>
          </w:p>
        </w:tc>
      </w:tr>
      <w:tr>
        <w:tc>
          <w:tcPr>
            <w:tcW w:type="dxa" w:w="2000"/>
            <w:tcMar>
              <w:top w:type="dxa" w:w="80"/>
              <w:left w:type="dxa" w:w="120"/>
              <w:bottom w:type="dxa" w:w="80"/>
              <w:right w:type="dxa" w:w="120"/>
            </w:tcMar>
          </w:tcPr>
          <w:p>
            <w:r>
              <w:rPr>
                <w:b/>
                <w:bCs/>
                <w:sz w:val="20"/>
                <w:szCs w:val="20"/>
              </w:rPr>
              <w:t xml:space="preserve">Review-volume optics</w:t>
            </w:r>
          </w:p>
        </w:tc>
        <w:tc>
          <w:tcPr>
            <w:tcW w:type="dxa" w:w="1930"/>
            <w:tcMar>
              <w:top w:type="dxa" w:w="80"/>
              <w:left w:type="dxa" w:w="120"/>
              <w:bottom w:type="dxa" w:w="80"/>
              <w:right w:type="dxa" w:w="120"/>
            </w:tcMar>
          </w:tcPr>
          <w:p>
            <w:r>
              <w:rPr>
                <w:b w:val="false"/>
                <w:bCs w:val="false"/>
                <w:color w:val="C00000"/>
                <w:sz w:val="20"/>
                <w:szCs w:val="20"/>
              </w:rPr>
              <w:t xml:space="preserve">Half the volume of Dotloop/BoldTrail — reads as 'smaller player' despite 900K users</w:t>
            </w:r>
          </w:p>
        </w:tc>
        <w:tc>
          <w:tcPr>
            <w:tcW w:type="dxa" w:w="1930"/>
            <w:tcMar>
              <w:top w:type="dxa" w:w="80"/>
              <w:left w:type="dxa" w:w="120"/>
              <w:bottom w:type="dxa" w:w="80"/>
              <w:right w:type="dxa" w:w="120"/>
            </w:tcMar>
          </w:tcPr>
          <w:p>
            <w:r>
              <w:rPr>
                <w:b w:val="false"/>
                <w:bCs w:val="false"/>
                <w:sz w:val="20"/>
                <w:szCs w:val="20"/>
              </w:rPr>
              <w:t xml:space="preserve">Deep bench of agent reviews</w:t>
            </w:r>
          </w:p>
        </w:tc>
        <w:tc>
          <w:tcPr>
            <w:tcW w:type="dxa" w:w="1930"/>
            <w:tcMar>
              <w:top w:type="dxa" w:w="80"/>
              <w:left w:type="dxa" w:w="120"/>
              <w:bottom w:type="dxa" w:w="80"/>
              <w:right w:type="dxa" w:w="120"/>
            </w:tcMar>
          </w:tcPr>
          <w:p>
            <w:r>
              <w:rPr>
                <w:b w:val="false"/>
                <w:bCs w:val="false"/>
                <w:sz w:val="20"/>
                <w:szCs w:val="20"/>
              </w:rPr>
              <w:t xml:space="preserve">Few but glowing</w:t>
            </w:r>
          </w:p>
        </w:tc>
        <w:tc>
          <w:tcPr>
            <w:tcW w:type="dxa" w:w="1930"/>
            <w:tcMar>
              <w:top w:type="dxa" w:w="80"/>
              <w:left w:type="dxa" w:w="120"/>
              <w:bottom w:type="dxa" w:w="80"/>
              <w:right w:type="dxa" w:w="120"/>
            </w:tcMar>
          </w:tcPr>
          <w:p>
            <w:r>
              <w:rPr>
                <w:b w:val="false"/>
                <w:bCs w:val="false"/>
                <w:sz w:val="20"/>
                <w:szCs w:val="20"/>
              </w:rPr>
              <w:t xml:space="preserve">Deep bench</w:t>
            </w:r>
          </w:p>
        </w:tc>
      </w:tr>
      <w:tr>
        <w:tc>
          <w:tcPr>
            <w:tcW w:type="dxa" w:w="2000"/>
            <w:tcMar>
              <w:top w:type="dxa" w:w="80"/>
              <w:left w:type="dxa" w:w="120"/>
              <w:bottom w:type="dxa" w:w="80"/>
              <w:right w:type="dxa" w:w="120"/>
            </w:tcMar>
          </w:tcPr>
          <w:p>
            <w:r>
              <w:rPr>
                <w:b/>
                <w:bCs/>
                <w:sz w:val="20"/>
                <w:szCs w:val="20"/>
              </w:rPr>
              <w:t xml:space="preserve">Recurring complaint themes</w:t>
            </w:r>
          </w:p>
        </w:tc>
        <w:tc>
          <w:tcPr>
            <w:tcW w:type="dxa" w:w="1930"/>
            <w:tcMar>
              <w:top w:type="dxa" w:w="80"/>
              <w:left w:type="dxa" w:w="120"/>
              <w:bottom w:type="dxa" w:w="80"/>
              <w:right w:type="dxa" w:w="120"/>
            </w:tcMar>
          </w:tcPr>
          <w:p>
            <w:r>
              <w:rPr>
                <w:b w:val="false"/>
                <w:bCs w:val="false"/>
                <w:sz w:val="20"/>
                <w:szCs w:val="20"/>
              </w:rPr>
              <w:t xml:space="preserve">"Built for CA residential," setup friction, extra clicks, crashes; newer users the most frustrated</w:t>
            </w:r>
          </w:p>
        </w:tc>
        <w:tc>
          <w:tcPr>
            <w:tcW w:type="dxa" w:w="1930"/>
            <w:tcMar>
              <w:top w:type="dxa" w:w="80"/>
              <w:left w:type="dxa" w:w="120"/>
              <w:bottom w:type="dxa" w:w="80"/>
              <w:right w:type="dxa" w:w="120"/>
            </w:tcMar>
          </w:tcPr>
          <w:p>
            <w:r>
              <w:rPr>
                <w:b w:val="false"/>
                <w:bCs w:val="false"/>
                <w:sz w:val="20"/>
                <w:szCs w:val="20"/>
              </w:rPr>
              <w:t xml:space="preserve">Low 'product direction' score (6.9/10) — perceived stagnation</w:t>
            </w:r>
          </w:p>
        </w:tc>
        <w:tc>
          <w:tcPr>
            <w:tcW w:type="dxa" w:w="1930"/>
            <w:tcMar>
              <w:top w:type="dxa" w:w="80"/>
              <w:left w:type="dxa" w:w="120"/>
              <w:bottom w:type="dxa" w:w="80"/>
              <w:right w:type="dxa" w:w="120"/>
            </w:tcMar>
          </w:tcPr>
          <w:p>
            <w:r>
              <w:rPr>
                <w:b w:val="false"/>
                <w:bCs w:val="false"/>
                <w:sz w:val="20"/>
                <w:szCs w:val="20"/>
              </w:rPr>
              <w:t xml:space="preserve">Dated 90s-style UI</w:t>
            </w:r>
          </w:p>
        </w:tc>
        <w:tc>
          <w:tcPr>
            <w:tcW w:type="dxa" w:w="1930"/>
            <w:tcMar>
              <w:top w:type="dxa" w:w="80"/>
              <w:left w:type="dxa" w:w="120"/>
              <w:bottom w:type="dxa" w:w="80"/>
              <w:right w:type="dxa" w:w="120"/>
            </w:tcMar>
          </w:tcPr>
          <w:p>
            <w:r>
              <w:rPr>
                <w:b w:val="false"/>
                <w:bCs w:val="false"/>
                <w:sz w:val="20"/>
                <w:szCs w:val="20"/>
              </w:rPr>
              <w:t xml:space="preserve">Support slowness, email deliverability</w:t>
            </w:r>
          </w:p>
        </w:tc>
      </w:tr>
      <w:tr>
        <w:tc>
          <w:tcPr>
            <w:tcW w:type="dxa" w:w="2000"/>
            <w:tcMar>
              <w:top w:type="dxa" w:w="80"/>
              <w:left w:type="dxa" w:w="120"/>
              <w:bottom w:type="dxa" w:w="80"/>
              <w:right w:type="dxa" w:w="120"/>
            </w:tcMar>
          </w:tcPr>
          <w:p>
            <w:r>
              <w:rPr>
                <w:b/>
                <w:bCs/>
                <w:sz w:val="20"/>
                <w:szCs w:val="20"/>
              </w:rPr>
              <w:t xml:space="preserve">Social feed a prospect finds</w:t>
            </w:r>
          </w:p>
        </w:tc>
        <w:tc>
          <w:tcPr>
            <w:tcW w:type="dxa" w:w="1930"/>
            <w:tcMar>
              <w:top w:type="dxa" w:w="80"/>
              <w:left w:type="dxa" w:w="120"/>
              <w:bottom w:type="dxa" w:w="80"/>
              <w:right w:type="dxa" w:w="120"/>
            </w:tcMar>
          </w:tcPr>
          <w:p>
            <w:r>
              <w:rPr>
                <w:b/>
                <w:bCs/>
                <w:color w:val="C00000"/>
                <w:sz w:val="20"/>
                <w:szCs w:val="20"/>
              </w:rPr>
              <w:t xml:space="preserve">2–9 likes, zero comments, all-CTA press-release feed (June audit)</w:t>
            </w:r>
          </w:p>
        </w:tc>
        <w:tc>
          <w:tcPr>
            <w:tcW w:type="dxa" w:w="1930"/>
            <w:tcMar>
              <w:top w:type="dxa" w:w="80"/>
              <w:left w:type="dxa" w:w="120"/>
              <w:bottom w:type="dxa" w:w="80"/>
              <w:right w:type="dxa" w:w="120"/>
            </w:tcMar>
          </w:tcPr>
          <w:p>
            <w:r>
              <w:rPr>
                <w:b w:val="false"/>
                <w:bCs w:val="false"/>
                <w:sz w:val="20"/>
                <w:szCs w:val="20"/>
              </w:rPr>
              <w:t xml:space="preserve">Established agent-brand presence</w:t>
            </w:r>
          </w:p>
        </w:tc>
        <w:tc>
          <w:tcPr>
            <w:tcW w:type="dxa" w:w="1930"/>
            <w:tcMar>
              <w:top w:type="dxa" w:w="80"/>
              <w:left w:type="dxa" w:w="120"/>
              <w:bottom w:type="dxa" w:w="80"/>
              <w:right w:type="dxa" w:w="120"/>
            </w:tcMar>
          </w:tcPr>
          <w:p>
            <w:r>
              <w:rPr>
                <w:b w:val="false"/>
                <w:bCs w:val="false"/>
                <w:sz w:val="20"/>
                <w:szCs w:val="20"/>
              </w:rPr>
              <w:t xml:space="preserve">Minimal social, but their content ranks in search instead</w:t>
            </w:r>
          </w:p>
        </w:tc>
        <w:tc>
          <w:tcPr>
            <w:tcW w:type="dxa" w:w="1930"/>
            <w:tcMar>
              <w:top w:type="dxa" w:w="80"/>
              <w:left w:type="dxa" w:w="120"/>
              <w:bottom w:type="dxa" w:w="80"/>
              <w:right w:type="dxa" w:w="120"/>
            </w:tcMar>
          </w:tcPr>
          <w:p>
            <w:r>
              <w:rPr>
                <w:b w:val="false"/>
                <w:bCs w:val="false"/>
                <w:sz w:val="20"/>
                <w:szCs w:val="20"/>
              </w:rPr>
              <w:t xml:space="preserve">Suite-level marketing machine</w:t>
            </w:r>
          </w:p>
        </w:tc>
      </w:tr>
      <w:tr>
        <w:tc>
          <w:tcPr>
            <w:tcW w:type="dxa" w:w="2000"/>
            <w:tcMar>
              <w:top w:type="dxa" w:w="80"/>
              <w:left w:type="dxa" w:w="120"/>
              <w:bottom w:type="dxa" w:w="80"/>
              <w:right w:type="dxa" w:w="120"/>
            </w:tcMar>
          </w:tcPr>
          <w:p>
            <w:r>
              <w:rPr>
                <w:b/>
                <w:bCs/>
                <w:sz w:val="20"/>
                <w:szCs w:val="20"/>
              </w:rPr>
              <w:t xml:space="preserve">Comparison narrative</w:t>
            </w:r>
          </w:p>
        </w:tc>
        <w:tc>
          <w:tcPr>
            <w:tcW w:type="dxa" w:w="1930"/>
            <w:tcMar>
              <w:top w:type="dxa" w:w="80"/>
              <w:left w:type="dxa" w:w="120"/>
              <w:bottom w:type="dxa" w:w="80"/>
              <w:right w:type="dxa" w:w="120"/>
            </w:tcMar>
          </w:tcPr>
          <w:p>
            <w:r>
              <w:rPr>
                <w:b w:val="false"/>
                <w:bCs w:val="false"/>
                <w:color w:val="C00000"/>
                <w:sz w:val="20"/>
                <w:szCs w:val="20"/>
              </w:rPr>
              <w:t xml:space="preserve">Hosted by competitors: Paperless Pipeline's own "SkySlope vs Dotloop vs Paperless Pipeline" pages rank on category terms</w:t>
            </w:r>
          </w:p>
        </w:tc>
        <w:tc>
          <w:tcPr>
            <w:tcW w:type="dxa" w:w="1930"/>
            <w:tcMar>
              <w:top w:type="dxa" w:w="80"/>
              <w:left w:type="dxa" w:w="120"/>
              <w:bottom w:type="dxa" w:w="80"/>
              <w:right w:type="dxa" w:w="120"/>
            </w:tcMar>
          </w:tcPr>
          <w:p>
            <w:r>
              <w:rPr>
                <w:b w:val="false"/>
                <w:bCs w:val="false"/>
                <w:sz w:val="20"/>
                <w:szCs w:val="20"/>
              </w:rPr>
              <w:t xml:space="preserve">Benefits from incumbent familiarity</w:t>
            </w:r>
          </w:p>
        </w:tc>
        <w:tc>
          <w:tcPr>
            <w:tcW w:type="dxa" w:w="1930"/>
            <w:tcMar>
              <w:top w:type="dxa" w:w="80"/>
              <w:left w:type="dxa" w:w="120"/>
              <w:bottom w:type="dxa" w:w="80"/>
              <w:right w:type="dxa" w:w="120"/>
            </w:tcMar>
          </w:tcPr>
          <w:p>
            <w:r>
              <w:rPr>
                <w:b w:val="false"/>
                <w:bCs w:val="false"/>
                <w:sz w:val="20"/>
                <w:szCs w:val="20"/>
              </w:rPr>
              <w:t xml:space="preserve">Writes and ranks the comparisons</w:t>
            </w:r>
          </w:p>
        </w:tc>
        <w:tc>
          <w:tcPr>
            <w:tcW w:type="dxa" w:w="1930"/>
            <w:tcMar>
              <w:top w:type="dxa" w:w="80"/>
              <w:left w:type="dxa" w:w="120"/>
              <w:bottom w:type="dxa" w:w="80"/>
              <w:right w:type="dxa" w:w="120"/>
            </w:tcMar>
          </w:tcPr>
          <w:p>
            <w:r>
              <w:rPr>
                <w:b w:val="false"/>
                <w:bCs w:val="false"/>
                <w:sz w:val="20"/>
                <w:szCs w:val="20"/>
              </w:rPr>
              <w:t xml:space="preserve">Suite story controls its frame</w:t>
            </w:r>
          </w:p>
        </w:tc>
      </w:tr>
    </w:tbl>
    <w:p>
      <w:pPr>
        <w:spacing w:after="120"/>
      </w:pPr>
      <w:r>
        <w:rPr>
          <w:rFonts w:ascii="Calibri" w:cs="Calibri" w:eastAsia="Calibri" w:hAnsi="Calibri"/>
          <w:sz w:val="22"/>
          <w:szCs w:val="22"/>
        </w:rPr>
        <w:t xml:space="preserve"/>
      </w:r>
    </w:p>
    <w:p>
      <w:pPr>
        <w:pStyle w:val="Heading2"/>
        <w:spacing w:after="100" w:before="200"/>
      </w:pPr>
      <w:r>
        <w:rPr>
          <w:b/>
          <w:bCs/>
          <w:color w:val="C00000"/>
          <w:sz w:val="24"/>
          <w:szCs w:val="24"/>
        </w:rPr>
        <w:t xml:space="preserve">What this means</w:t>
      </w:r>
    </w:p>
    <w:p>
      <w:pPr>
        <w:pStyle w:val="ListParagraph"/>
        <w:numPr>
          <w:ilvl w:val="0"/>
          <w:numId w:val="2"/>
        </w:numPr>
        <w:spacing w:after="80"/>
      </w:pPr>
      <w:r>
        <w:rPr>
          <w:b/>
          <w:bCs/>
          <w:sz w:val="22"/>
          <w:szCs w:val="22"/>
        </w:rPr>
        <w:t xml:space="preserve">The evidence gap — </w:t>
      </w:r>
      <w:r>
        <w:rPr>
          <w:sz w:val="22"/>
          <w:szCs w:val="22"/>
        </w:rPr>
        <w:t xml:space="preserve">A prospect who never talks to sales — which is most of them at stage 2–3 — currently encounters SkySlope's weakest surfaces (a 3.9★ Capterra page, a silent Instagram, a competitor-authored comparison) and none of its strongest evidence (900K users, 3M transactions, enterprise logos, MLS partnerships).</w:t>
      </w:r>
    </w:p>
    <w:p>
      <w:pPr>
        <w:pStyle w:val="ListParagraph"/>
        <w:numPr>
          <w:ilvl w:val="0"/>
          <w:numId w:val="2"/>
        </w:numPr>
        <w:spacing w:after="80"/>
      </w:pPr>
      <w:r>
        <w:rPr>
          <w:b/>
          <w:bCs/>
          <w:sz w:val="22"/>
          <w:szCs w:val="22"/>
        </w:rPr>
        <w:t xml:space="preserve">AI amplifies it — </w:t>
      </w:r>
      <w:r>
        <w:rPr>
          <w:sz w:val="22"/>
          <w:szCs w:val="22"/>
        </w:rPr>
        <w:t xml:space="preserve">Review sites and Reddit threads increasingly feed AI answers. SkySlope's AI-overview wins on broker keywords are real — but as buyers shift from 'search' to 'ask,' the review corpus becomes the training data for the answer. A thin, aging review base is a compounding liability.</w:t>
      </w:r>
    </w:p>
    <w:p>
      <w:pPr>
        <w:pStyle w:val="ListParagraph"/>
        <w:numPr>
          <w:ilvl w:val="0"/>
          <w:numId w:val="2"/>
        </w:numPr>
        <w:spacing w:after="80"/>
      </w:pPr>
      <w:r>
        <w:rPr>
          <w:b/>
          <w:bCs/>
          <w:sz w:val="22"/>
          <w:szCs w:val="22"/>
        </w:rPr>
        <w:t xml:space="preserve">The fix is orchestrated, not organic-only — </w:t>
      </w:r>
      <w:r>
        <w:rPr>
          <w:sz w:val="22"/>
          <w:szCs w:val="22"/>
        </w:rPr>
        <w:t xml:space="preserve">None of this is fixed by posting more. It's fixed by a review-generation program (happy enterprise customers → G2/Capterra, timed to renewals and support wins), active social feeds that look alive when checked, owned comparison content, and community presence where validation actually happens. The social strategy is the delivery vehicle for all four.</w:t>
      </w:r>
    </w:p>
    <w:p>
      <w:pPr>
        <w:pStyle w:val="Heading1"/>
        <w:spacing w:after="140" w:before="280"/>
      </w:pPr>
      <w:r>
        <w:rPr>
          <w:b/>
          <w:bCs/>
          <w:color w:val="1F3864"/>
          <w:sz w:val="30"/>
          <w:szCs w:val="30"/>
        </w:rPr>
        <w:t xml:space="preserve">6. The Audience Growth &amp; Engagement Engine</w:t>
      </w:r>
    </w:p>
    <w:p>
      <w:pPr>
        <w:spacing w:after="120"/>
      </w:pPr>
      <w:r>
        <w:rPr>
          <w:rFonts w:ascii="Calibri" w:cs="Calibri" w:eastAsia="Calibri" w:hAnsi="Calibri"/>
          <w:sz w:val="22"/>
          <w:szCs w:val="22"/>
        </w:rPr>
        <w:t xml:space="preserve">Addressing the elephant directly: SkySlope's social following and engagement are low relative to a 900K-user base — customers, prospects, and even the sales team's network aren't following or engaging. Content alone won't fix a distribution problem. The engine below builds the audience deliberately:</w:t>
      </w:r>
    </w:p>
    <w:p>
      <w:pPr>
        <w:pStyle w:val="Heading2"/>
        <w:spacing w:after="100" w:before="200"/>
      </w:pPr>
      <w:r>
        <w:rPr>
          <w:b/>
          <w:bCs/>
          <w:color w:val="2E74B5"/>
          <w:sz w:val="24"/>
          <w:szCs w:val="24"/>
        </w:rPr>
        <w:t xml:space="preserve">6.1 Convert the customer base you already own</w:t>
      </w:r>
    </w:p>
    <w:p>
      <w:pPr>
        <w:pStyle w:val="ListParagraph"/>
        <w:numPr>
          <w:ilvl w:val="0"/>
          <w:numId w:val="2"/>
        </w:numPr>
        <w:spacing w:after="80"/>
      </w:pPr>
      <w:r>
        <w:rPr>
          <w:b/>
          <w:bCs/>
          <w:sz w:val="22"/>
          <w:szCs w:val="22"/>
        </w:rPr>
        <w:t xml:space="preserve">Owned-channel conversion — </w:t>
      </w:r>
      <w:r>
        <w:rPr>
          <w:sz w:val="22"/>
          <w:szCs w:val="22"/>
        </w:rPr>
        <w:t xml:space="preserve">Put follow prompts where customers already are: in-product banners/release notes, onboarding email sequences, support-resolution emails, webinar end-cards, invoice/newsletter footers — each with a reason ("follow for the monthly Index stat + feature tips"), not a bare icon.</w:t>
      </w:r>
    </w:p>
    <w:p>
      <w:pPr>
        <w:pStyle w:val="ListParagraph"/>
        <w:numPr>
          <w:ilvl w:val="0"/>
          <w:numId w:val="2"/>
        </w:numPr>
        <w:spacing w:after="80"/>
      </w:pPr>
      <w:r>
        <w:rPr>
          <w:b/>
          <w:bCs/>
          <w:sz w:val="22"/>
          <w:szCs w:val="22"/>
        </w:rPr>
        <w:t xml:space="preserve">Feature-to-follow flywheel — </w:t>
      </w:r>
      <w:r>
        <w:rPr>
          <w:sz w:val="22"/>
          <w:szCs w:val="22"/>
        </w:rPr>
        <w:t xml:space="preserve">Make being featured the incentive: an open call for Customer Spotlights and "TC of the Month." Featured customers and their brokerages follow, share, and tag — and their networks follow them.</w:t>
      </w:r>
    </w:p>
    <w:p>
      <w:pPr>
        <w:pStyle w:val="ListParagraph"/>
        <w:numPr>
          <w:ilvl w:val="0"/>
          <w:numId w:val="2"/>
        </w:numPr>
        <w:spacing w:after="80"/>
      </w:pPr>
      <w:r>
        <w:rPr>
          <w:b/>
          <w:bCs/>
          <w:sz w:val="22"/>
          <w:szCs w:val="22"/>
        </w:rPr>
        <w:t xml:space="preserve">Wrapped effect — </w:t>
      </w:r>
      <w:r>
        <w:rPr>
          <w:sz w:val="22"/>
          <w:szCs w:val="22"/>
        </w:rPr>
        <w:t xml:space="preserve">Annual Wrapped personal stats (phase 2) are the single strongest follow driver available: agents share their own numbers, and their entire sphere sees SkySlope's handle.</w:t>
      </w:r>
    </w:p>
    <w:p>
      <w:pPr>
        <w:pStyle w:val="Heading2"/>
        <w:spacing w:after="100" w:before="200"/>
      </w:pPr>
      <w:r>
        <w:rPr>
          <w:b/>
          <w:bCs/>
          <w:color w:val="2E74B5"/>
          <w:sz w:val="24"/>
          <w:szCs w:val="24"/>
        </w:rPr>
        <w:t xml:space="preserve">6.2 Activate sales, CS, and leadership as the distribution layer</w:t>
      </w:r>
    </w:p>
    <w:p>
      <w:pPr>
        <w:pStyle w:val="ListParagraph"/>
        <w:numPr>
          <w:ilvl w:val="0"/>
          <w:numId w:val="2"/>
        </w:numPr>
        <w:spacing w:after="80"/>
      </w:pPr>
      <w:r>
        <w:rPr>
          <w:b/>
          <w:bCs/>
          <w:sz w:val="22"/>
          <w:szCs w:val="22"/>
        </w:rPr>
        <w:t xml:space="preserve">The first 100 engagements are internal — </w:t>
      </w:r>
      <w:r>
        <w:rPr>
          <w:sz w:val="22"/>
          <w:szCs w:val="22"/>
        </w:rPr>
        <w:t xml:space="preserve">Employee advocacy program: every AE, CSM, and exec connects with their book of business on LinkedIn and shares/comments on Index and Spotlight posts within the first hour (the engagement floor that trains the algorithm). Provide a weekly share kit — pre-written angles, not scripts.</w:t>
      </w:r>
    </w:p>
    <w:p>
      <w:pPr>
        <w:pStyle w:val="ListParagraph"/>
        <w:numPr>
          <w:ilvl w:val="0"/>
          <w:numId w:val="2"/>
        </w:numPr>
        <w:spacing w:after="80"/>
      </w:pPr>
      <w:r>
        <w:rPr>
          <w:b/>
          <w:bCs/>
          <w:sz w:val="22"/>
          <w:szCs w:val="22"/>
        </w:rPr>
        <w:t xml:space="preserve">Content as sales motion — </w:t>
      </w:r>
      <w:r>
        <w:rPr>
          <w:sz w:val="22"/>
          <w:szCs w:val="22"/>
        </w:rPr>
        <w:t xml:space="preserve">Sales uses content as touches: an Index stat is a non-pitch reason to message a stalled prospect. Prospects who engage with data posts are warm signals back to sales (social selling loop).</w:t>
      </w:r>
    </w:p>
    <w:p>
      <w:pPr>
        <w:pStyle w:val="ListParagraph"/>
        <w:numPr>
          <w:ilvl w:val="0"/>
          <w:numId w:val="2"/>
        </w:numPr>
        <w:spacing w:after="80"/>
      </w:pPr>
      <w:r>
        <w:rPr>
          <w:b/>
          <w:bCs/>
          <w:sz w:val="22"/>
          <w:szCs w:val="22"/>
        </w:rPr>
        <w:t xml:space="preserve">Exec reach transfer — </w:t>
      </w:r>
      <w:r>
        <w:rPr>
          <w:sz w:val="22"/>
          <w:szCs w:val="22"/>
        </w:rPr>
        <w:t xml:space="preserve">2–3 execs posting 1x/week (per the engagement plan) with the Page resharing — personal profiles carry 5–10x Page reach; the Page harvests the followers.</w:t>
      </w:r>
    </w:p>
    <w:p>
      <w:pPr>
        <w:pStyle w:val="Heading2"/>
        <w:spacing w:after="100" w:before="200"/>
      </w:pPr>
      <w:r>
        <w:rPr>
          <w:b/>
          <w:bCs/>
          <w:color w:val="2E74B5"/>
          <w:sz w:val="24"/>
          <w:szCs w:val="24"/>
        </w:rPr>
        <w:t xml:space="preserve">6.3 Borrow audiences where the industry already gathers</w:t>
      </w:r>
    </w:p>
    <w:p>
      <w:pPr>
        <w:pStyle w:val="ListParagraph"/>
        <w:numPr>
          <w:ilvl w:val="0"/>
          <w:numId w:val="2"/>
        </w:numPr>
        <w:spacing w:after="80"/>
      </w:pPr>
      <w:r>
        <w:rPr>
          <w:b/>
          <w:bCs/>
          <w:sz w:val="22"/>
          <w:szCs w:val="22"/>
        </w:rPr>
        <w:t xml:space="preserve">Partner amplification — </w:t>
      </w:r>
      <w:r>
        <w:rPr>
          <w:sz w:val="22"/>
          <w:szCs w:val="22"/>
        </w:rPr>
        <w:t xml:space="preserve">Partner co-marketing: MLS partners, franchise partners (NextHome, etc.), and integration partners have the exact audience — co-branded stats and tag-exchanges put SkySlope in front of pre-qualified followers.</w:t>
      </w:r>
    </w:p>
    <w:p>
      <w:pPr>
        <w:pStyle w:val="ListParagraph"/>
        <w:numPr>
          <w:ilvl w:val="0"/>
          <w:numId w:val="2"/>
        </w:numPr>
        <w:spacing w:after="80"/>
      </w:pPr>
      <w:r>
        <w:rPr>
          <w:b/>
          <w:bCs/>
          <w:sz w:val="22"/>
          <w:szCs w:val="22"/>
        </w:rPr>
        <w:t xml:space="preserve">Community presence — </w:t>
      </w:r>
      <w:r>
        <w:rPr>
          <w:sz w:val="22"/>
          <w:szCs w:val="22"/>
        </w:rPr>
        <w:t xml:space="preserve">Value-first participation in TC Facebook groups, broker communities, and relevant Reddit threads — as named humans, not the brand account, never salesy. This is where Tina validates vendors; absence is a vote against.</w:t>
      </w:r>
    </w:p>
    <w:p>
      <w:pPr>
        <w:pStyle w:val="ListParagraph"/>
        <w:numPr>
          <w:ilvl w:val="0"/>
          <w:numId w:val="2"/>
        </w:numPr>
        <w:spacing w:after="80"/>
      </w:pPr>
      <w:r>
        <w:rPr>
          <w:b/>
          <w:bCs/>
          <w:sz w:val="22"/>
          <w:szCs w:val="22"/>
        </w:rPr>
        <w:t xml:space="preserve">Trusted voices — </w:t>
      </w:r>
      <w:r>
        <w:rPr>
          <w:sz w:val="22"/>
          <w:szCs w:val="22"/>
        </w:rPr>
        <w:t xml:space="preserve">Micro-influencers: TC educators and agent-tech reviewers with small, dense audiences. A workflow walkthrough from a trusted TC voice beats any ad.</w:t>
      </w:r>
    </w:p>
    <w:p>
      <w:pPr>
        <w:pStyle w:val="Heading2"/>
        <w:spacing w:after="100" w:before="200"/>
      </w:pPr>
      <w:r>
        <w:rPr>
          <w:b/>
          <w:bCs/>
          <w:color w:val="2E74B5"/>
          <w:sz w:val="24"/>
          <w:szCs w:val="24"/>
        </w:rPr>
        <w:t xml:space="preserve">6.4 Engagement mechanics (make the feed talk back)</w:t>
      </w:r>
    </w:p>
    <w:p>
      <w:pPr>
        <w:pStyle w:val="ListParagraph"/>
        <w:numPr>
          <w:ilvl w:val="0"/>
          <w:numId w:val="2"/>
        </w:numPr>
        <w:spacing w:after="80"/>
      </w:pPr>
      <w:r>
        <w:rPr>
          <w:b/>
          <w:bCs/>
          <w:sz w:val="22"/>
          <w:szCs w:val="22"/>
        </w:rPr>
        <w:t xml:space="preserve">Ask for interaction, not clicks — </w:t>
      </w:r>
      <w:r>
        <w:rPr>
          <w:sz w:val="22"/>
          <w:szCs w:val="22"/>
        </w:rPr>
        <w:t xml:space="preserve">Every post engineered for a response: polls, "tag a TC who…", hot-take questions, caption hooks in the first line. The zero-CTA bucket exists precisely to earn comments.</w:t>
      </w:r>
    </w:p>
    <w:p>
      <w:pPr>
        <w:pStyle w:val="ListParagraph"/>
        <w:numPr>
          <w:ilvl w:val="0"/>
          <w:numId w:val="2"/>
        </w:numPr>
        <w:spacing w:after="80"/>
      </w:pPr>
      <w:r>
        <w:rPr>
          <w:b/>
          <w:bCs/>
          <w:sz w:val="22"/>
          <w:szCs w:val="22"/>
        </w:rPr>
        <w:t xml:space="preserve">Work the comment section — </w:t>
      </w:r>
      <w:r>
        <w:rPr>
          <w:sz w:val="22"/>
          <w:szCs w:val="22"/>
        </w:rPr>
        <w:t xml:space="preserve">Reply to every comment and DM within 24h (community management is already in scope); seed first comments from team accounts; put the product mention in the reply, not the caption.</w:t>
      </w:r>
    </w:p>
    <w:p>
      <w:pPr>
        <w:pStyle w:val="ListParagraph"/>
        <w:numPr>
          <w:ilvl w:val="0"/>
          <w:numId w:val="2"/>
        </w:numPr>
        <w:spacing w:after="80"/>
      </w:pPr>
      <w:r>
        <w:rPr>
          <w:b/>
          <w:bCs/>
          <w:sz w:val="22"/>
          <w:szCs w:val="22"/>
        </w:rPr>
        <w:t xml:space="preserve">Paid as accelerant, not crutch — </w:t>
      </w:r>
      <w:r>
        <w:rPr>
          <w:sz w:val="22"/>
          <w:szCs w:val="22"/>
        </w:rPr>
        <w:t xml:space="preserve">Paid follower/engagement campaigns only against warm audiences — customer email lists, site retargeting, lookalikes — using proven testimonial/Index creative. Cheap, relevant follows; no cold boosting (per the audit).</w:t>
      </w:r>
    </w:p>
    <w:p>
      <w:pPr>
        <w:pStyle w:val="Heading2"/>
        <w:spacing w:after="100" w:before="200"/>
      </w:pPr>
      <w:r>
        <w:rPr>
          <w:b/>
          <w:bCs/>
          <w:color w:val="2E74B5"/>
          <w:sz w:val="24"/>
          <w:szCs w:val="24"/>
        </w:rPr>
        <w:t xml:space="preserve">6.5 Targets (first 2 quarters)</w:t>
      </w:r>
    </w:p>
    <w:p>
      <w:pPr>
        <w:pStyle w:val="ListParagraph"/>
        <w:numPr>
          <w:ilvl w:val="0"/>
          <w:numId w:val="2"/>
        </w:numPr>
        <w:spacing w:after="80"/>
      </w:pPr>
      <w:r>
        <w:rPr>
          <w:sz w:val="22"/>
          <w:szCs w:val="22"/>
        </w:rPr>
        <w:t xml:space="preserve">Engagement rate above the June baseline within 6 weeks (per the shared plan's checkpoint); comments &gt; 0 on 80% of posts within 90 days.</w:t>
      </w:r>
    </w:p>
    <w:p>
      <w:pPr>
        <w:pStyle w:val="ListParagraph"/>
        <w:numPr>
          <w:ilvl w:val="0"/>
          <w:numId w:val="2"/>
        </w:numPr>
        <w:spacing w:after="80"/>
      </w:pPr>
      <w:r>
        <w:rPr>
          <w:sz w:val="22"/>
          <w:szCs w:val="22"/>
        </w:rPr>
        <w:t xml:space="preserve">LinkedIn follower growth with a quality lens: track % of new followers from named customer/prospect accounts, not raw count.</w:t>
      </w:r>
    </w:p>
    <w:p>
      <w:pPr>
        <w:pStyle w:val="ListParagraph"/>
        <w:numPr>
          <w:ilvl w:val="0"/>
          <w:numId w:val="2"/>
        </w:numPr>
        <w:spacing w:after="80"/>
      </w:pPr>
      <w:r>
        <w:rPr>
          <w:sz w:val="22"/>
          <w:szCs w:val="22"/>
        </w:rPr>
        <w:t xml:space="preserve">Review-generation: +40 fresh G2/Capterra reviews in 6 months, prioritizing Capterra (the 3.9★ surface) and non-California, non-residential-only voices to counter the dominant complaint narrative.</w:t>
      </w:r>
    </w:p>
    <w:p>
      <w:pPr>
        <w:pStyle w:val="ListParagraph"/>
        <w:numPr>
          <w:ilvl w:val="0"/>
          <w:numId w:val="2"/>
        </w:numPr>
        <w:spacing w:after="80"/>
      </w:pPr>
      <w:r>
        <w:rPr>
          <w:sz w:val="22"/>
          <w:szCs w:val="22"/>
        </w:rPr>
        <w:t xml:space="preserve">10 employee advocates active weekly; 2 exec voices publishing; 3 community groups with sustained presence.</w:t>
      </w:r>
    </w:p>
    <w:p>
      <w:pPr>
        <w:pStyle w:val="Heading1"/>
        <w:spacing w:after="140" w:before="280"/>
      </w:pPr>
      <w:r>
        <w:rPr>
          <w:b/>
          <w:bCs/>
          <w:color w:val="1F3864"/>
          <w:sz w:val="30"/>
          <w:szCs w:val="30"/>
        </w:rPr>
        <w:t xml:space="preserve">Next Steps</w:t>
      </w:r>
    </w:p>
    <w:p>
      <w:pPr>
        <w:pStyle w:val="ListParagraph"/>
        <w:numPr>
          <w:ilvl w:val="0"/>
          <w:numId w:val="2"/>
        </w:numPr>
        <w:spacing w:after="80"/>
      </w:pPr>
      <w:r>
        <w:rPr>
          <w:sz w:val="22"/>
          <w:szCs w:val="22"/>
        </w:rPr>
        <w:t xml:space="preserve">Approve the review-generation program alongside the social package — the warning section is the case; social amplifies what reviews establish.</w:t>
      </w:r>
    </w:p>
    <w:p>
      <w:pPr>
        <w:pStyle w:val="ListParagraph"/>
        <w:numPr>
          <w:ilvl w:val="0"/>
          <w:numId w:val="2"/>
        </w:numPr>
        <w:spacing w:after="80"/>
      </w:pPr>
      <w:r>
        <w:rPr>
          <w:sz w:val="22"/>
          <w:szCs w:val="22"/>
        </w:rPr>
        <w:t xml:space="preserve">Sales/CS kickoff: 30 minutes to launch the advocacy share-kit rhythm.</w:t>
      </w:r>
    </w:p>
    <w:p>
      <w:pPr>
        <w:pStyle w:val="ListParagraph"/>
        <w:numPr>
          <w:ilvl w:val="0"/>
          <w:numId w:val="2"/>
        </w:numPr>
        <w:spacing w:after="80"/>
      </w:pPr>
      <w:r>
        <w:rPr>
          <w:sz w:val="22"/>
          <w:szCs w:val="22"/>
        </w:rPr>
        <w:t xml:space="preserve">Pick the first three Index stats (data working session already proposed) — they fuel both the content engine and the follower-conversion prompts.</w:t>
      </w:r>
    </w:p>
    <w:p>
      <w:pPr>
        <w:pStyle w:val="ListParagraph"/>
        <w:numPr>
          <w:ilvl w:val="0"/>
          <w:numId w:val="2"/>
        </w:numPr>
        <w:spacing w:after="80"/>
      </w:pPr>
      <w:r>
        <w:rPr>
          <w:sz w:val="22"/>
          <w:szCs w:val="22"/>
        </w:rPr>
        <w:t xml:space="preserve">Fold TC-facing content into the calendar to attack the Paperless Pipeline gap where the audience is largest.</w:t>
      </w:r>
    </w:p>
    <w:p>
      <w:pPr>
        <w:pBdr>
          <w:top w:val="single" w:color="D9D9D9" w:sz="6"/>
        </w:pBdr>
        <w:spacing w:before="300"/>
      </w:pPr>
      <w:r>
        <w:rPr>
          <w:color w:val="595959"/>
          <w:sz w:val="18"/>
          <w:szCs w:val="18"/>
        </w:rPr>
        <w:t xml:space="preserve">Click Shift Performance Marketing  ·  dave@clickshift.ca  ·  Ratings/review data: G2 &amp; Capterra public pages, Aug 2026; rankings: Semrush export Aug 4–10,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2026-08-10T21:23:01.418Z</dcterms:created>
  <dcterms:modified xsi:type="dcterms:W3CDTF">2026-08-10T21:23:01.421Z</dcterms:modified>
</cp:coreProperties>
</file>

<file path=docProps/custom.xml><?xml version="1.0" encoding="utf-8"?>
<Properties xmlns="http://schemas.openxmlformats.org/officeDocument/2006/custom-properties" xmlns:vt="http://schemas.openxmlformats.org/officeDocument/2006/docPropsVTypes"/>
</file>