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</w:pPr>
      <w:r>
        <w:rPr>
          <w:b/>
          <w:bCs/>
          <w:color w:val="1F3864"/>
          <w:sz w:val="52"/>
          <w:szCs w:val="52"/>
        </w:rPr>
        <w:t xml:space="preserve">SkySlope Social Media Strategy</w:t>
      </w:r>
    </w:p>
    <w:p>
      <w:pPr>
        <w:spacing w:after="60"/>
      </w:pPr>
      <w:r>
        <w:rPr>
          <w:i/>
          <w:iCs/>
          <w:color w:val="2E74B5"/>
          <w:sz w:val="26"/>
          <w:szCs w:val="26"/>
        </w:rPr>
        <w:t xml:space="preserve">Turning 3 Million Transactions Into the Most Shareable Data in Real Estate</w:t>
      </w:r>
    </w:p>
    <w:p>
      <w:pPr>
        <w:pBdr>
          <w:bottom w:val="single" w:color="2E74B5" w:sz="8"/>
        </w:pBdr>
        <w:spacing w:after="400"/>
      </w:pPr>
      <w:r>
        <w:rPr>
          <w:color w:val="595959"/>
          <w:sz w:val="20"/>
          <w:szCs w:val="20"/>
        </w:rPr>
        <w:t xml:space="preserve">Prepared by Click Shift Performance Marketing  |  For Robert Pedraza, SkySlope  |  August 2026</w:t>
      </w:r>
    </w:p>
    <w:p>
      <w:pPr>
        <w:pStyle w:val="Heading1"/>
        <w:spacing w:after="140" w:before="280"/>
      </w:pPr>
      <w:r>
        <w:rPr>
          <w:b/>
          <w:bCs/>
          <w:color w:val="1F3864"/>
          <w:sz w:val="30"/>
          <w:szCs w:val="30"/>
        </w:rPr>
        <w:t xml:space="preserve">Executive Summary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strategy builds on the Social Media Marketing proposal delivered July 9 and the findings in the shared "2026: SkySlope Social Media Engagement" audit, and turns them into a plan Rob can green-light. The core services stand: content strategy, creation, publishing, and community management across LinkedIn, Facebook, and Instagram within a 20-hour monthly engagement.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June audit's bottom line frames everything here: engagement is a content problem, not a frequency or paid-spend problem. The channels have functioned as a press-release feed — every post an ask, none a give — and the only format with proven traction is the customer testimonial video. This strategy answers that diagnosis directly: the data franchise below is the ultimate "give" content, and the plan hard-wires the audit's fixes (zero-CTA bucket, feed-first copy, QA review, testimonial cadence) into the monthly operation.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What's new is the engine at the center: SkySlope sits on one of the largest proprietary datasets in residential real estate operations — 900,000+ real estate professionals and 3M+ transactions managed annually. Zillow and Redfin own the consumer data narrative (home prices, markets). Nobody owns the transaction-process narrative: how deals actually get done. SkySlope can, and no competitor in transaction management is publishing anything like it.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recommendation: launch "The SkySlope Index" — a recurring, data-driven content franchise that converts anonymized, aggregate platform data into headline-grabbing, endlessly shareable claims. Data content earns links, press pickup, and agent shares in a way product posts never will — and it compounds the SEO and AI-citation work already underway.</w:t>
      </w:r>
    </w:p>
    <w:p>
      <w:pPr>
        <w:pStyle w:val="Heading1"/>
        <w:spacing w:after="140" w:before="280"/>
      </w:pPr>
      <w:r>
        <w:rPr>
          <w:b/>
          <w:bCs/>
          <w:color w:val="1F3864"/>
          <w:sz w:val="30"/>
          <w:szCs w:val="30"/>
        </w:rPr>
        <w:t xml:space="preserve">Where We're Starting: The June Audit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From the shared engagement review (sample of 7 recent Instagram posts across ~6 weeks):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Flat baseline — </w:t>
      </w:r>
      <w:r>
        <w:rPr>
          <w:sz w:val="22"/>
          <w:szCs w:val="22"/>
        </w:rPr>
        <w:t xml:space="preserve">Likes ranged 2–9 with zero comments across the board; the account reads as a press-release distribution channel.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Testimonials win — </w:t>
      </w:r>
      <w:r>
        <w:rPr>
          <w:sz w:val="22"/>
          <w:szCs w:val="22"/>
        </w:rPr>
        <w:t xml:space="preserve">The two customer Spotlight videos (Century 21 Judge Fite, NextHome) outperformed every static post — human voice and real customer stories are the one proven lever.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All ask, no give — </w:t>
      </w:r>
      <w:r>
        <w:rPr>
          <w:sz w:val="22"/>
          <w:szCs w:val="22"/>
        </w:rPr>
        <w:t xml:space="preserve">100% of sampled posts ended in a CTA; captions are written like landing pages, not feeds. Followers have learned every post is a pitch.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QA gaps — </w:t>
      </w:r>
      <w:r>
        <w:rPr>
          <w:sz w:val="22"/>
          <w:szCs w:val="22"/>
        </w:rPr>
        <w:t xml:space="preserve">Caption/video mismatches (the "Johnny" caption on the Davi Bryce video) cap the ceiling on the best-performing format — a publish-review step fixes this cheaply.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Hashtags/paid aren't the lever — </w:t>
      </w:r>
      <w:r>
        <w:rPr>
          <w:sz w:val="22"/>
          <w:szCs w:val="22"/>
        </w:rPr>
        <w:t xml:space="preserve">Generic hashtags don't drive discovery, and boosting content with flat organic engagement just buys impressions nobody reacts to. Paid amplification waits until organic formats prove out.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Success is measured against this baseline: engagement rate (likes + comments + shares over reach), month-over-month, per the audit's measurement standard — not reach or follower count.</w:t>
      </w:r>
    </w:p>
    <w:p>
      <w:pPr>
        <w:pStyle w:val="Heading1"/>
        <w:spacing w:after="140" w:before="280"/>
      </w:pPr>
      <w:r>
        <w:rPr>
          <w:b/>
          <w:bCs/>
          <w:color w:val="1F3864"/>
          <w:sz w:val="30"/>
          <w:szCs w:val="30"/>
        </w:rPr>
        <w:t xml:space="preserve">The Big Idea: The SkySlope Index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branded, recurring data franchise built exclusively from SkySlope's aggregate transaction and paperwork data. Three tiers: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Monthly Stat Drop — </w:t>
      </w:r>
      <w:r>
        <w:rPr>
          <w:sz w:val="22"/>
          <w:szCs w:val="22"/>
        </w:rPr>
        <w:t xml:space="preserve">A monthly one-stat social drop: a single bold, counterintuitive number, designed as a shareable graphic with a one-line takeaway.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Quarterly Report — </w:t>
      </w:r>
      <w:r>
        <w:rPr>
          <w:sz w:val="22"/>
          <w:szCs w:val="22"/>
        </w:rPr>
        <w:t xml:space="preserve">A quarterly "State of the Transaction" mini-report: 5–8 stats with charts, published as a carousel + blog post + email asset. Pitchable to trade press (Inman, HousingWire, RISMedia).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Annual Wrapped — </w:t>
      </w:r>
      <w:r>
        <w:rPr>
          <w:sz w:val="22"/>
          <w:szCs w:val="22"/>
        </w:rPr>
        <w:t xml:space="preserve">An annual "Your Year in Closings" recap — Spotify-Wrapped-style aggregate stats for the industry, plus (phase 2) personalized year-in-review stats for individual agents inside the platform.</w:t>
      </w:r>
    </w:p>
    <w:p>
      <w:pPr>
        <w:pStyle w:val="Heading2"/>
        <w:spacing w:after="100" w:before="200"/>
      </w:pPr>
      <w:r>
        <w:rPr>
          <w:b/>
          <w:bCs/>
          <w:color w:val="2E74B5"/>
          <w:sz w:val="24"/>
          <w:szCs w:val="24"/>
        </w:rPr>
        <w:t xml:space="preserve">Example claims the data could support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Illustrative only — every claim gets validated against real aggregate data and approved before publishing: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"The average home closing involves [X] documents and [Y] signatures. Agents on SkySlope complete them in [Z] hours."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"Deals in Texas close [N] days faster than deals in California. Here's the state-by-state leaderboard."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"[X]% of transactions hit at least one compliance flag before closing. The top 3 culprits, ranked."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"Offer activity on SkySlope rose [X]% this quarter — the busiest quarter since [year]."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"The most common day to go under contract is Tuesday. The least common? Sunday."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"E-signature turnaround has dropped [X]% in two years. The paperless closing is (almost) here."</w:t>
      </w:r>
    </w:p>
    <w:p>
      <w:pPr>
        <w:pStyle w:val="Heading2"/>
        <w:spacing w:after="100" w:before="200"/>
      </w:pPr>
      <w:r>
        <w:rPr>
          <w:b/>
          <w:bCs/>
          <w:color w:val="2E74B5"/>
          <w:sz w:val="24"/>
          <w:szCs w:val="24"/>
        </w:rPr>
        <w:t xml:space="preserve">Why this wins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Compounds existing work — </w:t>
      </w:r>
      <w:r>
        <w:rPr>
          <w:sz w:val="22"/>
          <w:szCs w:val="22"/>
        </w:rPr>
        <w:t xml:space="preserve">Data claims are inherently link-worthy and press-worthy — they earn backlinks that feed the SEO/interlinking work already showing results, and citations that feed the AI-answer visibility work (SkySlope already ranking #1 in ChatGPT answers).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Undefended territory — </w:t>
      </w:r>
      <w:r>
        <w:rPr>
          <w:sz w:val="22"/>
          <w:szCs w:val="22"/>
        </w:rPr>
        <w:t xml:space="preserve">Competitors (Dotloop, Lone Wolf, Brokermint) publish feature content. None publish proprietary industry data. First mover owns the category narrative.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Built to share — </w:t>
      </w:r>
      <w:r>
        <w:rPr>
          <w:sz w:val="22"/>
          <w:szCs w:val="22"/>
        </w:rPr>
        <w:t xml:space="preserve">Agents share stats that make their world legible ("tag a TC who's survived a 40-document closing"). That's organic reach without ad spend.</w:t>
      </w:r>
    </w:p>
    <w:p>
      <w:pPr>
        <w:pStyle w:val="Heading1"/>
        <w:spacing w:after="140" w:before="280"/>
      </w:pPr>
      <w:r>
        <w:rPr>
          <w:b/>
          <w:bCs/>
          <w:color w:val="1F3864"/>
          <w:sz w:val="30"/>
          <w:szCs w:val="30"/>
        </w:rPr>
        <w:t xml:space="preserve">Data Governance (Read This First)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Big claims only work if they're bulletproof. Before anything publishes: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No PII — </w:t>
      </w:r>
      <w:r>
        <w:rPr>
          <w:sz w:val="22"/>
          <w:szCs w:val="22"/>
        </w:rPr>
        <w:t xml:space="preserve">Aggregate and anonymized only. No property addresses, client names, agent names, brokerage-identifiable figures, or deal-level details — ever.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Minimum thresholds — </w:t>
      </w:r>
      <w:r>
        <w:rPr>
          <w:sz w:val="22"/>
          <w:szCs w:val="22"/>
        </w:rPr>
        <w:t xml:space="preserve">No stat published from a slice small enough to identify anyone (e.g., minimum transaction counts per region/segment before it can be cited).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Legal sign-off — </w:t>
      </w:r>
      <w:r>
        <w:rPr>
          <w:sz w:val="22"/>
          <w:szCs w:val="22"/>
        </w:rPr>
        <w:t xml:space="preserve">Every claim reviewed by SkySlope legal/compliance before first publication; methodology note maintained for each recurring stat.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Access process — </w:t>
      </w:r>
      <w:r>
        <w:rPr>
          <w:sz w:val="22"/>
          <w:szCs w:val="22"/>
        </w:rPr>
        <w:t xml:space="preserve">Rob's team defines what the data team can export; Click Shift works from approved aggregate exports, never raw records.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protects customers, keeps trust intact, and makes the numbers citable by journalists — which is the point.</w:t>
      </w:r>
    </w:p>
    <w:p>
      <w:pPr>
        <w:pStyle w:val="Heading1"/>
        <w:spacing w:after="140" w:before="280"/>
      </w:pPr>
      <w:r>
        <w:rPr>
          <w:b/>
          <w:bCs/>
          <w:color w:val="1F3864"/>
          <w:sz w:val="30"/>
          <w:szCs w:val="30"/>
        </w:rPr>
        <w:t xml:space="preserve">Content Pillars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700"/>
      </w:tblGrid>
      <w:tr>
        <w:tc>
          <w:tcPr>
            <w:tcW w:type="dxa" w:w="2340"/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Pillar</w:t>
            </w:r>
          </w:p>
        </w:tc>
        <w:tc>
          <w:tcPr>
            <w:tcW w:type="dxa" w:w="4680"/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What it is</w:t>
            </w:r>
          </w:p>
        </w:tc>
        <w:tc>
          <w:tcPr>
            <w:tcW w:type="dxa" w:w="2700"/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Share of content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1. Data &amp; Insights (hero)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SkySlope Index: stat drops, quarterly reports, annual recap, trend commentary.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~40% — the differentiator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2. Testimonials &amp; Proof (proven)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Customer Spotlight videos at increased cadence — the audit's only proven performer. Partner announcements (LinkedIn-first).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~25% — double down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3. Zero-CTA Relatable (new)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audit's missing bucket: posts that exist only to be funny or relatable to agents/TCs — compliance pain, deadline stress, day-in-the-life. No link, no pitch; product mention lives in a comment reply. Includes the "office hours" personality concept from Jessica's notes.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~20%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4. Education &amp; Product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Feature content rewritten for the feed: short, pain-point-first captions, no bullet-lists of features. Webinars/demos repurposed into clips.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~15%</w:t>
            </w:r>
          </w:p>
        </w:tc>
      </w:tr>
    </w:tbl>
    <w:p>
      <w:pPr>
        <w:spacing w:after="120" w:before="120"/>
      </w:pPr>
      <w:r>
        <w:rPr>
          <w:i/>
          <w:iCs/>
          <w:color w:val="595959"/>
          <w:sz w:val="20"/>
          <w:szCs w:val="20"/>
        </w:rPr>
        <w:t xml:space="preserve">Note: the corporate-satire direction was considered and set aside as high-risk for SaaS sales; the "relatable office hours" personality achieves the para-social benefit without punching at our own users.</w:t>
      </w:r>
    </w:p>
    <w:p>
      <w:pPr>
        <w:pStyle w:val="Heading1"/>
        <w:spacing w:after="140" w:before="280"/>
      </w:pPr>
      <w:r>
        <w:rPr>
          <w:b/>
          <w:bCs/>
          <w:color w:val="1F3864"/>
          <w:sz w:val="30"/>
          <w:szCs w:val="30"/>
        </w:rPr>
        <w:t xml:space="preserve">Platforms &amp; Cadence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Lanes follow the shared engagement plan — each platform reaches a different part of SkySlope's world and rewards different content: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LinkedIn — </w:t>
      </w:r>
      <w:r>
        <w:rPr>
          <w:sz w:val="22"/>
          <w:szCs w:val="22"/>
        </w:rPr>
        <w:t xml:space="preserve">The insight channel. Product news and substance are welcome here — framed as POV, not announcement copy. Index stats and quarterly reports as document/carousel posts (the format the plan flags as performing natively). Recruit 2–3 execs/leaders to post personally 1x/week with the Page resharing and commenting — personal profiles structurally out-reach brand pages. Partnership/integration news lands here first. 6–8 posts/month.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Instagram — </w:t>
      </w:r>
      <w:r>
        <w:rPr>
          <w:sz w:val="22"/>
          <w:szCs w:val="22"/>
        </w:rPr>
        <w:t xml:space="preserve">The end-user channel — agents and TCs who use SkySlope daily but didn't choose it. Content earns attention before it mentions product: lead each week with one testimonial or relatable pain-point post before any feature content. Drop generic hashtags (#RealEstate, #PropTech) — none, or only tags with an active community. Waitlist/launch content is reserved for paid amplification, not organic. 4–6 posts/month.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Facebook — </w:t>
      </w:r>
      <w:r>
        <w:rPr>
          <w:sz w:val="22"/>
          <w:szCs w:val="22"/>
        </w:rPr>
        <w:t xml:space="preserve">The community channel — value is Groups, not the Page. Identify 2–3 active brokerage/RE-tech Groups and participate as SkySlope or a named team member (not post-and-leave). Longer captions and case-study posts work here; cross-post testimonial videos for peer validation. 4–6 posts/month.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TikTok — </w:t>
      </w:r>
      <w:r>
        <w:rPr>
          <w:sz w:val="22"/>
          <w:szCs w:val="22"/>
        </w:rPr>
        <w:t xml:space="preserve">Test channel (phase 2, per Jessica's algorithm notes): longer-format tolerance and dialed-in targeting suit the office-hours format. Launch only with intentional seeding to the right audience — no friends-and-family padding, even if the start is slow.</w:t>
      </w:r>
    </w:p>
    <w:p>
      <w:pPr>
        <w:pStyle w:val="Heading2"/>
        <w:spacing w:after="100" w:before="200"/>
      </w:pPr>
      <w:r>
        <w:rPr>
          <w:b/>
          <w:bCs/>
          <w:color w:val="2E74B5"/>
          <w:sz w:val="24"/>
          <w:szCs w:val="24"/>
        </w:rPr>
        <w:t xml:space="preserve">Paid amplification rule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Per the audit: boost only formats with proven organic engagement (testimonials, and Index posts once validated) — not waitlist/launch posts. Existing Meta spend and retargeting audiences support this once organic engagement rate moves.</w:t>
      </w:r>
    </w:p>
    <w:p>
      <w:pPr>
        <w:pStyle w:val="Heading1"/>
        <w:spacing w:after="140" w:before="280"/>
      </w:pPr>
      <w:r>
        <w:rPr>
          <w:b/>
          <w:bCs/>
          <w:color w:val="1F3864"/>
          <w:sz w:val="30"/>
          <w:szCs w:val="30"/>
        </w:rPr>
        <w:t xml:space="preserve">What a Month Looks Like (20 Hours)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Unchanged from the July 9 proposal, now weighted toward the data franchise: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Monthly strategy meeting + content calendar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10–12 posts across LinkedIn, Facebook, and Instagram (incl. 1 Index stat drop)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4–6 short-form videos (Reels / LinkedIn video)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Caption writing, graphics from SkySlope brand assets, scheduling &amp; publishing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Community monitoring several times weekly; support escalations to SkySlope team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Pre-publish QA review on every post — caption/video match, names, links (closes the audit's "Johnny" gap)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Monthly analytics report with recommendations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Quarter-end months shift hours toward the State of the Transaction report; launch/conference months shift toward video and promo, as flagged in the proposal.</w:t>
      </w:r>
    </w:p>
    <w:p>
      <w:pPr>
        <w:pStyle w:val="Heading1"/>
        <w:spacing w:after="140" w:before="280"/>
      </w:pPr>
      <w:r>
        <w:rPr>
          <w:b/>
          <w:bCs/>
          <w:color w:val="1F3864"/>
          <w:sz w:val="30"/>
          <w:szCs w:val="30"/>
        </w:rPr>
        <w:t xml:space="preserve">Measurement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Primary metric per the shared plan: engagement rate (likes + comments + shares / reach) by pillar, month-over-month against the June 2026 audit baseline — not reach or follower count.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Prove the pillars: Index and zero-CTA posts vs. the old announcement-style content; testimonial cadence vs. baseline Spotlight performance.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Amplification: shares/reposts, press pickups and backlinks earned by Index content (feeds SEO reporting).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Pipeline: profile visits, site clicks, demo-page traffic from social (UTM'd), retargeting audience growth.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Reported in the existing monthly invoice/report rhythm Jessica runs.</w:t>
      </w:r>
    </w:p>
    <w:p>
      <w:pPr>
        <w:pStyle w:val="Heading1"/>
        <w:spacing w:after="140" w:before="280"/>
      </w:pPr>
      <w:r>
        <w:rPr>
          <w:b/>
          <w:bCs/>
          <w:color w:val="1F3864"/>
          <w:sz w:val="30"/>
          <w:szCs w:val="30"/>
        </w:rPr>
        <w:t xml:space="preserve">First 90 Days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920"/>
      </w:tblGrid>
      <w:tr>
        <w:tc>
          <w:tcPr>
            <w:tcW w:type="dxa" w:w="1800"/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Month 1</w:t>
            </w:r>
          </w:p>
        </w:tc>
        <w:tc>
          <w:tcPr>
            <w:tcW w:type="dxa" w:w="79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Confirm package + kickoff. Data inventory session with SkySlope: what aggregates exist, what legal will approve. Pilot the audit's next steps: zero-CTA bucket live, testimonial cadence up, QA step in place, generic hashtags dropped. First Index stat drop by week 4. Recruit LinkedIn exec posters.</w:t>
            </w:r>
          </w:p>
        </w:tc>
      </w:tr>
      <w:tr>
        <w:tc>
          <w:tcPr>
            <w:tcW w:type="dxa" w:w="1800"/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Month 2</w:t>
            </w:r>
          </w:p>
        </w:tc>
        <w:tc>
          <w:tcPr>
            <w:tcW w:type="dxa" w:w="79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 cadence running. Office-hours format cast and piloted. Facebook Groups identified and participation started. Methodology notes locked for 3–5 recurring stats. Begin press list for quarterly report. First engagement-rate read vs. June baseline (4–6 week checkpoint from the audit).</w:t>
            </w:r>
          </w:p>
        </w:tc>
      </w:tr>
      <w:tr>
        <w:tc>
          <w:tcPr>
            <w:tcW w:type="dxa" w:w="1800"/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Month 3</w:t>
            </w:r>
          </w:p>
        </w:tc>
        <w:tc>
          <w:tcPr>
            <w:tcW w:type="dxa" w:w="79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First quarterly "State of the Transaction" report: social carousel + blog + press outreach. Review pillar performance; decide TikTok go/no-go for Q4.</w:t>
            </w:r>
          </w:p>
        </w:tc>
      </w:tr>
    </w:tbl>
    <w:p>
      <w:pPr>
        <w:pStyle w:val="Heading1"/>
        <w:spacing w:after="140" w:before="280"/>
      </w:pPr>
      <w:r>
        <w:rPr>
          <w:b/>
          <w:bCs/>
          <w:color w:val="1F3864"/>
          <w:sz w:val="30"/>
          <w:szCs w:val="30"/>
        </w:rPr>
        <w:t xml:space="preserve">Next Steps for Rob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Confirm the social media package so Jessica can fold it into the August invoice (template is ready).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Name a data contact: who on the SkySlope side can pull approved aggregate stats, and who signs off (legal/compliance).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30-minute working session to shortlist the first three Index stats and the office-hours host.</w:t>
      </w:r>
    </w:p>
    <w:p>
      <w:pPr>
        <w:pBdr>
          <w:top w:val="single" w:color="D9D9D9" w:sz="6"/>
        </w:pBdr>
        <w:spacing w:before="300"/>
      </w:pPr>
      <w:r>
        <w:rPr>
          <w:color w:val="595959"/>
          <w:sz w:val="18"/>
          <w:szCs w:val="18"/>
        </w:rPr>
        <w:t xml:space="preserve">Click Shift Performance Marketing  ·  dave@clickshift.ca  ·  (819) 230-7466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2026-08-10T21:14:44.222Z</dcterms:created>
  <dcterms:modified xsi:type="dcterms:W3CDTF">2026-08-10T21:14:44.240Z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