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1F3864"/>
          <w:sz w:val="44"/>
          <w:szCs w:val="44"/>
        </w:rPr>
        <w:t xml:space="preserve">SkySlope Brand Voice &amp; Tone Guide</w:t>
      </w:r>
    </w:p>
    <w:p>
      <w:pPr>
        <w:spacing w:after="80" w:line="276"/>
      </w:pPr>
      <w:r>
        <w:rPr>
          <w:rFonts w:ascii="Arial" w:cs="Arial" w:eastAsia="Arial" w:hAnsi="Arial"/>
          <w:color w:val="595959"/>
          <w:sz w:val="24"/>
          <w:szCs w:val="24"/>
        </w:rPr>
        <w:t xml:space="preserve">How SkySlope sounds — distilled from the entire public brand, for everything Click Shift writes on its behalf</w:t>
      </w:r>
    </w:p>
    <w:p>
      <w:pPr>
        <w:spacing w:after="60" w:line="276"/>
      </w:pPr>
      <w:r>
        <w:rPr>
          <w:rFonts w:ascii="Arial" w:cs="Arial" w:eastAsia="Arial" w:hAnsi="Arial"/>
          <w:color w:val="595959"/>
          <w:sz w:val="19"/>
          <w:szCs w:val="19"/>
        </w:rPr>
        <w:t xml:space="preserve">Prepared by Click Shift Performance Marketing · August 2026 · Companion to the Social Media Strategy and Audience, Personas &amp; Path to Purchase documents</w:t>
      </w:r>
    </w:p>
    <w:p>
      <w:pPr>
        <w:pBdr>
          <w:bottom w:val="single" w:color="2E74B5" w:sz="8"/>
        </w:pBdr>
        <w:spacing w:after="240"/>
      </w:pPr>
    </w:p>
    <w:p>
      <w:pPr>
        <w:spacing w:after="140" w:line="276"/>
      </w:pPr>
      <w:r>
        <w:rPr>
          <w:rFonts w:ascii="Arial" w:cs="Arial" w:eastAsia="Arial" w:hAnsi="Arial"/>
          <w:i/>
          <w:iCs/>
          <w:color w:val="595959"/>
          <w:sz w:val="21"/>
          <w:szCs w:val="21"/>
        </w:rPr>
        <w:t xml:space="preserve">Where this comes from: a full crawl of skyslope.com (all 276 live pages and posts), the site's WordPress media library, all 255 videos across SkySlope's three YouTube channels, and the copy shipped with the 2026 AI-first rebrand — read against the June engagement audit and the strategy documents in this folder. Every quoted phrase below is verbatim from a SkySlope property, August 10–11, 2026.</w:t>
      </w:r>
    </w:p>
    <w:p>
      <w:pPr>
        <w:pStyle w:val="Heading1"/>
        <w:spacing w:after="160" w:before="320"/>
      </w:pPr>
      <w:r>
        <w:rPr>
          <w:rFonts w:ascii="Arial" w:cs="Arial" w:eastAsia="Arial" w:hAnsi="Arial"/>
          <w:b/>
          <w:bCs/>
          <w:color w:val="1F3864"/>
          <w:sz w:val="30"/>
          <w:szCs w:val="30"/>
        </w:rPr>
        <w:t xml:space="preserve">1. The brand in one paragraph</w:t>
      </w:r>
    </w:p>
    <w:p>
      <w:pPr>
        <w:spacing w:after="140" w:line="276"/>
      </w:pPr>
      <w:r>
        <w:rPr>
          <w:rFonts w:ascii="Arial" w:cs="Arial" w:eastAsia="Arial" w:hAnsi="Arial"/>
          <w:sz w:val="21"/>
          <w:szCs w:val="21"/>
        </w:rPr>
        <w:t xml:space="preserve">SkySlope is the compliance backbone of residential real estate brokerages: founded in 2011 in Sacramento, now behind 900,000+ real estate professionals and roughly 3 million transactions a year, trusted by 35% of the top-20 U.S. brokerages. In 2026 the company repositioned around a new promise — “The AI-first way to run a brokerage” — and rebuilt its public voice around intelligent automation: “SkySlope brings intelligent automation to every transaction—so teams move faster with less risk.” The voice job is to carry both truths at once: the steady authority of the platform auditors and brokers stake their license on, and the energy of a product team shipping AI that removes busywork. Underneath the enterprise polish there is a genuinely human company — the old vlogs, SkyCast episodes, and “Made with ♥ in Sacramento, CA.” are still in the brand's DNA — which is exactly why the zero-CTA, human side of our social strategy is authentic to this brand rather than a bolt-on.</w:t>
      </w:r>
    </w:p>
    <w:p>
      <w:pPr>
        <w:pStyle w:val="Heading1"/>
        <w:spacing w:after="160" w:before="320"/>
      </w:pPr>
      <w:r>
        <w:rPr>
          <w:rFonts w:ascii="Arial" w:cs="Arial" w:eastAsia="Arial" w:hAnsi="Arial"/>
          <w:b/>
          <w:bCs/>
          <w:color w:val="1F3864"/>
          <w:sz w:val="30"/>
          <w:szCs w:val="30"/>
        </w:rPr>
        <w:t xml:space="preserve">2. The voice: five attributes</w:t>
      </w:r>
    </w:p>
    <w:p>
      <w:pPr>
        <w:spacing w:after="140" w:line="276"/>
      </w:pPr>
      <w:r>
        <w:rPr>
          <w:rFonts w:ascii="Arial" w:cs="Arial" w:eastAsia="Arial" w:hAnsi="Arial"/>
          <w:sz w:val="21"/>
          <w:szCs w:val="21"/>
        </w:rPr>
        <w:t xml:space="preserve">Every strong SkySlope sentence exhibits at least one of these. If a draft exhibits none, it isn't SkySlope yet.</w:t>
      </w:r>
    </w:p>
    <w:p>
      <w:pPr>
        <w:pStyle w:val="Heading2"/>
        <w:spacing w:after="120" w:before="240"/>
      </w:pPr>
      <w:r>
        <w:rPr>
          <w:rFonts w:ascii="Arial" w:cs="Arial" w:eastAsia="Arial" w:hAnsi="Arial"/>
          <w:b/>
          <w:bCs/>
          <w:color w:val="2E74B5"/>
          <w:sz w:val="24"/>
          <w:szCs w:val="24"/>
        </w:rPr>
        <w:t xml:space="preserve">2.1. Outcome-first and plain-spoken</w:t>
      </w:r>
    </w:p>
    <w:p>
      <w:pPr>
        <w:spacing w:after="140" w:line="276"/>
      </w:pPr>
      <w:r>
        <w:rPr>
          <w:rFonts w:ascii="Arial" w:cs="Arial" w:eastAsia="Arial" w:hAnsi="Arial"/>
          <w:sz w:val="21"/>
          <w:szCs w:val="21"/>
        </w:rPr>
        <w:t xml:space="preserve">The result comes first, in short declaratives; the mechanism comes second. SkySlope headlines rarely run past seven words, and the benefit is never buried.</w:t>
      </w:r>
    </w:p>
    <w:p>
      <w:pPr>
        <w:pBdr>
          <w:left w:val="single" w:color="2E74B5" w:sz="12"/>
        </w:pBdr>
        <w:spacing w:after="120" w:line="276"/>
        <w:ind w:left="360"/>
      </w:pPr>
      <w:r>
        <w:rPr>
          <w:rFonts w:ascii="Arial" w:cs="Arial" w:eastAsia="Arial" w:hAnsi="Arial"/>
          <w:i/>
          <w:iCs/>
          <w:sz w:val="21"/>
          <w:szCs w:val="21"/>
        </w:rPr>
        <w:t xml:space="preserve">“Less managing. More closing.”</w:t>
      </w:r>
      <w:r>
        <w:rPr>
          <w:rFonts w:ascii="Arial" w:cs="Arial" w:eastAsia="Arial" w:hAnsi="Arial"/>
          <w:color w:val="595959"/>
          <w:sz w:val="18"/>
          <w:szCs w:val="18"/>
        </w:rPr>
        <w:t xml:space="preserve">  — products-services</w:t>
      </w:r>
    </w:p>
    <w:p>
      <w:pPr>
        <w:pBdr>
          <w:left w:val="single" w:color="2E74B5" w:sz="12"/>
        </w:pBdr>
        <w:spacing w:after="120" w:line="276"/>
        <w:ind w:left="360"/>
      </w:pPr>
      <w:r>
        <w:rPr>
          <w:rFonts w:ascii="Arial" w:cs="Arial" w:eastAsia="Arial" w:hAnsi="Arial"/>
          <w:i/>
          <w:iCs/>
          <w:sz w:val="21"/>
          <w:szCs w:val="21"/>
        </w:rPr>
        <w:t xml:space="preserve">“Automate the Busywork with SkySlope's Newest Features”</w:t>
      </w:r>
      <w:r>
        <w:rPr>
          <w:rFonts w:ascii="Arial" w:cs="Arial" w:eastAsia="Arial" w:hAnsi="Arial"/>
          <w:color w:val="595959"/>
          <w:sz w:val="18"/>
          <w:szCs w:val="18"/>
        </w:rPr>
        <w:t xml:space="preserve">  — Fall 2025 release post</w:t>
      </w:r>
    </w:p>
    <w:p>
      <w:pPr>
        <w:pBdr>
          <w:left w:val="single" w:color="2E74B5" w:sz="12"/>
        </w:pBdr>
        <w:spacing w:after="120" w:line="276"/>
        <w:ind w:left="360"/>
      </w:pPr>
      <w:r>
        <w:rPr>
          <w:rFonts w:ascii="Arial" w:cs="Arial" w:eastAsia="Arial" w:hAnsi="Arial"/>
          <w:i/>
          <w:iCs/>
          <w:sz w:val="21"/>
          <w:szCs w:val="21"/>
        </w:rPr>
        <w:t xml:space="preserve">“Complete visibility into your brokerage so you can track and grow your business. Turn data into decisions.”</w:t>
      </w:r>
      <w:r>
        <w:rPr>
          <w:rFonts w:ascii="Arial" w:cs="Arial" w:eastAsia="Arial" w:hAnsi="Arial"/>
          <w:color w:val="595959"/>
          <w:sz w:val="18"/>
          <w:szCs w:val="18"/>
        </w:rPr>
        <w:t xml:space="preserve">  — Broker Dashboard</w:t>
      </w:r>
    </w:p>
    <w:p>
      <w:pPr>
        <w:spacing w:after="140" w:line="276"/>
      </w:pPr>
      <w:r>
        <w:rPr>
          <w:rFonts w:ascii="Arial" w:cs="Arial" w:eastAsia="Arial" w:hAnsi="Arial"/>
          <w:b/>
          <w:bCs/>
          <w:sz w:val="21"/>
          <w:szCs w:val="21"/>
        </w:rPr>
        <w:t xml:space="preserve">Do: </w:t>
      </w:r>
      <w:r>
        <w:rPr>
          <w:rFonts w:ascii="Arial" w:cs="Arial" w:eastAsia="Arial" w:hAnsi="Arial"/>
          <w:sz w:val="21"/>
          <w:szCs w:val="21"/>
        </w:rPr>
        <w:t xml:space="preserve">Name the outcome in the first sentence; cut headlines to seven words or fewer; write “so you can…” after every feature.</w:t>
      </w:r>
    </w:p>
    <w:p>
      <w:pPr>
        <w:spacing w:after="200" w:line="276"/>
      </w:pPr>
      <w:r>
        <w:rPr>
          <w:rFonts w:ascii="Arial" w:cs="Arial" w:eastAsia="Arial" w:hAnsi="Arial"/>
          <w:b/>
          <w:bCs/>
          <w:sz w:val="21"/>
          <w:szCs w:val="21"/>
        </w:rPr>
        <w:t xml:space="preserve">Don't: </w:t>
      </w:r>
      <w:r>
        <w:rPr>
          <w:rFonts w:ascii="Arial" w:cs="Arial" w:eastAsia="Arial" w:hAnsi="Arial"/>
          <w:sz w:val="21"/>
          <w:szCs w:val="21"/>
        </w:rPr>
        <w:t xml:space="preserve">Feature-dump; open with the mechanism (“Our configurable workflow engine…”); make the reader translate features into benefits themselves.</w:t>
      </w:r>
    </w:p>
    <w:p>
      <w:pPr>
        <w:pStyle w:val="Heading2"/>
        <w:spacing w:after="120" w:before="240"/>
      </w:pPr>
      <w:r>
        <w:rPr>
          <w:rFonts w:ascii="Arial" w:cs="Arial" w:eastAsia="Arial" w:hAnsi="Arial"/>
          <w:b/>
          <w:bCs/>
          <w:color w:val="2E74B5"/>
          <w:sz w:val="24"/>
          <w:szCs w:val="24"/>
        </w:rPr>
        <w:t xml:space="preserve">2.2. Confident authority, earned by proof</w:t>
      </w:r>
    </w:p>
    <w:p>
      <w:pPr>
        <w:spacing w:after="140" w:line="276"/>
      </w:pPr>
      <w:r>
        <w:rPr>
          <w:rFonts w:ascii="Arial" w:cs="Arial" w:eastAsia="Arial" w:hAnsi="Arial"/>
          <w:sz w:val="21"/>
          <w:szCs w:val="21"/>
        </w:rPr>
        <w:t xml:space="preserve">SkySlope flexes with numbers and named customers, not adjectives. Scale stats, time-saved figures, and testimonial quotes do the persuading.</w:t>
      </w:r>
    </w:p>
    <w:p>
      <w:pPr>
        <w:pBdr>
          <w:left w:val="single" w:color="2E74B5" w:sz="12"/>
        </w:pBdr>
        <w:spacing w:after="120" w:line="276"/>
        <w:ind w:left="360"/>
      </w:pPr>
      <w:r>
        <w:rPr>
          <w:rFonts w:ascii="Arial" w:cs="Arial" w:eastAsia="Arial" w:hAnsi="Arial"/>
          <w:i/>
          <w:iCs/>
          <w:sz w:val="21"/>
          <w:szCs w:val="21"/>
        </w:rPr>
        <w:t xml:space="preserve">“Empowering over 900,000 real estate professionals across the U.S. and Canada, SkySlope manages over 3 million transactions annually—with intelligence built into every transaction.”</w:t>
      </w:r>
      <w:r>
        <w:rPr>
          <w:rFonts w:ascii="Arial" w:cs="Arial" w:eastAsia="Arial" w:hAnsi="Arial"/>
          <w:color w:val="595959"/>
          <w:sz w:val="18"/>
          <w:szCs w:val="18"/>
        </w:rPr>
        <w:t xml:space="preserve">  — homepage</w:t>
      </w:r>
    </w:p>
    <w:p>
      <w:pPr>
        <w:pBdr>
          <w:left w:val="single" w:color="2E74B5" w:sz="12"/>
        </w:pBdr>
        <w:spacing w:after="120" w:line="276"/>
        <w:ind w:left="360"/>
      </w:pPr>
      <w:r>
        <w:rPr>
          <w:rFonts w:ascii="Arial" w:cs="Arial" w:eastAsia="Arial" w:hAnsi="Arial"/>
          <w:i/>
          <w:iCs/>
          <w:sz w:val="21"/>
          <w:szCs w:val="21"/>
        </w:rPr>
        <w:t xml:space="preserve">“97% reduction in agent time spent”</w:t>
      </w:r>
      <w:r>
        <w:rPr>
          <w:rFonts w:ascii="Arial" w:cs="Arial" w:eastAsia="Arial" w:hAnsi="Arial"/>
          <w:color w:val="595959"/>
          <w:sz w:val="18"/>
          <w:szCs w:val="18"/>
        </w:rPr>
        <w:t xml:space="preserve">  — Smart Suite</w:t>
      </w:r>
    </w:p>
    <w:p>
      <w:pPr>
        <w:pBdr>
          <w:left w:val="single" w:color="2E74B5" w:sz="12"/>
        </w:pBdr>
        <w:spacing w:after="120" w:line="276"/>
        <w:ind w:left="360"/>
      </w:pPr>
      <w:r>
        <w:rPr>
          <w:rFonts w:ascii="Arial" w:cs="Arial" w:eastAsia="Arial" w:hAnsi="Arial"/>
          <w:i/>
          <w:iCs/>
          <w:sz w:val="21"/>
          <w:szCs w:val="21"/>
        </w:rPr>
        <w:t xml:space="preserve">“Agents who use SkyTC save an average of 10 hours per deal.”</w:t>
      </w:r>
      <w:r>
        <w:rPr>
          <w:rFonts w:ascii="Arial" w:cs="Arial" w:eastAsia="Arial" w:hAnsi="Arial"/>
          <w:color w:val="595959"/>
          <w:sz w:val="18"/>
          <w:szCs w:val="18"/>
        </w:rPr>
        <w:t xml:space="preserve">  — SkyTC</w:t>
      </w:r>
    </w:p>
    <w:p>
      <w:pPr>
        <w:spacing w:after="140" w:line="276"/>
      </w:pPr>
      <w:r>
        <w:rPr>
          <w:rFonts w:ascii="Arial" w:cs="Arial" w:eastAsia="Arial" w:hAnsi="Arial"/>
          <w:b/>
          <w:bCs/>
          <w:sz w:val="21"/>
          <w:szCs w:val="21"/>
        </w:rPr>
        <w:t xml:space="preserve">Do: </w:t>
      </w:r>
      <w:r>
        <w:rPr>
          <w:rFonts w:ascii="Arial" w:cs="Arial" w:eastAsia="Arial" w:hAnsi="Arial"/>
          <w:sz w:val="21"/>
          <w:szCs w:val="21"/>
        </w:rPr>
        <w:t xml:space="preserve">Pair every big claim with a number, a named customer, or both; keep current figures (900K / ~3M) — never the stale 300K/650K from old press releases.</w:t>
      </w:r>
    </w:p>
    <w:p>
      <w:pPr>
        <w:spacing w:after="200" w:line="276"/>
      </w:pPr>
      <w:r>
        <w:rPr>
          <w:rFonts w:ascii="Arial" w:cs="Arial" w:eastAsia="Arial" w:hAnsi="Arial"/>
          <w:b/>
          <w:bCs/>
          <w:sz w:val="21"/>
          <w:szCs w:val="21"/>
        </w:rPr>
        <w:t xml:space="preserve">Don't: </w:t>
      </w:r>
      <w:r>
        <w:rPr>
          <w:rFonts w:ascii="Arial" w:cs="Arial" w:eastAsia="Arial" w:hAnsi="Arial"/>
          <w:sz w:val="21"/>
          <w:szCs w:val="21"/>
        </w:rPr>
        <w:t xml:space="preserve">Unreceipted superlatives (“the world's best”); hype words doing the work data should do.</w:t>
      </w:r>
    </w:p>
    <w:p>
      <w:pPr>
        <w:pStyle w:val="Heading2"/>
        <w:spacing w:after="120" w:before="240"/>
      </w:pPr>
      <w:r>
        <w:rPr>
          <w:rFonts w:ascii="Arial" w:cs="Arial" w:eastAsia="Arial" w:hAnsi="Arial"/>
          <w:b/>
          <w:bCs/>
          <w:color w:val="2E74B5"/>
          <w:sz w:val="24"/>
          <w:szCs w:val="24"/>
        </w:rPr>
        <w:t xml:space="preserve">2.3. A wink of play — the sky motif</w:t>
      </w:r>
    </w:p>
    <w:p>
      <w:pPr>
        <w:spacing w:after="140" w:line="276"/>
      </w:pPr>
      <w:r>
        <w:rPr>
          <w:rFonts w:ascii="Arial" w:cs="Arial" w:eastAsia="Arial" w:hAnsi="Arial"/>
          <w:sz w:val="21"/>
          <w:szCs w:val="21"/>
        </w:rPr>
        <w:t xml:space="preserve">There is a controlled streak of wordplay, usually riffing on sky, flight, and speed, or on product names. It shows up in punchlines, not in load-bearing sentences.</w:t>
      </w:r>
    </w:p>
    <w:p>
      <w:pPr>
        <w:pBdr>
          <w:left w:val="single" w:color="2E74B5" w:sz="12"/>
        </w:pBdr>
        <w:spacing w:after="120" w:line="276"/>
        <w:ind w:left="360"/>
      </w:pPr>
      <w:r>
        <w:rPr>
          <w:rFonts w:ascii="Arial" w:cs="Arial" w:eastAsia="Arial" w:hAnsi="Arial"/>
          <w:i/>
          <w:iCs/>
          <w:sz w:val="21"/>
          <w:szCs w:val="21"/>
        </w:rPr>
        <w:t xml:space="preserve">“Offer Management that is out of this world”</w:t>
      </w:r>
      <w:r>
        <w:rPr>
          <w:rFonts w:ascii="Arial" w:cs="Arial" w:eastAsia="Arial" w:hAnsi="Arial"/>
          <w:color w:val="595959"/>
          <w:sz w:val="18"/>
          <w:szCs w:val="18"/>
        </w:rPr>
        <w:t xml:space="preserve">  — products-services</w:t>
      </w:r>
    </w:p>
    <w:p>
      <w:pPr>
        <w:pBdr>
          <w:left w:val="single" w:color="2E74B5" w:sz="12"/>
        </w:pBdr>
        <w:spacing w:after="120" w:line="276"/>
        <w:ind w:left="360"/>
      </w:pPr>
      <w:r>
        <w:rPr>
          <w:rFonts w:ascii="Arial" w:cs="Arial" w:eastAsia="Arial" w:hAnsi="Arial"/>
          <w:i/>
          <w:iCs/>
          <w:sz w:val="21"/>
          <w:szCs w:val="21"/>
        </w:rPr>
        <w:t xml:space="preserve">“Real estate contracts at light speed.”</w:t>
      </w:r>
      <w:r>
        <w:rPr>
          <w:rFonts w:ascii="Arial" w:cs="Arial" w:eastAsia="Arial" w:hAnsi="Arial"/>
          <w:color w:val="595959"/>
          <w:sz w:val="18"/>
          <w:szCs w:val="18"/>
        </w:rPr>
        <w:t xml:space="preserve">  — recurring tagline</w:t>
      </w:r>
    </w:p>
    <w:p>
      <w:pPr>
        <w:pBdr>
          <w:left w:val="single" w:color="2E74B5" w:sz="12"/>
        </w:pBdr>
        <w:spacing w:after="120" w:line="276"/>
        <w:ind w:left="360"/>
      </w:pPr>
      <w:r>
        <w:rPr>
          <w:rFonts w:ascii="Arial" w:cs="Arial" w:eastAsia="Arial" w:hAnsi="Arial"/>
          <w:i/>
          <w:iCs/>
          <w:sz w:val="21"/>
          <w:szCs w:val="21"/>
        </w:rPr>
        <w:t xml:space="preserve">“Say goodbye to duplicate data entry. Our automagic technology updates matching fields…”</w:t>
      </w:r>
      <w:r>
        <w:rPr>
          <w:rFonts w:ascii="Arial" w:cs="Arial" w:eastAsia="Arial" w:hAnsi="Arial"/>
          <w:color w:val="595959"/>
          <w:sz w:val="18"/>
          <w:szCs w:val="18"/>
        </w:rPr>
        <w:t xml:space="preserve">  — Forms</w:t>
      </w:r>
    </w:p>
    <w:p>
      <w:pPr>
        <w:pBdr>
          <w:left w:val="single" w:color="2E74B5" w:sz="12"/>
        </w:pBdr>
        <w:spacing w:after="120" w:line="276"/>
        <w:ind w:left="360"/>
      </w:pPr>
      <w:r>
        <w:rPr>
          <w:rFonts w:ascii="Arial" w:cs="Arial" w:eastAsia="Arial" w:hAnsi="Arial"/>
          <w:i/>
          <w:iCs/>
          <w:sz w:val="21"/>
          <w:szCs w:val="21"/>
        </w:rPr>
        <w:t xml:space="preserve">“Sending disclosures is a Breeze.”</w:t>
      </w:r>
      <w:r>
        <w:rPr>
          <w:rFonts w:ascii="Arial" w:cs="Arial" w:eastAsia="Arial" w:hAnsi="Arial"/>
          <w:color w:val="595959"/>
          <w:sz w:val="18"/>
          <w:szCs w:val="18"/>
        </w:rPr>
        <w:t xml:space="preserve">  — Breeze landing pages</w:t>
      </w:r>
    </w:p>
    <w:p>
      <w:pPr>
        <w:pBdr>
          <w:left w:val="single" w:color="2E74B5" w:sz="12"/>
        </w:pBdr>
        <w:spacing w:after="120" w:line="276"/>
        <w:ind w:left="360"/>
      </w:pPr>
      <w:r>
        <w:rPr>
          <w:rFonts w:ascii="Arial" w:cs="Arial" w:eastAsia="Arial" w:hAnsi="Arial"/>
          <w:i/>
          <w:iCs/>
          <w:sz w:val="21"/>
          <w:szCs w:val="21"/>
        </w:rPr>
        <w:t xml:space="preserve">“All of your offers–all in one place, isn't that neat?”</w:t>
      </w:r>
      <w:r>
        <w:rPr>
          <w:rFonts w:ascii="Arial" w:cs="Arial" w:eastAsia="Arial" w:hAnsi="Arial"/>
          <w:color w:val="595959"/>
          <w:sz w:val="18"/>
          <w:szCs w:val="18"/>
        </w:rPr>
        <w:t xml:space="preserve">  — products-services</w:t>
      </w:r>
    </w:p>
    <w:p>
      <w:pPr>
        <w:spacing w:after="140" w:line="276"/>
      </w:pPr>
      <w:r>
        <w:rPr>
          <w:rFonts w:ascii="Arial" w:cs="Arial" w:eastAsia="Arial" w:hAnsi="Arial"/>
          <w:b/>
          <w:bCs/>
          <w:sz w:val="21"/>
          <w:szCs w:val="21"/>
        </w:rPr>
        <w:t xml:space="preserve">Do: </w:t>
      </w:r>
      <w:r>
        <w:rPr>
          <w:rFonts w:ascii="Arial" w:cs="Arial" w:eastAsia="Arial" w:hAnsi="Arial"/>
          <w:sz w:val="21"/>
          <w:szCs w:val="21"/>
        </w:rPr>
        <w:t xml:space="preserve">One wink per piece, placed where a punchline belongs; let product names (Breeze, SkySight, Pilot) carry the pun.</w:t>
      </w:r>
    </w:p>
    <w:p>
      <w:pPr>
        <w:spacing w:after="200" w:line="276"/>
      </w:pPr>
      <w:r>
        <w:rPr>
          <w:rFonts w:ascii="Arial" w:cs="Arial" w:eastAsia="Arial" w:hAnsi="Arial"/>
          <w:b/>
          <w:bCs/>
          <w:sz w:val="21"/>
          <w:szCs w:val="21"/>
        </w:rPr>
        <w:t xml:space="preserve">Don't: </w:t>
      </w:r>
      <w:r>
        <w:rPr>
          <w:rFonts w:ascii="Arial" w:cs="Arial" w:eastAsia="Arial" w:hAnsi="Arial"/>
          <w:sz w:val="21"/>
          <w:szCs w:val="21"/>
        </w:rPr>
        <w:t xml:space="preserve">Joke about compliance, security, money, or fair housing; stack puns; force the space theme where it doesn't fit.</w:t>
      </w:r>
    </w:p>
    <w:p>
      <w:pPr>
        <w:pStyle w:val="Heading2"/>
        <w:spacing w:after="120" w:before="240"/>
      </w:pPr>
      <w:r>
        <w:rPr>
          <w:rFonts w:ascii="Arial" w:cs="Arial" w:eastAsia="Arial" w:hAnsi="Arial"/>
          <w:b/>
          <w:bCs/>
          <w:color w:val="2E74B5"/>
          <w:sz w:val="24"/>
          <w:szCs w:val="24"/>
        </w:rPr>
        <w:t xml:space="preserve">2.4. The calm guardian on compliance</w:t>
      </w:r>
    </w:p>
    <w:p>
      <w:pPr>
        <w:spacing w:after="140" w:line="276"/>
      </w:pPr>
      <w:r>
        <w:rPr>
          <w:rFonts w:ascii="Arial" w:cs="Arial" w:eastAsia="Arial" w:hAnsi="Arial"/>
          <w:sz w:val="21"/>
          <w:szCs w:val="21"/>
        </w:rPr>
        <w:t xml:space="preserve">When the subject is risk, audits, or liability, the voice drops the wink entirely and becomes steady, protective, and precise. This register is a deliberate brand asset — brokers buy it.</w:t>
      </w:r>
    </w:p>
    <w:p>
      <w:pPr>
        <w:pBdr>
          <w:left w:val="single" w:color="2E74B5" w:sz="12"/>
        </w:pBdr>
        <w:spacing w:after="120" w:line="276"/>
        <w:ind w:left="360"/>
      </w:pPr>
      <w:r>
        <w:rPr>
          <w:rFonts w:ascii="Arial" w:cs="Arial" w:eastAsia="Arial" w:hAnsi="Arial"/>
          <w:i/>
          <w:iCs/>
          <w:sz w:val="21"/>
          <w:szCs w:val="21"/>
        </w:rPr>
        <w:t xml:space="preserve">“SkySlope isn't built to be a lightweight transaction tracker. It's built to be the compliance backbone of a brokerage.”</w:t>
      </w:r>
      <w:r>
        <w:rPr>
          <w:rFonts w:ascii="Arial" w:cs="Arial" w:eastAsia="Arial" w:hAnsi="Arial"/>
          <w:color w:val="595959"/>
          <w:sz w:val="18"/>
          <w:szCs w:val="18"/>
        </w:rPr>
        <w:t xml:space="preserve">  — blog explainer</w:t>
      </w:r>
    </w:p>
    <w:p>
      <w:pPr>
        <w:pBdr>
          <w:left w:val="single" w:color="2E74B5" w:sz="12"/>
        </w:pBdr>
        <w:spacing w:after="120" w:line="276"/>
        <w:ind w:left="360"/>
      </w:pPr>
      <w:r>
        <w:rPr>
          <w:rFonts w:ascii="Arial" w:cs="Arial" w:eastAsia="Arial" w:hAnsi="Arial"/>
          <w:i/>
          <w:iCs/>
          <w:sz w:val="21"/>
          <w:szCs w:val="21"/>
        </w:rPr>
        <w:t xml:space="preserve">“What feels like guardrails on one side is peace of mind on the other.”</w:t>
      </w:r>
      <w:r>
        <w:rPr>
          <w:rFonts w:ascii="Arial" w:cs="Arial" w:eastAsia="Arial" w:hAnsi="Arial"/>
          <w:color w:val="595959"/>
          <w:sz w:val="18"/>
          <w:szCs w:val="18"/>
        </w:rPr>
        <w:t xml:space="preserve">  — same post</w:t>
      </w:r>
    </w:p>
    <w:p>
      <w:pPr>
        <w:pBdr>
          <w:left w:val="single" w:color="2E74B5" w:sz="12"/>
        </w:pBdr>
        <w:spacing w:after="120" w:line="276"/>
        <w:ind w:left="360"/>
      </w:pPr>
      <w:r>
        <w:rPr>
          <w:rFonts w:ascii="Arial" w:cs="Arial" w:eastAsia="Arial" w:hAnsi="Arial"/>
          <w:i/>
          <w:iCs/>
          <w:sz w:val="21"/>
          <w:szCs w:val="21"/>
        </w:rPr>
        <w:t xml:space="preserve">“Brokers are legally and financially accountable for every transaction under their license. So the systems they choose have to do more than move deals forward; they have to protect their business.”</w:t>
      </w:r>
      <w:r>
        <w:rPr>
          <w:rFonts w:ascii="Arial" w:cs="Arial" w:eastAsia="Arial" w:hAnsi="Arial"/>
          <w:color w:val="595959"/>
          <w:sz w:val="18"/>
          <w:szCs w:val="18"/>
        </w:rPr>
        <w:t xml:space="preserve">  — same post</w:t>
      </w:r>
    </w:p>
    <w:p>
      <w:pPr>
        <w:spacing w:after="140" w:line="276"/>
      </w:pPr>
      <w:r>
        <w:rPr>
          <w:rFonts w:ascii="Arial" w:cs="Arial" w:eastAsia="Arial" w:hAnsi="Arial"/>
          <w:b/>
          <w:bCs/>
          <w:sz w:val="21"/>
          <w:szCs w:val="21"/>
        </w:rPr>
        <w:t xml:space="preserve">Do: </w:t>
      </w:r>
      <w:r>
        <w:rPr>
          <w:rFonts w:ascii="Arial" w:cs="Arial" w:eastAsia="Arial" w:hAnsi="Arial"/>
          <w:sz w:val="21"/>
          <w:szCs w:val="21"/>
        </w:rPr>
        <w:t xml:space="preserve">Acknowledge the stakes plainly, then reassure with the mechanism (checklists, Quick Audit, Smart Assist, audit trails); write like the adult in the room.</w:t>
      </w:r>
    </w:p>
    <w:p>
      <w:pPr>
        <w:spacing w:after="200" w:line="276"/>
      </w:pPr>
      <w:r>
        <w:rPr>
          <w:rFonts w:ascii="Arial" w:cs="Arial" w:eastAsia="Arial" w:hAnsi="Arial"/>
          <w:b/>
          <w:bCs/>
          <w:sz w:val="21"/>
          <w:szCs w:val="21"/>
        </w:rPr>
        <w:t xml:space="preserve">Don't: </w:t>
      </w:r>
      <w:r>
        <w:rPr>
          <w:rFonts w:ascii="Arial" w:cs="Arial" w:eastAsia="Arial" w:hAnsi="Arial"/>
          <w:sz w:val="21"/>
          <w:szCs w:val="21"/>
        </w:rPr>
        <w:t xml:space="preserve">Fear-monger, catastrophize, or wink. An audit joke costs more trust than it earns.</w:t>
      </w:r>
    </w:p>
    <w:p>
      <w:pPr>
        <w:pStyle w:val="Heading2"/>
        <w:spacing w:after="120" w:before="240"/>
      </w:pPr>
      <w:r>
        <w:rPr>
          <w:rFonts w:ascii="Arial" w:cs="Arial" w:eastAsia="Arial" w:hAnsi="Arial"/>
          <w:b/>
          <w:bCs/>
          <w:color w:val="2E74B5"/>
          <w:sz w:val="24"/>
          <w:szCs w:val="24"/>
        </w:rPr>
        <w:t xml:space="preserve">2.5. Human, customer-obsessed, a little hometown</w:t>
      </w:r>
    </w:p>
    <w:p>
      <w:pPr>
        <w:spacing w:after="140" w:line="276"/>
      </w:pPr>
      <w:r>
        <w:rPr>
          <w:rFonts w:ascii="Arial" w:cs="Arial" w:eastAsia="Arial" w:hAnsi="Arial"/>
          <w:sz w:val="21"/>
          <w:szCs w:val="21"/>
        </w:rPr>
        <w:t xml:space="preserve">Real people appear constantly — customers by name, employees, Sacramento. The company's stated core value is customer obsession, and its best-performing content (testimonial videos, tutorials) is people talking, not brand talking.</w:t>
      </w:r>
    </w:p>
    <w:p>
      <w:pPr>
        <w:pBdr>
          <w:left w:val="single" w:color="2E74B5" w:sz="12"/>
        </w:pBdr>
        <w:spacing w:after="120" w:line="276"/>
        <w:ind w:left="360"/>
      </w:pPr>
      <w:r>
        <w:rPr>
          <w:rFonts w:ascii="Arial" w:cs="Arial" w:eastAsia="Arial" w:hAnsi="Arial"/>
          <w:i/>
          <w:iCs/>
          <w:sz w:val="21"/>
          <w:szCs w:val="21"/>
        </w:rPr>
        <w:t xml:space="preserve">“Customers are the focal point of our company. We are tenaciously persistent when it comes to creating the best customer experience and long-lasting relationships.”</w:t>
      </w:r>
      <w:r>
        <w:rPr>
          <w:rFonts w:ascii="Arial" w:cs="Arial" w:eastAsia="Arial" w:hAnsi="Arial"/>
          <w:color w:val="595959"/>
          <w:sz w:val="18"/>
          <w:szCs w:val="18"/>
        </w:rPr>
        <w:t xml:space="preserve">  — company core values</w:t>
      </w:r>
    </w:p>
    <w:p>
      <w:pPr>
        <w:pBdr>
          <w:left w:val="single" w:color="2E74B5" w:sz="12"/>
        </w:pBdr>
        <w:spacing w:after="120" w:line="276"/>
        <w:ind w:left="360"/>
      </w:pPr>
      <w:r>
        <w:rPr>
          <w:rFonts w:ascii="Arial" w:cs="Arial" w:eastAsia="Arial" w:hAnsi="Arial"/>
          <w:i/>
          <w:iCs/>
          <w:sz w:val="21"/>
          <w:szCs w:val="21"/>
        </w:rPr>
        <w:t xml:space="preserve">“Made with ♥ in Sacramento, CA.”</w:t>
      </w:r>
      <w:r>
        <w:rPr>
          <w:rFonts w:ascii="Arial" w:cs="Arial" w:eastAsia="Arial" w:hAnsi="Arial"/>
          <w:color w:val="595959"/>
          <w:sz w:val="18"/>
          <w:szCs w:val="18"/>
        </w:rPr>
        <w:t xml:space="preserve">  — site footer</w:t>
      </w:r>
    </w:p>
    <w:p>
      <w:pPr>
        <w:pBdr>
          <w:left w:val="single" w:color="2E74B5" w:sz="12"/>
        </w:pBdr>
        <w:spacing w:after="120" w:line="276"/>
        <w:ind w:left="360"/>
      </w:pPr>
      <w:r>
        <w:rPr>
          <w:rFonts w:ascii="Arial" w:cs="Arial" w:eastAsia="Arial" w:hAnsi="Arial"/>
          <w:i/>
          <w:iCs/>
          <w:sz w:val="21"/>
          <w:szCs w:val="21"/>
        </w:rPr>
        <w:t xml:space="preserve">“Their Support Is Second to None”</w:t>
      </w:r>
      <w:r>
        <w:rPr>
          <w:rFonts w:ascii="Arial" w:cs="Arial" w:eastAsia="Arial" w:hAnsi="Arial"/>
          <w:color w:val="595959"/>
          <w:sz w:val="18"/>
          <w:szCs w:val="18"/>
        </w:rPr>
        <w:t xml:space="preserve">  — NextHome Spotlight video title</w:t>
      </w:r>
    </w:p>
    <w:p>
      <w:pPr>
        <w:pBdr>
          <w:left w:val="single" w:color="2E74B5" w:sz="12"/>
        </w:pBdr>
        <w:spacing w:after="120" w:line="276"/>
        <w:ind w:left="360"/>
      </w:pPr>
      <w:r>
        <w:rPr>
          <w:rFonts w:ascii="Arial" w:cs="Arial" w:eastAsia="Arial" w:hAnsi="Arial"/>
          <w:i/>
          <w:iCs/>
          <w:sz w:val="21"/>
          <w:szCs w:val="21"/>
        </w:rPr>
        <w:t xml:space="preserve">“You've saved me at least 50 hours. I'll always use SkyTC for transactions from here on out.”</w:t>
      </w:r>
      <w:r>
        <w:rPr>
          <w:rFonts w:ascii="Arial" w:cs="Arial" w:eastAsia="Arial" w:hAnsi="Arial"/>
          <w:color w:val="595959"/>
          <w:sz w:val="18"/>
          <w:szCs w:val="18"/>
        </w:rPr>
        <w:t xml:space="preserve">  — John Greff, Allison James Estates &amp; Homes</w:t>
      </w:r>
    </w:p>
    <w:p>
      <w:pPr>
        <w:spacing w:after="140" w:line="276"/>
      </w:pPr>
      <w:r>
        <w:rPr>
          <w:rFonts w:ascii="Arial" w:cs="Arial" w:eastAsia="Arial" w:hAnsi="Arial"/>
          <w:b/>
          <w:bCs/>
          <w:sz w:val="21"/>
          <w:szCs w:val="21"/>
        </w:rPr>
        <w:t xml:space="preserve">Do: </w:t>
      </w:r>
      <w:r>
        <w:rPr>
          <w:rFonts w:ascii="Arial" w:cs="Arial" w:eastAsia="Arial" w:hAnsi="Arial"/>
          <w:sz w:val="21"/>
          <w:szCs w:val="21"/>
        </w:rPr>
        <w:t xml:space="preserve">Name customers and let them talk; credit TCs, admins, and auditors — the unsung roles; sign off like humans.</w:t>
      </w:r>
    </w:p>
    <w:p>
      <w:pPr>
        <w:spacing w:after="200" w:line="276"/>
      </w:pPr>
      <w:r>
        <w:rPr>
          <w:rFonts w:ascii="Arial" w:cs="Arial" w:eastAsia="Arial" w:hAnsi="Arial"/>
          <w:b/>
          <w:bCs/>
          <w:sz w:val="21"/>
          <w:szCs w:val="21"/>
        </w:rPr>
        <w:t xml:space="preserve">Don't: </w:t>
      </w:r>
      <w:r>
        <w:rPr>
          <w:rFonts w:ascii="Arial" w:cs="Arial" w:eastAsia="Arial" w:hAnsi="Arial"/>
          <w:sz w:val="21"/>
          <w:szCs w:val="21"/>
        </w:rPr>
        <w:t xml:space="preserve">Faceless corporate announcement voice (“We are pleased to announce…”) — the exact press-release-feed habit the June audit flagged.</w:t>
      </w:r>
    </w:p>
    <w:p>
      <w:pPr>
        <w:pStyle w:val="Heading1"/>
        <w:spacing w:after="160" w:before="320"/>
      </w:pPr>
      <w:r>
        <w:rPr>
          <w:rFonts w:ascii="Arial" w:cs="Arial" w:eastAsia="Arial" w:hAnsi="Arial"/>
          <w:b/>
          <w:bCs/>
          <w:color w:val="1F3864"/>
          <w:sz w:val="30"/>
          <w:szCs w:val="30"/>
        </w:rPr>
        <w:t xml:space="preserve">3. Tone: one voice, six dials</w:t>
      </w:r>
    </w:p>
    <w:p>
      <w:pPr>
        <w:spacing w:after="140" w:line="276"/>
      </w:pPr>
      <w:r>
        <w:rPr>
          <w:rFonts w:ascii="Arial" w:cs="Arial" w:eastAsia="Arial" w:hAnsi="Arial"/>
          <w:sz w:val="21"/>
          <w:szCs w:val="21"/>
        </w:rPr>
        <w:t xml:space="preserve">The voice never changes; the tone dials up or down by audience and surface. This is the setting per context, with the personas from the Audience doc in brackets.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60"/>
      </w:tblGrid>
      <w:tr>
        <w:trPr>
          <w:tblHeader/>
        </w:trPr>
        <w:tc>
          <w:tcPr>
            <w:tcW w:type="dxa" w:w="1900"/>
            <w:shd w:fill="1F3864" w:val="clear"/>
            <w:tcMar>
              <w:top w:type="dxa" w:w="60"/>
              <w:left w:type="dxa" w:w="100"/>
              <w:bottom w:type="dxa" w:w="60"/>
              <w:right w:type="dxa" w:w="100"/>
            </w:tcMar>
          </w:tcPr>
          <w:p>
            <w:pPr>
              <w:spacing w:after="40" w:line="260"/>
            </w:pPr>
            <w:r>
              <w:rPr>
                <w:rFonts w:ascii="Arial" w:cs="Arial" w:eastAsia="Arial" w:hAnsi="Arial"/>
                <w:b/>
                <w:bCs/>
                <w:color w:val="FFFFFF"/>
                <w:sz w:val="19"/>
                <w:szCs w:val="19"/>
              </w:rPr>
              <w:t xml:space="preserve">Context</w:t>
            </w:r>
          </w:p>
        </w:tc>
        <w:tc>
          <w:tcPr>
            <w:tcW w:type="dxa" w:w="3300"/>
            <w:shd w:fill="1F3864" w:val="clear"/>
            <w:tcMar>
              <w:top w:type="dxa" w:w="60"/>
              <w:left w:type="dxa" w:w="100"/>
              <w:bottom w:type="dxa" w:w="60"/>
              <w:right w:type="dxa" w:w="100"/>
            </w:tcMar>
          </w:tcPr>
          <w:p>
            <w:pPr>
              <w:spacing w:after="40" w:line="260"/>
            </w:pPr>
            <w:r>
              <w:rPr>
                <w:rFonts w:ascii="Arial" w:cs="Arial" w:eastAsia="Arial" w:hAnsi="Arial"/>
                <w:b/>
                <w:bCs/>
                <w:color w:val="FFFFFF"/>
                <w:sz w:val="19"/>
                <w:szCs w:val="19"/>
              </w:rPr>
              <w:t xml:space="preserve">Tone setting</w:t>
            </w:r>
          </w:p>
        </w:tc>
        <w:tc>
          <w:tcPr>
            <w:tcW w:type="dxa" w:w="4160"/>
            <w:shd w:fill="1F3864" w:val="clear"/>
            <w:tcMar>
              <w:top w:type="dxa" w:w="60"/>
              <w:left w:type="dxa" w:w="100"/>
              <w:bottom w:type="dxa" w:w="60"/>
              <w:right w:type="dxa" w:w="100"/>
            </w:tcMar>
          </w:tcPr>
          <w:p>
            <w:pPr>
              <w:spacing w:after="40" w:line="260"/>
            </w:pPr>
            <w:r>
              <w:rPr>
                <w:rFonts w:ascii="Arial" w:cs="Arial" w:eastAsia="Arial" w:hAnsi="Arial"/>
                <w:b/>
                <w:bCs/>
                <w:color w:val="FFFFFF"/>
                <w:sz w:val="19"/>
                <w:szCs w:val="19"/>
              </w:rPr>
              <w:t xml:space="preserve">Sounds like</w:t>
            </w:r>
          </w:p>
        </w:tc>
      </w:tr>
      <w:tr>
        <w:tc>
          <w:tcPr>
            <w:tcW w:type="dxa" w:w="19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Website &amp; campaign copy</w:t>
            </w:r>
          </w:p>
        </w:tc>
        <w:tc>
          <w:tcPr>
            <w:tcW w:type="dxa" w:w="33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Confident, punchy, benefit-led. Wink allowed.</w:t>
            </w:r>
          </w:p>
        </w:tc>
        <w:tc>
          <w:tcPr>
            <w:tcW w:type="dxa" w:w="416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“Less managing. More closing.” One idea per section, stat callouts, Request Demo.</w:t>
            </w:r>
          </w:p>
        </w:tc>
      </w:tr>
      <w:tr>
        <w:tc>
          <w:tcPr>
            <w:tcW w:type="dxa" w:w="19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LinkedIn [Barbara, Carmen]</w:t>
            </w:r>
          </w:p>
        </w:tc>
        <w:tc>
          <w:tcPr>
            <w:tcW w:type="dxa" w:w="33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POV-first and data-backed, professionally warm. Product news framed as industry insight, not announcement.</w:t>
            </w:r>
          </w:p>
        </w:tc>
        <w:tc>
          <w:tcPr>
            <w:tcW w:type="dxa" w:w="416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Open with the observation or number, not the brand. Exec voices carry it; the Page reshares.</w:t>
            </w:r>
          </w:p>
        </w:tc>
      </w:tr>
      <w:tr>
        <w:tc>
          <w:tcPr>
            <w:tcW w:type="dxa" w:w="19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Instagram [Tina, Alex]</w:t>
            </w:r>
          </w:p>
        </w:tc>
        <w:tc>
          <w:tcPr>
            <w:tcW w:type="dxa" w:w="33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Relatable, funny, zero-CTA. Earn attention before mentioning product; the product mention lives in a comment reply.</w:t>
            </w:r>
          </w:p>
        </w:tc>
        <w:tc>
          <w:tcPr>
            <w:tcW w:type="dxa" w:w="416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TC-life and agent-life humor that punches at the paperwork, never at the people.</w:t>
            </w:r>
          </w:p>
        </w:tc>
      </w:tr>
      <w:tr>
        <w:tc>
          <w:tcPr>
            <w:tcW w:type="dxa" w:w="19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Tutorials &amp; support</w:t>
            </w:r>
          </w:p>
        </w:tc>
        <w:tc>
          <w:tcPr>
            <w:tcW w:type="dxa" w:w="33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Plain, stepwise, zero cleverness. Title says exactly what the video does.</w:t>
            </w:r>
          </w:p>
        </w:tc>
        <w:tc>
          <w:tcPr>
            <w:tcW w:type="dxa" w:w="416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“How to Create a Listing with Skye” (22K views), “How to Fill Forms” (12K). Clarity is the brand here.</w:t>
            </w:r>
          </w:p>
        </w:tc>
      </w:tr>
      <w:tr>
        <w:tc>
          <w:tcPr>
            <w:tcW w:type="dxa" w:w="19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Press releases &amp; partner news</w:t>
            </w:r>
          </w:p>
        </w:tc>
        <w:tc>
          <w:tcPr>
            <w:tcW w:type="dxa" w:w="33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Formal, third-person, current boilerplate. LinkedIn-first per the strategy.</w:t>
            </w:r>
          </w:p>
        </w:tc>
        <w:tc>
          <w:tcPr>
            <w:tcW w:type="dxa" w:w="416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“SkySlope, a leader in real estate technology solutions, today announced…” — with 2026 numbers only.</w:t>
            </w:r>
          </w:p>
        </w:tc>
      </w:tr>
      <w:tr>
        <w:tc>
          <w:tcPr>
            <w:tcW w:type="dxa" w:w="19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Compliance &amp; security topics</w:t>
            </w:r>
          </w:p>
        </w:tc>
        <w:tc>
          <w:tcPr>
            <w:tcW w:type="dxa" w:w="33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Guardian register: steady, precise, protective. No jokes, no exclamation marks.</w:t>
            </w:r>
          </w:p>
        </w:tc>
        <w:tc>
          <w:tcPr>
            <w:tcW w:type="dxa" w:w="416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“Constant state of readiness.” Stakes → mechanism → peace of mind.</w:t>
            </w:r>
          </w:p>
        </w:tc>
      </w:tr>
    </w:tbl>
    <w:p>
      <w:pPr>
        <w:pStyle w:val="Heading1"/>
        <w:spacing w:after="160" w:before="320"/>
      </w:pPr>
      <w:r>
        <w:rPr>
          <w:rFonts w:ascii="Arial" w:cs="Arial" w:eastAsia="Arial" w:hAnsi="Arial"/>
          <w:b/>
          <w:bCs/>
          <w:color w:val="1F3864"/>
          <w:sz w:val="30"/>
          <w:szCs w:val="30"/>
        </w:rPr>
        <w:t xml:space="preserve">4. Language mechanics</w:t>
      </w:r>
    </w:p>
    <w:p>
      <w:pPr>
        <w:pStyle w:val="Heading2"/>
        <w:spacing w:after="120" w:before="240"/>
      </w:pPr>
      <w:r>
        <w:rPr>
          <w:rFonts w:ascii="Arial" w:cs="Arial" w:eastAsia="Arial" w:hAnsi="Arial"/>
          <w:b/>
          <w:bCs/>
          <w:color w:val="2E74B5"/>
          <w:sz w:val="24"/>
          <w:szCs w:val="24"/>
        </w:rPr>
        <w:t xml:space="preserve">4.1 Product names — exact spellings</w:t>
      </w:r>
    </w:p>
    <w:p>
      <w:pPr>
        <w:spacing w:after="140" w:line="276"/>
      </w:pPr>
      <w:r>
        <w:rPr>
          <w:rFonts w:ascii="Arial" w:cs="Arial" w:eastAsia="Arial" w:hAnsi="Arial"/>
          <w:sz w:val="21"/>
          <w:szCs w:val="21"/>
        </w:rPr>
        <w:t xml:space="preserve">Product naming is a brand tell; one wrong capital reads as an outsider. First mention takes the full name (“SkySlope Forms”), after which the short name is fine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3860"/>
      </w:tblGrid>
      <w:tr>
        <w:trPr>
          <w:tblHeader/>
        </w:trPr>
        <w:tc>
          <w:tcPr>
            <w:tcW w:type="dxa" w:w="3200"/>
            <w:shd w:fill="1F3864" w:val="clear"/>
            <w:tcMar>
              <w:top w:type="dxa" w:w="60"/>
              <w:left w:type="dxa" w:w="100"/>
              <w:bottom w:type="dxa" w:w="60"/>
              <w:right w:type="dxa" w:w="100"/>
            </w:tcMar>
          </w:tcPr>
          <w:p>
            <w:pPr>
              <w:spacing w:after="40" w:line="260"/>
            </w:pPr>
            <w:r>
              <w:rPr>
                <w:rFonts w:ascii="Arial" w:cs="Arial" w:eastAsia="Arial" w:hAnsi="Arial"/>
                <w:b/>
                <w:bCs/>
                <w:color w:val="FFFFFF"/>
                <w:sz w:val="19"/>
                <w:szCs w:val="19"/>
              </w:rPr>
              <w:t xml:space="preserve">Write it exactly</w:t>
            </w:r>
          </w:p>
        </w:tc>
        <w:tc>
          <w:tcPr>
            <w:tcW w:type="dxa" w:w="2300"/>
            <w:shd w:fill="1F3864" w:val="clear"/>
            <w:tcMar>
              <w:top w:type="dxa" w:w="60"/>
              <w:left w:type="dxa" w:w="100"/>
              <w:bottom w:type="dxa" w:w="60"/>
              <w:right w:type="dxa" w:w="100"/>
            </w:tcMar>
          </w:tcPr>
          <w:p>
            <w:pPr>
              <w:spacing w:after="40" w:line="260"/>
            </w:pPr>
            <w:r>
              <w:rPr>
                <w:rFonts w:ascii="Arial" w:cs="Arial" w:eastAsia="Arial" w:hAnsi="Arial"/>
                <w:b/>
                <w:bCs/>
                <w:color w:val="FFFFFF"/>
                <w:sz w:val="19"/>
                <w:szCs w:val="19"/>
              </w:rPr>
              <w:t xml:space="preserve">Never</w:t>
            </w:r>
          </w:p>
        </w:tc>
        <w:tc>
          <w:tcPr>
            <w:tcW w:type="dxa" w:w="3860"/>
            <w:shd w:fill="1F3864" w:val="clear"/>
            <w:tcMar>
              <w:top w:type="dxa" w:w="60"/>
              <w:left w:type="dxa" w:w="100"/>
              <w:bottom w:type="dxa" w:w="60"/>
              <w:right w:type="dxa" w:w="100"/>
            </w:tcMar>
          </w:tcPr>
          <w:p>
            <w:pPr>
              <w:spacing w:after="40" w:line="260"/>
            </w:pPr>
            <w:r>
              <w:rPr>
                <w:rFonts w:ascii="Arial" w:cs="Arial" w:eastAsia="Arial" w:hAnsi="Arial"/>
                <w:b/>
                <w:bCs/>
                <w:color w:val="FFFFFF"/>
                <w:sz w:val="19"/>
                <w:szCs w:val="19"/>
              </w:rPr>
              <w:t xml:space="preserve">Notes</w:t>
            </w:r>
          </w:p>
        </w:tc>
      </w:tr>
      <w:tr>
        <w:tc>
          <w:tcPr>
            <w:tcW w:type="dxa" w:w="32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SkySlope</w:t>
            </w:r>
          </w:p>
        </w:tc>
        <w:tc>
          <w:tcPr>
            <w:tcW w:type="dxa" w:w="23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Sky Slope, Skyslope, SkySlope™</w:t>
            </w:r>
          </w:p>
        </w:tc>
        <w:tc>
          <w:tcPr>
            <w:tcW w:type="dxa" w:w="386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One word, capital S twice. The company AND the core transaction-management platform.</w:t>
            </w:r>
          </w:p>
        </w:tc>
      </w:tr>
      <w:tr>
        <w:tc>
          <w:tcPr>
            <w:tcW w:type="dxa" w:w="32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SkySlope Forms → Forms</w:t>
            </w:r>
          </w:p>
        </w:tc>
        <w:tc>
          <w:tcPr>
            <w:tcW w:type="dxa" w:w="23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SkySlope forms</w:t>
            </w:r>
          </w:p>
        </w:tc>
        <w:tc>
          <w:tcPr>
            <w:tcW w:type="dxa" w:w="386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Includes Broker Edition and Net Sheets features.</w:t>
            </w:r>
          </w:p>
        </w:tc>
      </w:tr>
      <w:tr>
        <w:tc>
          <w:tcPr>
            <w:tcW w:type="dxa" w:w="32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DigiSign</w:t>
            </w:r>
          </w:p>
        </w:tc>
        <w:tc>
          <w:tcPr>
            <w:tcW w:type="dxa" w:w="23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Digisign, DigiSign Pro</w:t>
            </w:r>
          </w:p>
        </w:tc>
        <w:tc>
          <w:tcPr>
            <w:tcW w:type="dxa" w:w="386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Capital D and capital S. E-signature product; “e-signature” takes a hyphen.</w:t>
            </w:r>
          </w:p>
        </w:tc>
      </w:tr>
      <w:tr>
        <w:tc>
          <w:tcPr>
            <w:tcW w:type="dxa" w:w="32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SkySlope Offers → Offers</w:t>
            </w:r>
          </w:p>
        </w:tc>
        <w:tc>
          <w:tcPr>
            <w:tcW w:type="dxa" w:w="23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Offer Management (as a name)</w:t>
            </w:r>
          </w:p>
        </w:tc>
        <w:tc>
          <w:tcPr>
            <w:tcW w:type="dxa" w:w="386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“Offer management” lowercase is the category, Offers is the product.</w:t>
            </w:r>
          </w:p>
        </w:tc>
      </w:tr>
      <w:tr>
        <w:tc>
          <w:tcPr>
            <w:tcW w:type="dxa" w:w="32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Breeze / Breeze by SkySlope</w:t>
            </w:r>
          </w:p>
        </w:tc>
        <w:tc>
          <w:tcPr>
            <w:tcW w:type="dxa" w:w="23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BREEZE</w:t>
            </w:r>
          </w:p>
        </w:tc>
        <w:tc>
          <w:tcPr>
            <w:tcW w:type="dxa" w:w="386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Disclosure product; “Breeze by SkySlope” in association/member-benefit contexts. AVID variant: Breeze AVID.</w:t>
            </w:r>
          </w:p>
        </w:tc>
      </w:tr>
      <w:tr>
        <w:tc>
          <w:tcPr>
            <w:tcW w:type="dxa" w:w="32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SkySlope Books → Books</w:t>
            </w:r>
          </w:p>
        </w:tc>
        <w:tc>
          <w:tcPr>
            <w:tcW w:type="dxa" w:w="23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SkyBooks</w:t>
            </w:r>
          </w:p>
        </w:tc>
        <w:tc>
          <w:tcPr>
            <w:tcW w:type="dxa" w:w="386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Back-office accounting &amp; commission disbursement.</w:t>
            </w:r>
          </w:p>
        </w:tc>
      </w:tr>
      <w:tr>
        <w:tc>
          <w:tcPr>
            <w:tcW w:type="dxa" w:w="32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SkyTC</w:t>
            </w:r>
          </w:p>
        </w:tc>
        <w:tc>
          <w:tcPr>
            <w:tcW w:type="dxa" w:w="23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SkyTc, Sky TC</w:t>
            </w:r>
          </w:p>
        </w:tc>
        <w:tc>
          <w:tcPr>
            <w:tcW w:type="dxa" w:w="386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A human, white-glove service — never call it software.</w:t>
            </w:r>
          </w:p>
        </w:tc>
      </w:tr>
      <w:tr>
        <w:tc>
          <w:tcPr>
            <w:tcW w:type="dxa" w:w="32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SkySight</w:t>
            </w:r>
          </w:p>
        </w:tc>
        <w:tc>
          <w:tcPr>
            <w:tcW w:type="dxa" w:w="23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SkySights, Skysight</w:t>
            </w:r>
          </w:p>
        </w:tc>
        <w:tc>
          <w:tcPr>
            <w:tcW w:type="dxa" w:w="386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iOS brokerage-intelligence app with the weekly audio briefing.</w:t>
            </w:r>
          </w:p>
        </w:tc>
      </w:tr>
      <w:tr>
        <w:tc>
          <w:tcPr>
            <w:tcW w:type="dxa" w:w="32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Ayce</w:t>
            </w:r>
          </w:p>
        </w:tc>
        <w:tc>
          <w:tcPr>
            <w:tcW w:type="dxa" w:w="23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AYCE, ayce</w:t>
            </w:r>
          </w:p>
        </w:tc>
        <w:tc>
          <w:tcPr>
            <w:tcW w:type="dxa" w:w="386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AI coaching app. Only the A is capitalized.</w:t>
            </w:r>
          </w:p>
        </w:tc>
      </w:tr>
      <w:tr>
        <w:tc>
          <w:tcPr>
            <w:tcW w:type="dxa" w:w="32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Smart Suite; Smart Assist, Smart Listings, Smart Scan, Smart Emails, Smart Blocks, Auto-Split and Assign, Quick Audit, Voice Assistant (Beta)</w:t>
            </w:r>
          </w:p>
        </w:tc>
        <w:tc>
          <w:tcPr>
            <w:tcW w:type="dxa" w:w="23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SmartAssist, smart suite</w:t>
            </w:r>
          </w:p>
        </w:tc>
        <w:tc>
          <w:tcPr>
            <w:tcW w:type="dxa" w:w="386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The named AI layer. When making an AI claim, name the feature that proves it.</w:t>
            </w:r>
          </w:p>
        </w:tc>
      </w:tr>
      <w:tr>
        <w:tc>
          <w:tcPr>
            <w:tcW w:type="dxa" w:w="32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Pilot</w:t>
            </w:r>
          </w:p>
        </w:tc>
        <w:tc>
          <w:tcPr>
            <w:tcW w:type="dxa" w:w="23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SkyPilot</w:t>
            </w:r>
          </w:p>
        </w:tc>
        <w:tc>
          <w:tcPr>
            <w:tcW w:type="dxa" w:w="386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Pre-launch mobile estimates app (waitlist). Say “coming soon,” not “available.”</w:t>
            </w:r>
          </w:p>
        </w:tc>
      </w:tr>
    </w:tbl>
    <w:p>
      <w:pPr>
        <w:pStyle w:val="Heading2"/>
        <w:spacing w:after="120" w:before="240"/>
      </w:pPr>
      <w:r>
        <w:rPr>
          <w:rFonts w:ascii="Arial" w:cs="Arial" w:eastAsia="Arial" w:hAnsi="Arial"/>
          <w:b/>
          <w:bCs/>
          <w:color w:val="2E74B5"/>
          <w:sz w:val="24"/>
          <w:szCs w:val="24"/>
        </w:rPr>
        <w:t xml:space="preserve">4.2 House style patterns (observed on current pages)</w:t>
      </w:r>
    </w:p>
    <w:p>
      <w:pPr>
        <w:pStyle w:val="ListParagraph"/>
        <w:numPr>
          <w:ilvl w:val="0"/>
          <w:numId w:val="2"/>
        </w:numPr>
        <w:spacing w:after="90" w:line="276"/>
      </w:pPr>
      <w:r>
        <w:rPr>
          <w:rFonts w:ascii="Arial" w:cs="Arial" w:eastAsia="Arial" w:hAnsi="Arial"/>
          <w:b/>
          <w:bCs/>
          <w:sz w:val="21"/>
          <w:szCs w:val="21"/>
        </w:rPr>
        <w:t xml:space="preserve">Short sentences, second person. </w:t>
      </w:r>
      <w:r>
        <w:rPr>
          <w:rFonts w:ascii="Arial" w:cs="Arial" w:eastAsia="Arial" w:hAnsi="Arial"/>
          <w:sz w:val="21"/>
          <w:szCs w:val="21"/>
        </w:rPr>
        <w:t xml:space="preserve">“Your brokerage,” “your agents,” “your clients.” Contractions welcome.</w:t>
      </w:r>
    </w:p>
    <w:p>
      <w:pPr>
        <w:pStyle w:val="ListParagraph"/>
        <w:numPr>
          <w:ilvl w:val="0"/>
          <w:numId w:val="2"/>
        </w:numPr>
        <w:spacing w:after="90" w:line="276"/>
      </w:pPr>
      <w:r>
        <w:rPr>
          <w:rFonts w:ascii="Arial" w:cs="Arial" w:eastAsia="Arial" w:hAnsi="Arial"/>
          <w:b/>
          <w:bCs/>
          <w:sz w:val="21"/>
          <w:szCs w:val="21"/>
        </w:rPr>
        <w:t xml:space="preserve">Sentence case headlines. </w:t>
      </w:r>
      <w:r>
        <w:rPr>
          <w:rFonts w:ascii="Arial" w:cs="Arial" w:eastAsia="Arial" w:hAnsi="Arial"/>
          <w:sz w:val="21"/>
          <w:szCs w:val="21"/>
        </w:rPr>
        <w:t xml:space="preserve">Current pages favor sentence case (“Less managing. More closing.”); legacy ALL-CAPS section labels still exist on older pages — don't imitate them in new work.</w:t>
      </w:r>
    </w:p>
    <w:p>
      <w:pPr>
        <w:pStyle w:val="ListParagraph"/>
        <w:numPr>
          <w:ilvl w:val="0"/>
          <w:numId w:val="2"/>
        </w:numPr>
        <w:spacing w:after="90" w:line="276"/>
      </w:pPr>
      <w:r>
        <w:rPr>
          <w:rFonts w:ascii="Arial" w:cs="Arial" w:eastAsia="Arial" w:hAnsi="Arial"/>
          <w:b/>
          <w:bCs/>
          <w:sz w:val="21"/>
          <w:szCs w:val="21"/>
        </w:rPr>
        <w:t xml:space="preserve">The em dash pivot. </w:t>
      </w:r>
      <w:r>
        <w:rPr>
          <w:rFonts w:ascii="Arial" w:cs="Arial" w:eastAsia="Arial" w:hAnsi="Arial"/>
          <w:sz w:val="21"/>
          <w:szCs w:val="21"/>
        </w:rPr>
        <w:t xml:space="preserve">Benefit—qualifier is the house rhythm: “…intelligent automation to every transaction—so teams move faster with less risk.”</w:t>
      </w:r>
    </w:p>
    <w:p>
      <w:pPr>
        <w:pStyle w:val="ListParagraph"/>
        <w:numPr>
          <w:ilvl w:val="0"/>
          <w:numId w:val="2"/>
        </w:numPr>
        <w:spacing w:after="90" w:line="276"/>
      </w:pPr>
      <w:r>
        <w:rPr>
          <w:rFonts w:ascii="Arial" w:cs="Arial" w:eastAsia="Arial" w:hAnsi="Arial"/>
          <w:b/>
          <w:bCs/>
          <w:sz w:val="21"/>
          <w:szCs w:val="21"/>
        </w:rPr>
        <w:t xml:space="preserve">Arrow CTAs in email/blog. </w:t>
      </w:r>
      <w:r>
        <w:rPr>
          <w:rFonts w:ascii="Arial" w:cs="Arial" w:eastAsia="Arial" w:hAnsi="Arial"/>
          <w:sz w:val="21"/>
          <w:szCs w:val="21"/>
        </w:rPr>
        <w:t xml:space="preserve">“Work Smarter, Not Harder – Try the New Tools Now →”. Universal primary CTAs: “Request Demo” / “Book a demo.”</w:t>
      </w:r>
    </w:p>
    <w:p>
      <w:pPr>
        <w:pStyle w:val="ListParagraph"/>
        <w:numPr>
          <w:ilvl w:val="0"/>
          <w:numId w:val="2"/>
        </w:numPr>
        <w:spacing w:after="90" w:line="276"/>
      </w:pPr>
      <w:r>
        <w:rPr>
          <w:rFonts w:ascii="Arial" w:cs="Arial" w:eastAsia="Arial" w:hAnsi="Arial"/>
          <w:b/>
          <w:bCs/>
          <w:sz w:val="21"/>
          <w:szCs w:val="21"/>
        </w:rPr>
        <w:t xml:space="preserve">Numerals for numbers, </w:t>
      </w:r>
      <w:r>
        <w:rPr>
          <w:rFonts w:ascii="Arial" w:cs="Arial" w:eastAsia="Arial" w:hAnsi="Arial"/>
          <w:sz w:val="21"/>
          <w:szCs w:val="21"/>
        </w:rPr>
        <w:t xml:space="preserve">stat callouts as standalone lines (“97%”, “10 hours per deal”, “$340 per month”).</w:t>
      </w:r>
    </w:p>
    <w:p>
      <w:pPr>
        <w:pStyle w:val="ListParagraph"/>
        <w:numPr>
          <w:ilvl w:val="0"/>
          <w:numId w:val="2"/>
        </w:numPr>
        <w:spacing w:after="90" w:line="276"/>
      </w:pPr>
      <w:r>
        <w:rPr>
          <w:rFonts w:ascii="Arial" w:cs="Arial" w:eastAsia="Arial" w:hAnsi="Arial"/>
          <w:b/>
          <w:bCs/>
          <w:sz w:val="21"/>
          <w:szCs w:val="21"/>
        </w:rPr>
        <w:t xml:space="preserve">Role words, not “users.” </w:t>
      </w:r>
      <w:r>
        <w:rPr>
          <w:rFonts w:ascii="Arial" w:cs="Arial" w:eastAsia="Arial" w:hAnsi="Arial"/>
          <w:sz w:val="21"/>
          <w:szCs w:val="21"/>
        </w:rPr>
        <w:t xml:space="preserve">Agents, brokers, TCs, admins, auditors — SkySlope even published a post on why the product feels different per role. Naming the role is on-brand; “users” is not.</w:t>
      </w:r>
    </w:p>
    <w:p>
      <w:pPr>
        <w:pStyle w:val="ListParagraph"/>
        <w:numPr>
          <w:ilvl w:val="0"/>
          <w:numId w:val="2"/>
        </w:numPr>
        <w:spacing w:after="90" w:line="276"/>
      </w:pPr>
      <w:r>
        <w:rPr>
          <w:rFonts w:ascii="Arial" w:cs="Arial" w:eastAsia="Arial" w:hAnsi="Arial"/>
          <w:b/>
          <w:bCs/>
          <w:sz w:val="21"/>
          <w:szCs w:val="21"/>
        </w:rPr>
        <w:t xml:space="preserve">Canadian content localizes. </w:t>
      </w:r>
      <w:r>
        <w:rPr>
          <w:rFonts w:ascii="Arial" w:cs="Arial" w:eastAsia="Arial" w:hAnsi="Arial"/>
          <w:sz w:val="21"/>
          <w:szCs w:val="21"/>
        </w:rPr>
        <w:t xml:space="preserve">Cheques, provinces, postal codes, OREA forms — “Checks are cheques, states are provinces, and ZIP codes are postal codes.”</w:t>
      </w:r>
    </w:p>
    <w:p>
      <w:pPr>
        <w:pStyle w:val="Heading2"/>
        <w:spacing w:after="120" w:before="240"/>
      </w:pPr>
      <w:r>
        <w:rPr>
          <w:rFonts w:ascii="Arial" w:cs="Arial" w:eastAsia="Arial" w:hAnsi="Arial"/>
          <w:b/>
          <w:bCs/>
          <w:color w:val="2E74B5"/>
          <w:sz w:val="24"/>
          <w:szCs w:val="24"/>
        </w:rPr>
        <w:t xml:space="preserve">4.3 Words to lean on / words to avoid</w:t>
      </w:r>
    </w:p>
    <w:p>
      <w:pPr>
        <w:spacing w:after="140" w:line="276"/>
      </w:pPr>
      <w:r>
        <w:rPr>
          <w:rFonts w:ascii="Arial" w:cs="Arial" w:eastAsia="Arial" w:hAnsi="Arial"/>
          <w:b/>
          <w:bCs/>
          <w:sz w:val="21"/>
          <w:szCs w:val="21"/>
        </w:rPr>
        <w:t xml:space="preserve">Lean on: </w:t>
      </w:r>
      <w:r>
        <w:rPr>
          <w:rFonts w:ascii="Arial" w:cs="Arial" w:eastAsia="Arial" w:hAnsi="Arial"/>
          <w:sz w:val="21"/>
          <w:szCs w:val="21"/>
        </w:rPr>
        <w:t xml:space="preserve">busywork · contract to close · contract to payout · audit-ready · compliance backbone · checklists · envelopes · file review · command center · surface risk early · keep deals moving · intelligence built in · white glove (SkyTC only) · peace of mind.</w:t>
      </w:r>
    </w:p>
    <w:p>
      <w:pPr>
        <w:spacing w:after="140" w:line="276"/>
      </w:pPr>
      <w:r>
        <w:rPr>
          <w:rFonts w:ascii="Arial" w:cs="Arial" w:eastAsia="Arial" w:hAnsi="Arial"/>
          <w:b/>
          <w:bCs/>
          <w:sz w:val="21"/>
          <w:szCs w:val="21"/>
        </w:rPr>
        <w:t xml:space="preserve">Avoid: </w:t>
      </w:r>
      <w:r>
        <w:rPr>
          <w:rFonts w:ascii="Arial" w:cs="Arial" w:eastAsia="Arial" w:hAnsi="Arial"/>
          <w:sz w:val="21"/>
          <w:szCs w:val="21"/>
        </w:rPr>
        <w:t xml:space="preserve">“revolutionary / game-changing” in our own voice (fine inside a customer quote) · generic AI hype (“harness the power of AI”) with no named feature · “users” · “solutions” as filler · starting a caption with a link · exclamation stacking · generic hashtags (#RealEstate #PropTech — dropped per the audit).</w:t>
      </w:r>
    </w:p>
    <w:p>
      <w:pPr>
        <w:pStyle w:val="Heading1"/>
        <w:spacing w:after="160" w:before="320"/>
      </w:pPr>
      <w:r>
        <w:rPr>
          <w:rFonts w:ascii="Arial" w:cs="Arial" w:eastAsia="Arial" w:hAnsi="Arial"/>
          <w:b/>
          <w:bCs/>
          <w:color w:val="1F3864"/>
          <w:sz w:val="30"/>
          <w:szCs w:val="30"/>
        </w:rPr>
        <w:t xml:space="preserve">5. The voice applied: our four content pillars</w:t>
      </w:r>
    </w:p>
    <w:p>
      <w:pPr>
        <w:spacing w:after="140" w:line="276"/>
      </w:pPr>
      <w:r>
        <w:rPr>
          <w:rFonts w:ascii="Arial" w:cs="Arial" w:eastAsia="Arial" w:hAnsi="Arial"/>
          <w:sz w:val="21"/>
          <w:szCs w:val="21"/>
        </w:rPr>
        <w:t xml:space="preserve">The strategy doc defines the pillars; this is how the voice behaves inside each. The worked example takes one real feature (Smart Assist) through all four.</w:t>
      </w:r>
    </w:p>
    <w:p>
      <w:pPr>
        <w:pStyle w:val="Heading2"/>
        <w:spacing w:after="120" w:before="240"/>
      </w:pPr>
      <w:r>
        <w:rPr>
          <w:rFonts w:ascii="Arial" w:cs="Arial" w:eastAsia="Arial" w:hAnsi="Arial"/>
          <w:b/>
          <w:bCs/>
          <w:color w:val="2E74B5"/>
          <w:sz w:val="24"/>
          <w:szCs w:val="24"/>
        </w:rPr>
        <w:t xml:space="preserve">5.1 Data &amp; Insights — the SkySlope Index</w:t>
      </w:r>
    </w:p>
    <w:p>
      <w:pPr>
        <w:spacing w:after="140" w:line="276"/>
      </w:pPr>
      <w:r>
        <w:rPr>
          <w:rFonts w:ascii="Arial" w:cs="Arial" w:eastAsia="Arial" w:hAnsi="Arial"/>
          <w:sz w:val="21"/>
          <w:szCs w:val="21"/>
        </w:rPr>
        <w:t xml:space="preserve">Confident-analyst tone. The stat is the headline; one line of takeaway; methodology note underneath; zero pitch. The number flexes so the brand doesn't have to.</w:t>
      </w:r>
    </w:p>
    <w:p>
      <w:pPr>
        <w:pStyle w:val="Heading2"/>
        <w:spacing w:after="120" w:before="240"/>
      </w:pPr>
      <w:r>
        <w:rPr>
          <w:rFonts w:ascii="Arial" w:cs="Arial" w:eastAsia="Arial" w:hAnsi="Arial"/>
          <w:b/>
          <w:bCs/>
          <w:color w:val="2E74B5"/>
          <w:sz w:val="24"/>
          <w:szCs w:val="24"/>
        </w:rPr>
        <w:t xml:space="preserve">5.2 Testimonials &amp; Proof</w:t>
      </w:r>
    </w:p>
    <w:p>
      <w:pPr>
        <w:spacing w:after="140" w:line="276"/>
      </w:pPr>
      <w:r>
        <w:rPr>
          <w:rFonts w:ascii="Arial" w:cs="Arial" w:eastAsia="Arial" w:hAnsi="Arial"/>
          <w:sz w:val="21"/>
          <w:szCs w:val="21"/>
        </w:rPr>
        <w:t xml:space="preserve">The customer talks; the brand adds context, not adjectives. Quote verbatim, name the person and brokerage (QA the match — the audit's “Johnny” caption), and let their words carry the claim: “We looked at every product on the market…the only solution was SkySlope.” — Merrily Hackett, Sutton Group.</w:t>
      </w:r>
    </w:p>
    <w:p>
      <w:pPr>
        <w:pStyle w:val="Heading2"/>
        <w:spacing w:after="120" w:before="240"/>
      </w:pPr>
      <w:r>
        <w:rPr>
          <w:rFonts w:ascii="Arial" w:cs="Arial" w:eastAsia="Arial" w:hAnsi="Arial"/>
          <w:b/>
          <w:bCs/>
          <w:color w:val="2E74B5"/>
          <w:sz w:val="24"/>
          <w:szCs w:val="24"/>
        </w:rPr>
        <w:t xml:space="preserve">5.3 Zero-CTA Relatable</w:t>
      </w:r>
    </w:p>
    <w:p>
      <w:pPr>
        <w:spacing w:after="140" w:line="276"/>
      </w:pPr>
      <w:r>
        <w:rPr>
          <w:rFonts w:ascii="Arial" w:cs="Arial" w:eastAsia="Arial" w:hAnsi="Arial"/>
          <w:sz w:val="21"/>
          <w:szCs w:val="21"/>
        </w:rPr>
        <w:t xml:space="preserve">Funny or knowing, never salesy. Punch at the paperwork, the deadline, the missing initial on page 14 — never at agents or TCs. No link, no pitch; if someone asks, the product mention lives in a comment reply. The recent shorts already model it: “POV: the other guy's transaction management demo was flashier. SkySlope's was just honest.”</w:t>
      </w:r>
    </w:p>
    <w:p>
      <w:pPr>
        <w:pStyle w:val="Heading2"/>
        <w:spacing w:after="120" w:before="240"/>
      </w:pPr>
      <w:r>
        <w:rPr>
          <w:rFonts w:ascii="Arial" w:cs="Arial" w:eastAsia="Arial" w:hAnsi="Arial"/>
          <w:b/>
          <w:bCs/>
          <w:color w:val="2E74B5"/>
          <w:sz w:val="24"/>
          <w:szCs w:val="24"/>
        </w:rPr>
        <w:t xml:space="preserve">5.4 Education &amp; Product</w:t>
      </w:r>
    </w:p>
    <w:p>
      <w:pPr>
        <w:spacing w:after="140" w:line="276"/>
      </w:pPr>
      <w:r>
        <w:rPr>
          <w:rFonts w:ascii="Arial" w:cs="Arial" w:eastAsia="Arial" w:hAnsi="Arial"/>
          <w:sz w:val="21"/>
          <w:szCs w:val="21"/>
        </w:rPr>
        <w:t xml:space="preserve">Pain-point first, one feature, one outcome, then the only pillar where a demo CTA belongs. Captions are written for the feed, not the landing page.</w:t>
      </w:r>
    </w:p>
    <w:p>
      <w:pPr>
        <w:pStyle w:val="Heading2"/>
        <w:spacing w:after="120" w:before="240"/>
      </w:pPr>
      <w:r>
        <w:rPr>
          <w:rFonts w:ascii="Arial" w:cs="Arial" w:eastAsia="Arial" w:hAnsi="Arial"/>
          <w:b/>
          <w:bCs/>
          <w:color w:val="2E74B5"/>
          <w:sz w:val="24"/>
          <w:szCs w:val="24"/>
        </w:rPr>
        <w:t xml:space="preserve">5.5 One feature, four ways — Smart Assist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val="clear"/>
            <w:tcMar>
              <w:top w:type="dxa" w:w="60"/>
              <w:left w:type="dxa" w:w="100"/>
              <w:bottom w:type="dxa" w:w="60"/>
              <w:right w:type="dxa" w:w="100"/>
            </w:tcMar>
          </w:tcPr>
          <w:p>
            <w:pPr>
              <w:spacing w:after="40" w:line="260"/>
            </w:pPr>
            <w:r>
              <w:rPr>
                <w:rFonts w:ascii="Arial" w:cs="Arial" w:eastAsia="Arial" w:hAnsi="Arial"/>
                <w:b/>
                <w:bCs/>
                <w:color w:val="FFFFFF"/>
                <w:sz w:val="19"/>
                <w:szCs w:val="19"/>
              </w:rPr>
              <w:t xml:space="preserve">Surface</w:t>
            </w:r>
          </w:p>
        </w:tc>
        <w:tc>
          <w:tcPr>
            <w:tcW w:type="dxa" w:w="6960"/>
            <w:shd w:fill="1F3864" w:val="clear"/>
            <w:tcMar>
              <w:top w:type="dxa" w:w="60"/>
              <w:left w:type="dxa" w:w="100"/>
              <w:bottom w:type="dxa" w:w="60"/>
              <w:right w:type="dxa" w:w="100"/>
            </w:tcMar>
          </w:tcPr>
          <w:p>
            <w:pPr>
              <w:spacing w:after="40" w:line="260"/>
            </w:pPr>
            <w:r>
              <w:rPr>
                <w:rFonts w:ascii="Arial" w:cs="Arial" w:eastAsia="Arial" w:hAnsi="Arial"/>
                <w:b/>
                <w:bCs/>
                <w:color w:val="FFFFFF"/>
                <w:sz w:val="19"/>
                <w:szCs w:val="19"/>
              </w:rPr>
              <w:t xml:space="preserve">On-brand execution</w:t>
            </w:r>
          </w:p>
        </w:tc>
      </w:tr>
      <w:tr>
        <w:tc>
          <w:tcPr>
            <w:tcW w:type="dxa" w:w="24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The old habit (what the audit flagged)</w:t>
            </w:r>
          </w:p>
        </w:tc>
        <w:tc>
          <w:tcPr>
            <w:tcW w:type="dxa" w:w="696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“SkySlope is excited to announce Smart Assist, our new AI-powered compliance review tool! Request a demo today. #RealEstate #PropTech” — announcement voice, all ask, no give.</w:t>
            </w:r>
          </w:p>
        </w:tc>
      </w:tr>
      <w:tr>
        <w:tc>
          <w:tcPr>
            <w:tcW w:type="dxa" w:w="24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LinkedIn (POV-first)</w:t>
            </w:r>
          </w:p>
        </w:tc>
        <w:tc>
          <w:tcPr>
            <w:tcW w:type="dxa" w:w="696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“Most compliance errors aren't careless — they're invisible. A missing initial on page 14 looks exactly like a finished file. Smart Assist reads the file first: it clears what's genuinely ready and flags what isn't, before an auditor ever opens it. Auditors keep the judgment; the software does the hunting.”</w:t>
            </w:r>
          </w:p>
        </w:tc>
      </w:tr>
      <w:tr>
        <w:tc>
          <w:tcPr>
            <w:tcW w:type="dxa" w:w="24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Instagram (zero-CTA)</w:t>
            </w:r>
          </w:p>
        </w:tc>
        <w:tc>
          <w:tcPr>
            <w:tcW w:type="dxa" w:w="696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“POV: page 14 of 40. One missing initial. Found at 4:58pm on closing day. Tag the TC who caught it.” — no link; if a commenter asks, reply: “this is what we built Smart Assist for 🙂”</w:t>
            </w:r>
          </w:p>
        </w:tc>
      </w:tr>
      <w:tr>
        <w:tc>
          <w:tcPr>
            <w:tcW w:type="dxa" w:w="240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Tutorial (Support register)</w:t>
            </w:r>
          </w:p>
        </w:tc>
        <w:tc>
          <w:tcPr>
            <w:tcW w:type="dxa" w:w="6960"/>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“How to Review a File with Smart Assist” — then numbered steps in plain language. No cleverness; the title is the promise.</w:t>
            </w:r>
          </w:p>
        </w:tc>
      </w:tr>
    </w:tbl>
    <w:p>
      <w:pPr>
        <w:pStyle w:val="Heading1"/>
        <w:spacing w:after="160" w:before="320"/>
      </w:pPr>
      <w:r>
        <w:rPr>
          <w:rFonts w:ascii="Arial" w:cs="Arial" w:eastAsia="Arial" w:hAnsi="Arial"/>
          <w:b/>
          <w:bCs/>
          <w:color w:val="1F3864"/>
          <w:sz w:val="30"/>
          <w:szCs w:val="30"/>
        </w:rPr>
        <w:t xml:space="preserve">6. Pre-publish voice checklist</w:t>
      </w:r>
    </w:p>
    <w:p>
      <w:pPr>
        <w:pStyle w:val="ListParagraph"/>
        <w:numPr>
          <w:ilvl w:val="0"/>
          <w:numId w:val="3"/>
        </w:numPr>
        <w:spacing w:after="90" w:line="276"/>
      </w:pPr>
      <w:r>
        <w:rPr>
          <w:rFonts w:ascii="Arial" w:cs="Arial" w:eastAsia="Arial" w:hAnsi="Arial"/>
          <w:sz w:val="21"/>
          <w:szCs w:val="21"/>
        </w:rPr>
        <w:t xml:space="preserve">The outcome appears in the first sentence (or the stat IS the headline).</w:t>
      </w:r>
    </w:p>
    <w:p>
      <w:pPr>
        <w:pStyle w:val="ListParagraph"/>
        <w:numPr>
          <w:ilvl w:val="0"/>
          <w:numId w:val="3"/>
        </w:numPr>
        <w:spacing w:after="90" w:line="276"/>
      </w:pPr>
      <w:r>
        <w:rPr>
          <w:rFonts w:ascii="Arial" w:cs="Arial" w:eastAsia="Arial" w:hAnsi="Arial"/>
          <w:sz w:val="21"/>
          <w:szCs w:val="21"/>
        </w:rPr>
        <w:t xml:space="preserve">Every claim has a receipt — a number, a named customer, or a named feature.</w:t>
      </w:r>
    </w:p>
    <w:p>
      <w:pPr>
        <w:pStyle w:val="ListParagraph"/>
        <w:numPr>
          <w:ilvl w:val="0"/>
          <w:numId w:val="3"/>
        </w:numPr>
        <w:spacing w:after="90" w:line="276"/>
      </w:pPr>
      <w:r>
        <w:rPr>
          <w:rFonts w:ascii="Arial" w:cs="Arial" w:eastAsia="Arial" w:hAnsi="Arial"/>
          <w:sz w:val="21"/>
          <w:szCs w:val="21"/>
        </w:rPr>
        <w:t xml:space="preserve">Product names spelled exactly (DigiSign, SkyTC, Ayce, SkySight); first mention uses the full name.</w:t>
      </w:r>
    </w:p>
    <w:p>
      <w:pPr>
        <w:pStyle w:val="ListParagraph"/>
        <w:numPr>
          <w:ilvl w:val="0"/>
          <w:numId w:val="3"/>
        </w:numPr>
        <w:spacing w:after="90" w:line="276"/>
      </w:pPr>
      <w:r>
        <w:rPr>
          <w:rFonts w:ascii="Arial" w:cs="Arial" w:eastAsia="Arial" w:hAnsi="Arial"/>
          <w:sz w:val="21"/>
          <w:szCs w:val="21"/>
        </w:rPr>
        <w:t xml:space="preserve">Right register for the subject: wink for busywork, guardian for compliance — never swapped.</w:t>
      </w:r>
    </w:p>
    <w:p>
      <w:pPr>
        <w:pStyle w:val="ListParagraph"/>
        <w:numPr>
          <w:ilvl w:val="0"/>
          <w:numId w:val="3"/>
        </w:numPr>
        <w:spacing w:after="90" w:line="276"/>
      </w:pPr>
      <w:r>
        <w:rPr>
          <w:rFonts w:ascii="Arial" w:cs="Arial" w:eastAsia="Arial" w:hAnsi="Arial"/>
          <w:sz w:val="21"/>
          <w:szCs w:val="21"/>
        </w:rPr>
        <w:t xml:space="preserve">Written for the feed it lives on, not for a landing page; zero-CTA posts contain zero CTA.</w:t>
      </w:r>
    </w:p>
    <w:p>
      <w:pPr>
        <w:pStyle w:val="ListParagraph"/>
        <w:numPr>
          <w:ilvl w:val="0"/>
          <w:numId w:val="3"/>
        </w:numPr>
        <w:spacing w:after="90" w:line="276"/>
      </w:pPr>
      <w:r>
        <w:rPr>
          <w:rFonts w:ascii="Arial" w:cs="Arial" w:eastAsia="Arial" w:hAnsi="Arial"/>
          <w:sz w:val="21"/>
          <w:szCs w:val="21"/>
        </w:rPr>
        <w:t xml:space="preserve">Roles named (agents, TCs, brokers, auditors) — no “users.”</w:t>
      </w:r>
    </w:p>
    <w:p>
      <w:pPr>
        <w:pStyle w:val="ListParagraph"/>
        <w:numPr>
          <w:ilvl w:val="0"/>
          <w:numId w:val="3"/>
        </w:numPr>
        <w:spacing w:after="90" w:line="276"/>
      </w:pPr>
      <w:r>
        <w:rPr>
          <w:rFonts w:ascii="Arial" w:cs="Arial" w:eastAsia="Arial" w:hAnsi="Arial"/>
          <w:sz w:val="21"/>
          <w:szCs w:val="21"/>
        </w:rPr>
        <w:t xml:space="preserve">Current numbers only: 900K+ professionals, ~3M transactions/yr, $340/mo starting. Nothing from pre-2026 boilerplate.</w:t>
      </w:r>
    </w:p>
    <w:p>
      <w:pPr>
        <w:pStyle w:val="ListParagraph"/>
        <w:numPr>
          <w:ilvl w:val="0"/>
          <w:numId w:val="3"/>
        </w:numPr>
        <w:spacing w:after="90" w:line="276"/>
      </w:pPr>
      <w:r>
        <w:rPr>
          <w:rFonts w:ascii="Arial" w:cs="Arial" w:eastAsia="Arial" w:hAnsi="Arial"/>
          <w:sz w:val="21"/>
          <w:szCs w:val="21"/>
        </w:rPr>
        <w:t xml:space="preserve">Humor punches at paperwork, never at people — and never at compliance, security, or fair housing.</w:t>
      </w:r>
    </w:p>
    <w:p>
      <w:pPr>
        <w:pStyle w:val="ListParagraph"/>
        <w:numPr>
          <w:ilvl w:val="0"/>
          <w:numId w:val="3"/>
        </w:numPr>
        <w:spacing w:after="90" w:line="276"/>
      </w:pPr>
      <w:r>
        <w:rPr>
          <w:rFonts w:ascii="Arial" w:cs="Arial" w:eastAsia="Arial" w:hAnsi="Arial"/>
          <w:sz w:val="21"/>
          <w:szCs w:val="21"/>
        </w:rPr>
        <w:t xml:space="preserve">Caption matches the asset (names, video, links) — the audit's QA step.</w:t>
      </w:r>
    </w:p>
    <w:p>
      <w:pPr>
        <w:pStyle w:val="ListParagraph"/>
        <w:numPr>
          <w:ilvl w:val="0"/>
          <w:numId w:val="3"/>
        </w:numPr>
        <w:spacing w:after="90" w:line="276"/>
      </w:pPr>
      <w:r>
        <w:rPr>
          <w:rFonts w:ascii="Arial" w:cs="Arial" w:eastAsia="Arial" w:hAnsi="Arial"/>
          <w:sz w:val="21"/>
          <w:szCs w:val="21"/>
        </w:rPr>
        <w:t xml:space="preserve">Canadian content uses Canadian terms (cheques, provinces, postal codes).</w:t>
      </w:r>
    </w:p>
    <w:p>
      <w:pPr>
        <w:pBdr>
          <w:top w:val="single" w:color="CCCCCC" w:sz="6"/>
        </w:pBdr>
        <w:spacing w:after="0" w:before="300"/>
      </w:pPr>
    </w:p>
    <w:p>
      <w:pPr>
        <w:spacing w:after="140" w:line="276"/>
      </w:pPr>
      <w:r>
        <w:rPr>
          <w:rFonts w:ascii="Arial" w:cs="Arial" w:eastAsia="Arial" w:hAnsi="Arial"/>
          <w:color w:val="595959"/>
          <w:sz w:val="17"/>
          <w:szCs w:val="17"/>
        </w:rPr>
        <w:t xml:space="preserve">Sources: skyslope.com full-site crawl (276 pages/posts) and WordPress media library; @SkySlope, @SkySlopeSupport, and @SkySlopeTraining YouTube channels (255 videos); verbatim copy samples on file. Compiled August 10–11, 2026. Companion files: SkySlope-Image-Video-Inventory.xlsx, SkySlope-Product-Guide.docx.</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SkySlope Brand Voice &amp; Tone Guide · Click Shift ·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2026-08-11T14:02:36.094Z</dcterms:created>
  <dcterms:modified xsi:type="dcterms:W3CDTF">2026-08-11T14:02:36.105Z</dcterms:modified>
</cp:coreProperties>
</file>

<file path=docProps/custom.xml><?xml version="1.0" encoding="utf-8"?>
<Properties xmlns="http://schemas.openxmlformats.org/officeDocument/2006/custom-properties" xmlns:vt="http://schemas.openxmlformats.org/officeDocument/2006/docPropsVTypes"/>
</file>