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1B3A5C"/>
          <w:sz w:val="32"/>
          <w:szCs w:val="32"/>
        </w:rPr>
        <w:t xml:space="preserve">CONTINUATION-IN-PART (CIP)</w:t>
      </w:r>
    </w:p>
    <w:p>
      <w:pPr>
        <w:spacing w:after="12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1B3A5C"/>
          <w:sz w:val="28"/>
          <w:szCs w:val="28"/>
        </w:rPr>
        <w:t xml:space="preserve">SUPPLEMENTARY PATENT SPECIFICATION</w:t>
      </w:r>
    </w:p>
    <w:p>
      <w:pPr>
        <w:spacing w:after="300" w:before="0"/>
        <w:jc w:val="center"/>
      </w:pPr>
      <w:r>
        <w:rPr>
          <w:rFonts w:ascii="Calibri" w:cs="Calibri" w:eastAsia="Calibri" w:hAnsi="Calibri"/>
          <w:b/>
          <w:bCs/>
          <w:i/>
          <w:iCs/>
          <w:color w:val="1B3A5C"/>
          <w:sz w:val="26"/>
          <w:szCs w:val="26"/>
        </w:rPr>
        <w:t xml:space="preserve">Sixth Submission to CIPC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1B3A5C"/>
          <w:sz w:val="30"/>
          <w:szCs w:val="30"/>
        </w:rPr>
        <w:t xml:space="preserve">CuraLive Platform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1B3A5C"/>
          <w:sz w:val="22"/>
          <w:szCs w:val="22"/>
        </w:rPr>
        <w:t xml:space="preserve">Autonomous Cross-Platform Event Orchestration, Governance Gateway,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1B3A5C"/>
          <w:sz w:val="22"/>
          <w:szCs w:val="22"/>
        </w:rPr>
        <w:t xml:space="preserve">Polarity-to-Priority Triage, and Predictive Jitter-Buffer Synchronization</w:t>
      </w:r>
    </w:p>
    <w:p>
      <w:pPr>
        <w:spacing w:after="20" w:before="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666666"/>
          <w:sz w:val="19"/>
          <w:szCs w:val="19"/>
        </w:rPr>
        <w:t xml:space="preserve">(Extending Modules 1–31 and Claims 1–55 of the Parent Provisional,</w:t>
      </w:r>
    </w:p>
    <w:p>
      <w:pPr>
        <w:spacing w:after="400" w:before="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666666"/>
          <w:sz w:val="19"/>
          <w:szCs w:val="19"/>
        </w:rPr>
        <w:t xml:space="preserve">CIP Submission 2, CIP Submission 3, CIP Submission 4, and CIP Submission 5)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1B3A5C"/>
          <w:sz w:val="24"/>
          <w:szCs w:val="24"/>
        </w:rPr>
        <w:t xml:space="preserve">Applicant and Inventor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David Cameron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41 Rooigras Avenue, 73 Tiffani Gardens, Bassonia, 2090, Johannesburg, South Africa</w:t>
      </w:r>
    </w:p>
    <w:p>
      <w:pPr>
        <w:spacing w:after="30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+27 84 444 6001</w:t>
      </w:r>
    </w:p>
    <w:tbl>
      <w:tblPr>
        <w:tblW w:type="pct" w:w="7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pct" w:w="4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40"/>
              <w:jc w:val="righ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Prepared: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20 March 2026</w:t>
            </w:r>
          </w:p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40"/>
              <w:jc w:val="righ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Parent Application: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No. 1773575338868 (12 March 2026)</w:t>
            </w:r>
          </w:p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40"/>
              <w:jc w:val="righ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Filing Authority: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Companies and Intellectual Property Commission (CIPC)</w:t>
            </w:r>
          </w:p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40"/>
              <w:jc w:val="righ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Jurisdiction: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Republic of South Africa</w:t>
            </w:r>
          </w:p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40"/>
              <w:jc w:val="righ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Production URL: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https://curalive-platform.replit.app</w:t>
            </w:r>
          </w:p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40"/>
              <w:jc w:val="righ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GitHub: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github.com/davecameron187-sys/curalive-platform</w:t>
            </w:r>
          </w:p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40"/>
              <w:jc w:val="righ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Document Classification: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Confidential — Patent Filing Support Material</w:t>
            </w:r>
          </w:p>
        </w:tc>
      </w:tr>
    </w:tbl>
    <w:p>
      <w:pPr>
        <w:pageBreakBefore/>
      </w:pPr>
      <w:r>
        <w:br/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1B3A5C"/>
          <w:sz w:val="26"/>
          <w:szCs w:val="26"/>
        </w:rPr>
        <w:t xml:space="preserve">Table of Contents</w:t>
      </w:r>
    </w:p>
    <w:p>
      <w:pPr>
        <w:spacing w:after="8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1. Title of Invention</w:t>
      </w:r>
    </w:p>
    <w:p>
      <w:pPr>
        <w:spacing w:after="8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2. Abstract</w:t>
      </w:r>
    </w:p>
    <w:p>
      <w:pPr>
        <w:spacing w:after="8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3. Cross-Reference to Related Applications</w:t>
      </w:r>
    </w:p>
    <w:p>
      <w:pPr>
        <w:spacing w:after="8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4. Field of the Invention</w:t>
      </w:r>
    </w:p>
    <w:p>
      <w:pPr>
        <w:spacing w:after="8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5. Relationship to Parent and Prior CIP Specifications</w:t>
      </w:r>
    </w:p>
    <w:p>
      <w:pPr>
        <w:spacing w:after="8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6. Background of the Invention (Updated)</w:t>
      </w:r>
    </w:p>
    <w:p>
      <w:pPr>
        <w:spacing w:after="8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7. Summary of the Invention (Updated)</w:t>
      </w:r>
    </w:p>
    <w:p>
      <w:pPr>
        <w:spacing w:after="8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8. Complete Module Registry (Modules 1–31)</w:t>
      </w:r>
    </w:p>
    <w:p>
      <w:pPr>
        <w:spacing w:after="8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9. Detailed Technical Description — CIP Submission 6 Innovations</w:t>
      </w:r>
    </w:p>
    <w:p>
      <w:pPr>
        <w:spacing w:after="8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10. Embodiments</w:t>
      </w:r>
    </w:p>
    <w:p>
      <w:pPr>
        <w:spacing w:after="8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11. Industrial Applicability</w:t>
      </w:r>
    </w:p>
    <w:p>
      <w:pPr>
        <w:spacing w:after="8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12. Alternative Implementations</w:t>
      </w:r>
    </w:p>
    <w:p>
      <w:pPr>
        <w:spacing w:after="8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13. New Claims (CIP Submission 6) — Claims 56–66</w:t>
      </w:r>
    </w:p>
    <w:p>
      <w:pPr>
        <w:spacing w:after="8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14. Updated Drawings (FIG 31–33)</w:t>
      </w:r>
    </w:p>
    <w:p>
      <w:pPr>
        <w:spacing w:after="8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15. Incorporation by Reference</w:t>
      </w:r>
    </w:p>
    <w:p>
      <w:pPr>
        <w:spacing w:after="8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16. Declaration</w:t>
      </w:r>
    </w:p>
    <w:p>
      <w:pPr>
        <w:pageBreakBefore/>
      </w:pPr>
      <w:r>
        <w:br/>
      </w:r>
    </w:p>
    <w:p>
      <w:pPr>
        <w:spacing w:after="160" w:before="360"/>
      </w:pPr>
      <w:r>
        <w:rPr>
          <w:rFonts w:ascii="Calibri" w:cs="Calibri" w:eastAsia="Calibri" w:hAnsi="Calibri"/>
          <w:b/>
          <w:bCs/>
          <w:color w:val="1B3A5C"/>
          <w:sz w:val="26"/>
          <w:szCs w:val="26"/>
        </w:rPr>
        <w:t xml:space="preserve">1. Title of Invention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System and Method for Autonomous Intelligence Orchestration, Self-Healing Regulatory Compliance, Multi-Event Integrity Certification, Autonomous Agent Swarm Command, Real-Time Valuation Simulation, Self-Auditing Investor Engagement ROI, Autonomous IR Assistant Layer, Autonomous Live Q&amp;A Intelligence Engine, and Cross-Platform Event Orchestration with Governance Gateway, Polarity-to-Priority Triage, and Predictive Jitter-Buffer Synchronization for Investor Communication Events</w:t>
      </w:r>
    </w:p>
    <w:p>
      <w:pPr>
        <w:spacing w:after="160" w:before="360"/>
      </w:pPr>
      <w:r>
        <w:rPr>
          <w:rFonts w:ascii="Calibri" w:cs="Calibri" w:eastAsia="Calibri" w:hAnsi="Calibri"/>
          <w:b/>
          <w:bCs/>
          <w:color w:val="1B3A5C"/>
          <w:sz w:val="26"/>
          <w:szCs w:val="26"/>
        </w:rPr>
        <w:t xml:space="preserve">2. Abstract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This Continuation-in-Part (CIP) Submission 6 extends the parent provisional (12 March 2026) and prior CIP submissions with innovations in cross-platform event orchestration, autonomous governance gateways, sentiment-weighted triage logic, and network-latency compensation for silent monitoring agents.</w:t>
      </w:r>
    </w:p>
    <w:p>
      <w:pPr>
        <w:spacing w:after="60"/>
      </w:pP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The system introduces: (a) a Programmatic DTMF Handshake Protocol enabling autonomous silent bridge entry on any telephony platform; (b) a Cross-Platform Control Translation Layer that maps Q&amp;A attendee identifiers to native conferencing participant IDs for remote audio control via Microsoft Graph, Zoom REST, and Webex APIs; (c) a Metadata-Triggered State Authorization system where "Go Live" commands are only authorised when the participant's Q&amp;A submission achieves a minimum Triage Score and passes real-time multi-jurisdictional compliance screening; (d) an Autonomous Governance Gateway that subjects all AI-generated tools to synthetic stress testing and deterministic stability validation before production deployment; (e) a Polarity-to-Priority (P2P) Algorithm that calculates priority rank by cross-referencing sentiment polarity with disclosure urgency; and (f) a Predictive Jitter-Buffer Synchronization method that aligns real-time transcripts with high-latency telephony bridges by computing delta-time between audio signal arrival and transcript generation.</w:t>
      </w:r>
    </w:p>
    <w:p>
      <w:pPr>
        <w:spacing w:after="60"/>
      </w:pP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This submission adds 11 new claims (Claims 56–66), extending the patent to 66 total claims across 31 modules.</w:t>
      </w:r>
    </w:p>
    <w:p>
      <w:pPr>
        <w:spacing w:after="160" w:before="360"/>
      </w:pPr>
      <w:r>
        <w:rPr>
          <w:rFonts w:ascii="Calibri" w:cs="Calibri" w:eastAsia="Calibri" w:hAnsi="Calibri"/>
          <w:b/>
          <w:bCs/>
          <w:color w:val="1B3A5C"/>
          <w:sz w:val="26"/>
          <w:szCs w:val="26"/>
        </w:rPr>
        <w:t xml:space="preserve">3. Cross-Reference to Related Applications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Application ID</w:t>
            </w:r>
          </w:p>
        </w:tc>
        <w:tc>
          <w:tcPr>
            <w:tcW w:type="pct" w:w="16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Filing Date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pct" w:w="44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Scope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1773575338868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12 March 2026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Filed (Parent Provisional)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Modules 1–13, Claims 1–25, FIG 1–12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CIP Submission 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16 March 2026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Filed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Modules 19–27, Claims 26–33, FIG 13–20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CIP Submission 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18 March 2026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Filed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Module 28, Claims 34–43, FIG 21–27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CIP Submission 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19 March 2026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Filed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Module 30, Claims 44–45, FIG 28–30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CIP Submission 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20 March 2026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Filed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Module 31, Claims 46–55, FIG 28–30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This Filing (CIP 6)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20 March 2026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Pending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Claims 56–66, FIG 31–33</w:t>
            </w:r>
          </w:p>
        </w:tc>
      </w:tr>
    </w:tbl>
    <w:p>
      <w:pPr>
        <w:spacing w:after="160" w:before="360"/>
      </w:pPr>
      <w:r>
        <w:rPr>
          <w:rFonts w:ascii="Calibri" w:cs="Calibri" w:eastAsia="Calibri" w:hAnsi="Calibri"/>
          <w:b/>
          <w:bCs/>
          <w:color w:val="1B3A5C"/>
          <w:sz w:val="26"/>
          <w:szCs w:val="26"/>
        </w:rPr>
        <w:t xml:space="preserve">4. Field of the Invention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This invention relates to the field of automated regulatory compliance, generative artificial intelligence, and telecommunications. Specifically, it relates to an autonomous system for the real-time monitoring and active orchestration of communication bridges using programmatic telephony, self-correcting algorithmic logic, and cross-platform API synchronization.</w:t>
      </w:r>
    </w:p>
    <w:p>
      <w:pPr>
        <w:pageBreakBefore/>
      </w:pPr>
      <w:r>
        <w:br/>
      </w:r>
    </w:p>
    <w:p>
      <w:pPr>
        <w:spacing w:after="160" w:before="360"/>
      </w:pPr>
      <w:r>
        <w:rPr>
          <w:rFonts w:ascii="Calibri" w:cs="Calibri" w:eastAsia="Calibri" w:hAnsi="Calibri"/>
          <w:b/>
          <w:bCs/>
          <w:color w:val="1B3A5C"/>
          <w:sz w:val="26"/>
          <w:szCs w:val="26"/>
        </w:rPr>
        <w:t xml:space="preserve">5. Relationship to Parent and Prior CIP Specifications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This CIP Submission 6 builds upon and extends all prior filings:</w:t>
      </w:r>
    </w:p>
    <w:p>
      <w:pPr>
        <w:spacing w:after="60"/>
      </w:pPr>
    </w:p>
    <w:p>
      <w:pPr>
        <w:spacing w:after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Parent Provisional Specification </w:t>
      </w:r>
      <w:r>
        <w:rPr>
          <w:rFonts w:ascii="Calibri" w:cs="Calibri" w:eastAsia="Calibri" w:hAnsi="Calibri"/>
          <w:sz w:val="21"/>
          <w:szCs w:val="21"/>
        </w:rPr>
        <w:t xml:space="preserve">(Application ID 1773575338868, filed 12 March 2026):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Disclosed 13 subsystems (Modules 1–13) with 25 independent claims and 12 figures covering real-time event monitoring, AI communication analysis, cross-platform capture via silent agents, OCC operator integration, anonymised benchmarking, autonomous compliance intervention, self-improving models, predictive intelligence, communication indexes, autonomous event intervention, and autonomous self-evolving platform intelligence.</w:t>
      </w:r>
    </w:p>
    <w:p>
      <w:pPr>
        <w:spacing w:after="60"/>
      </w:pPr>
    </w:p>
    <w:p>
      <w:pPr>
        <w:spacing w:after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CIP Submission 2 </w:t>
      </w:r>
      <w:r>
        <w:rPr>
          <w:rFonts w:ascii="Calibri" w:cs="Calibri" w:eastAsia="Calibri" w:hAnsi="Calibri"/>
          <w:sz w:val="21"/>
          <w:szCs w:val="21"/>
        </w:rPr>
        <w:t xml:space="preserve">(filed 16 March 2026):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Extended the parent with 9 autonomous modules (Modules 19–27) adding 8 new independent claims (Claims 26–33) and 8 new figures (FIG 13–20).</w:t>
      </w:r>
    </w:p>
    <w:p>
      <w:pPr>
        <w:spacing w:after="60"/>
      </w:pPr>
    </w:p>
    <w:p>
      <w:pPr>
        <w:spacing w:after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CIP Submission 3 </w:t>
      </w:r>
      <w:r>
        <w:rPr>
          <w:rFonts w:ascii="Calibri" w:cs="Calibri" w:eastAsia="Calibri" w:hAnsi="Calibri"/>
          <w:sz w:val="21"/>
          <w:szCs w:val="21"/>
        </w:rPr>
        <w:t xml:space="preserve">(filed 18 March 2026):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Added Module 28 (Autonomous AI Self-Evolution Engine with Algorithmic Evidence Scoring), contributing 10 new claims (Claims 34–43) and 7 new figures (FIG 21–27).</w:t>
      </w:r>
    </w:p>
    <w:p>
      <w:pPr>
        <w:spacing w:after="60"/>
      </w:pPr>
    </w:p>
    <w:p>
      <w:pPr>
        <w:spacing w:after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CIP Submission 4 </w:t>
      </w:r>
      <w:r>
        <w:rPr>
          <w:rFonts w:ascii="Calibri" w:cs="Calibri" w:eastAsia="Calibri" w:hAnsi="Calibri"/>
          <w:sz w:val="21"/>
          <w:szCs w:val="21"/>
        </w:rPr>
        <w:t xml:space="preserve">(filed 19 March 2026):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Added Module 30 (Autonomous IR Assistant Layer), contributing 2 new claims (Claims 44–45).</w:t>
      </w:r>
    </w:p>
    <w:p>
      <w:pPr>
        <w:spacing w:after="60"/>
      </w:pPr>
    </w:p>
    <w:p>
      <w:pPr>
        <w:spacing w:after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CIP Submission 5 </w:t>
      </w:r>
      <w:r>
        <w:rPr>
          <w:rFonts w:ascii="Calibri" w:cs="Calibri" w:eastAsia="Calibri" w:hAnsi="Calibri"/>
          <w:sz w:val="21"/>
          <w:szCs w:val="21"/>
        </w:rPr>
        <w:t xml:space="preserve">(filed 20 March 2026):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Added Module 31 (Autonomous Live Q&amp;A Intelligence Engine with AGI Tool Generator, AGI Corporate Compliance Layer, and Platform Integration), contributing 10 new claims (Claims 46–55) and 3 new figures (FIG 28–30).</w:t>
      </w:r>
    </w:p>
    <w:p>
      <w:pPr>
        <w:spacing w:after="60"/>
      </w:pPr>
    </w:p>
    <w:p>
      <w:pPr>
        <w:spacing w:after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This CIP Submission 6 </w:t>
      </w:r>
      <w:r>
        <w:rPr>
          <w:rFonts w:ascii="Calibri" w:cs="Calibri" w:eastAsia="Calibri" w:hAnsi="Calibri"/>
          <w:sz w:val="21"/>
          <w:szCs w:val="21"/>
        </w:rPr>
        <w:t xml:space="preserve">(20 March 2026):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Extends the platform with 6 cross-cutting innovations spanning programmatic telephony, cross-platform orchestration, metadata-triggered authorization, governance gateways, sentiment-weighted triage, and network-latency compensation. These innovations apply across Modules 28, 31, and the platform's silent monitoring infrastructure. This submission adds 11 new claims (Claims 56–66), extending the patent to 66 total claims.</w:t>
      </w:r>
    </w:p>
    <w:p>
      <w:pPr>
        <w:pageBreakBefore/>
      </w:pPr>
      <w:r>
        <w:br/>
      </w:r>
    </w:p>
    <w:p>
      <w:pPr>
        <w:spacing w:after="160" w:before="360"/>
      </w:pPr>
      <w:r>
        <w:rPr>
          <w:rFonts w:ascii="Calibri" w:cs="Calibri" w:eastAsia="Calibri" w:hAnsi="Calibri"/>
          <w:b/>
          <w:bCs/>
          <w:color w:val="1B3A5C"/>
          <w:sz w:val="26"/>
          <w:szCs w:val="26"/>
        </w:rPr>
        <w:t xml:space="preserve">6. Background of the Invention (Updated)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1B3A5C"/>
          <w:sz w:val="23"/>
          <w:szCs w:val="23"/>
        </w:rPr>
        <w:t xml:space="preserve">6.1 Current State of the Art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Investor communication events increasingly require operators to manage live Q&amp;A across multiple conferencing platforms (Teams, Zoom, Webex) simultaneously. Existing solutions have the following limitations:</w:t>
      </w:r>
    </w:p>
    <w:p>
      <w:pPr>
        <w:spacing w:after="60"/>
      </w:pPr>
    </w:p>
    <w:p>
      <w:pPr>
        <w:spacing w:after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Operator-Managed Platforms (Chorus Call, Lumi): </w:t>
      </w:r>
      <w:r>
        <w:rPr>
          <w:rFonts w:ascii="Calibri" w:cs="Calibri" w:eastAsia="Calibri" w:hAnsi="Calibri"/>
          <w:sz w:val="21"/>
          <w:szCs w:val="21"/>
        </w:rPr>
        <w:t xml:space="preserve">Require dedicated conferencing infrastructure. Operators manage calls through proprietary switchboards that do not integrate with client platforms. No AI-powered question screening, no autonomous compliance monitoring, no cross-platform identity mapping.</w:t>
      </w:r>
    </w:p>
    <w:p>
      <w:pPr>
        <w:spacing w:after="60"/>
      </w:pPr>
    </w:p>
    <w:p>
      <w:pPr>
        <w:spacing w:after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Conference Platforms (Teams, Zoom, Webex): </w:t>
      </w:r>
      <w:r>
        <w:rPr>
          <w:rFonts w:ascii="Calibri" w:cs="Calibri" w:eastAsia="Calibri" w:hAnsi="Calibri"/>
          <w:sz w:val="21"/>
          <w:szCs w:val="21"/>
        </w:rPr>
        <w:t xml:space="preserve">Provide native Q&amp;A and raise-hand features. No AI triage, no compliance screening, no operator intelligence layer. Mute/unmute control is limited to platform-native interfaces with no programmatic access from external systems.</w:t>
      </w:r>
    </w:p>
    <w:p>
      <w:pPr>
        <w:spacing w:after="60"/>
      </w:pPr>
    </w:p>
    <w:p>
      <w:pPr>
        <w:spacing w:after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AI Transcription Services (Otter.ai, Rev, Descript): </w:t>
      </w:r>
      <w:r>
        <w:rPr>
          <w:rFonts w:ascii="Calibri" w:cs="Calibri" w:eastAsia="Calibri" w:hAnsi="Calibri"/>
          <w:sz w:val="21"/>
          <w:szCs w:val="21"/>
        </w:rPr>
        <w:t xml:space="preserve">Provide post-hoc transcription. No real-time alignment with live audio, no jitter compensation for telephony bridges, no temporal synchronization between audio signals and transcript generation.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1B3A5C"/>
          <w:sz w:val="23"/>
          <w:szCs w:val="23"/>
        </w:rPr>
        <w:t xml:space="preserve">6.2 Unsolved Problems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No known system combines all of the following capabilities: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Programmatic autonomous entry into third-party telephony bridges using DTMF handshake sequences for persistent silent monitoring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Cross-platform identity mapping between an external Q&amp;A database and native conferencing participant rosters (Teams, Zoom, Webex) for remote audio state control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Metadata-triggered authorization where AI triage scores and compliance clearance determine whether a participant may be unmuted on a live call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An autonomous governance gateway that prevents AI-generated tools from deploying until they pass deterministic stability and compliance boundary validation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A mathematical polarity-to-priority algorithm that cross-references sentiment polarity with disclosure urgency to rank live Q&amp;A inquiries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Predictive jitter-buffer synchronization that aligns real-time transcripts with high-latency telephony audio by computing and compensating for delta-time</w:t>
      </w:r>
    </w:p>
    <w:p>
      <w:pPr>
        <w:pageBreakBefore/>
      </w:pPr>
      <w:r>
        <w:br/>
      </w:r>
    </w:p>
    <w:p>
      <w:pPr>
        <w:spacing w:after="160" w:before="360"/>
      </w:pPr>
      <w:r>
        <w:rPr>
          <w:rFonts w:ascii="Calibri" w:cs="Calibri" w:eastAsia="Calibri" w:hAnsi="Calibri"/>
          <w:b/>
          <w:bCs/>
          <w:color w:val="1B3A5C"/>
          <w:sz w:val="26"/>
          <w:szCs w:val="26"/>
        </w:rPr>
        <w:t xml:space="preserve">7. Summary of the Invention (Updated)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With this CIP Submission 6, the platform now comprises 31 interconnected subsystems with 66 claims. This filing introduces 6 cross-cutting innovations that enhance the platform's autonomous monitoring, Q&amp;A orchestration, and AI governance capabilities:</w:t>
      </w:r>
    </w:p>
    <w:p>
      <w:pPr>
        <w:spacing w:after="60"/>
      </w:pPr>
    </w:p>
    <w:p>
      <w:pPr>
        <w:pStyle w:val="ListParagraph"/>
        <w:numPr>
          <w:ilvl w:val="0"/>
          <w:numId w:val="1"/>
        </w:numPr>
        <w:spacing w:after="80"/>
        <w:ind w:left="7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Programmatic Telephony and Silent Agent Protocol: </w:t>
      </w:r>
      <w:r>
        <w:rPr>
          <w:rFonts w:ascii="Calibri" w:cs="Calibri" w:eastAsia="Calibri" w:hAnsi="Calibri"/>
          <w:sz w:val="21"/>
          <w:szCs w:val="21"/>
        </w:rPr>
        <w:t xml:space="preserve">Autonomous bridge entry via DTMF handshake for persistent silent monitoring on any telephony platform</w:t>
      </w:r>
    </w:p>
    <w:p>
      <w:pPr>
        <w:pStyle w:val="ListParagraph"/>
        <w:numPr>
          <w:ilvl w:val="0"/>
          <w:numId w:val="1"/>
        </w:numPr>
        <w:spacing w:after="80"/>
        <w:ind w:left="7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Cross-Platform Control Orchestration: </w:t>
      </w:r>
      <w:r>
        <w:rPr>
          <w:rFonts w:ascii="Calibri" w:cs="Calibri" w:eastAsia="Calibri" w:hAnsi="Calibri"/>
          <w:sz w:val="21"/>
          <w:szCs w:val="21"/>
        </w:rPr>
        <w:t xml:space="preserve">Identity mapping and remote audio control across Teams, Zoom, and Webex via their respective APIs</w:t>
      </w:r>
    </w:p>
    <w:p>
      <w:pPr>
        <w:pStyle w:val="ListParagraph"/>
        <w:numPr>
          <w:ilvl w:val="0"/>
          <w:numId w:val="1"/>
        </w:numPr>
        <w:spacing w:after="80"/>
        <w:ind w:left="7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Metadata-Triggered State Authorization: </w:t>
      </w:r>
      <w:r>
        <w:rPr>
          <w:rFonts w:ascii="Calibri" w:cs="Calibri" w:eastAsia="Calibri" w:hAnsi="Calibri"/>
          <w:sz w:val="21"/>
          <w:szCs w:val="21"/>
        </w:rPr>
        <w:t xml:space="preserve">AI triage score threshold gate and compliance clearance before authorising participant unmute ("Go Live")</w:t>
      </w:r>
    </w:p>
    <w:p>
      <w:pPr>
        <w:pStyle w:val="ListParagraph"/>
        <w:numPr>
          <w:ilvl w:val="0"/>
          <w:numId w:val="1"/>
        </w:numPr>
        <w:spacing w:after="80"/>
        <w:ind w:left="7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Autonomous Governance Gateway: </w:t>
      </w:r>
      <w:r>
        <w:rPr>
          <w:rFonts w:ascii="Calibri" w:cs="Calibri" w:eastAsia="Calibri" w:hAnsi="Calibri"/>
          <w:sz w:val="21"/>
          <w:szCs w:val="21"/>
        </w:rPr>
        <w:t xml:space="preserve">Deterministic stability validation preventing untested AI tools from reaching production</w:t>
      </w:r>
    </w:p>
    <w:p>
      <w:pPr>
        <w:pStyle w:val="ListParagraph"/>
        <w:numPr>
          <w:ilvl w:val="0"/>
          <w:numId w:val="1"/>
        </w:numPr>
        <w:spacing w:after="80"/>
        <w:ind w:left="7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Polarity-to-Priority (P2P) Triage Algorithm: </w:t>
      </w:r>
      <w:r>
        <w:rPr>
          <w:rFonts w:ascii="Calibri" w:cs="Calibri" w:eastAsia="Calibri" w:hAnsi="Calibri"/>
          <w:sz w:val="21"/>
          <w:szCs w:val="21"/>
        </w:rPr>
        <w:t xml:space="preserve">Mathematical sentiment-urgency ratio for prioritising high-risk investor inquiries</w:t>
      </w:r>
    </w:p>
    <w:p>
      <w:pPr>
        <w:pStyle w:val="ListParagraph"/>
        <w:numPr>
          <w:ilvl w:val="0"/>
          <w:numId w:val="1"/>
        </w:numPr>
        <w:spacing w:after="80"/>
        <w:ind w:left="7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Predictive Jitter-Buffer Synchronization: </w:t>
      </w:r>
      <w:r>
        <w:rPr>
          <w:rFonts w:ascii="Calibri" w:cs="Calibri" w:eastAsia="Calibri" w:hAnsi="Calibri"/>
          <w:sz w:val="21"/>
          <w:szCs w:val="21"/>
        </w:rPr>
        <w:t xml:space="preserve">Delta-time computation and temporal alignment for silent monitoring agents on high-latency bridges</w:t>
      </w:r>
    </w:p>
    <w:p>
      <w:pPr>
        <w:spacing w:after="160" w:before="360"/>
      </w:pPr>
      <w:r>
        <w:rPr>
          <w:rFonts w:ascii="Calibri" w:cs="Calibri" w:eastAsia="Calibri" w:hAnsi="Calibri"/>
          <w:b/>
          <w:bCs/>
          <w:color w:val="1B3A5C"/>
          <w:sz w:val="26"/>
          <w:szCs w:val="26"/>
        </w:rPr>
        <w:t xml:space="preserve">8. Complete Module Registry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Module</w:t>
            </w:r>
          </w:p>
        </w:tc>
        <w:tc>
          <w:tcPr>
            <w:tcW w:type="pct" w:w="6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Subsystem Name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Source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1–13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Core Intelligence Platform (event monitoring, AI analysis, cross-platform capture, OCC, benchmarking, compliance, self-improving models, predictive intelligence, indexes, intervention, self-evolving platform)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Parent Provisional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14–18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Operational Expansion (Conference Dial-Out, Enhanced OCC, Partner Integrations, Intelligence Suite)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color="F2F2F2" w:val="solid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Built platform (not separately claimed)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Autonomous Event Campaign Orchestrator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CIP Submission 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Self-Healing Regulatory Oracle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CIP Submission 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Autonomous Investor Relationship Graph Weaver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CIP Submission 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Self-Certifying Multi-Event Integrity Chain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CIP Submission 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Autonomous AI Agent Swarm Commander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CIP Submission 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Autonomous Valuation Impact Oracle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CIP Submission 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Self-Auditing Investor Engagement ROI Engine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CIP Submission 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Autonomous Dual-Purpose Compliance &amp; Capital-Raising Advisor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CIP Submission 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Self-Optimising Global Event Intelligence Network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CIP Submission 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Autonomous AI Self-Evolution Engine with Algorithmic Evidence Scoring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CIP Submission 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Reserved for future disclosure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color="F2F2F2" w:val="solid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Autonomous IR Assistant Layer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CIP Submission 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Autonomous Live Q&amp;A Intelligence Engine with AGI Tool Generator, AGI Corporate Compliance Layer, and Platform Integration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CIP Submission 5</w:t>
            </w:r>
          </w:p>
        </w:tc>
      </w:tr>
    </w:tbl>
    <w:p>
      <w:pPr>
        <w:spacing w:after="60"/>
      </w:pP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666666"/>
          <w:sz w:val="21"/>
          <w:szCs w:val="21"/>
        </w:rPr>
        <w:t xml:space="preserve">Note: CIP Submission 6 introduces cross-cutting innovations (Claims 56–66) that enhance capabilities across Modules 28, 31, and the platform's silent monitoring infrastructure. No new module number is assigned as these innovations extend existing modules.</w:t>
      </w:r>
    </w:p>
    <w:p>
      <w:pPr>
        <w:pageBreakBefore/>
      </w:pPr>
      <w:r>
        <w:br/>
      </w:r>
    </w:p>
    <w:p>
      <w:pPr>
        <w:spacing w:after="160" w:before="360"/>
      </w:pPr>
      <w:r>
        <w:rPr>
          <w:rFonts w:ascii="Calibri" w:cs="Calibri" w:eastAsia="Calibri" w:hAnsi="Calibri"/>
          <w:b/>
          <w:bCs/>
          <w:color w:val="1B3A5C"/>
          <w:sz w:val="26"/>
          <w:szCs w:val="26"/>
        </w:rPr>
        <w:t xml:space="preserve">9. Detailed Technical Description — CIP Submission 6 Innovations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666666"/>
          <w:sz w:val="21"/>
          <w:szCs w:val="21"/>
        </w:rPr>
        <w:t xml:space="preserve">Refer: FIG 31, FIG 32, FIG 33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1B3A5C"/>
          <w:sz w:val="23"/>
          <w:szCs w:val="23"/>
        </w:rPr>
        <w:t xml:space="preserve">9.1 Programmatic Telephony and Silent Agent Protocol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666666"/>
          <w:sz w:val="20"/>
          <w:szCs w:val="20"/>
        </w:rPr>
        <w:t xml:space="preserve">Files: 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client/src/components/Webphone.tsx, server/_core/index.ts, server/directAccess.ts, server/services/ConferenceDialoutService.ts</w:t>
      </w:r>
    </w:p>
    <w:p>
      <w:pPr>
        <w:spacing w:after="60"/>
      </w:pP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The system establishes a persistent monitoring state via an outbound telephony interface. Unlike standard API-based integrations, this system utilizes a Programmatic DTMF Handshake Protocol. Upon dialing into a third-party bridge (PSTN, VoIP, or WebRTC), the system autonomously executes a pre-defined sequence of dual-tone multi-frequency (DTMF) signals to bypass participant prompts and enter a "Silent Listener" state.</w:t>
      </w:r>
    </w:p>
    <w:p>
      <w:pPr>
        <w:spacing w:after="60"/>
      </w:pP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Implementation details: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DTMF frequency generation via Web Audio API with standard dual-tone pairs (e.g., '1' = 697Hz + 1209Hz)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Programmatic digit sending via Twilio Voice SDK (sendDigits) during active calls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IVR auto-admit protocol: 5-digit PIN validation against attendee registrations, with automatic conference join in muted/silent state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Bulk automated dial-out service for bringing participants into conference bridges programmatically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Dual-carrier failover (Twilio → Telnyx) ensuring bridge connectivity is maintained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1B3A5C"/>
          <w:sz w:val="23"/>
          <w:szCs w:val="23"/>
        </w:rPr>
        <w:t xml:space="preserve">9.2 Deterministic Quality Scoring for Autonomous Evolution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666666"/>
          <w:sz w:val="20"/>
          <w:szCs w:val="20"/>
        </w:rPr>
        <w:t xml:space="preserve">File: 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server/services/AiEvolutionService.ts</w:t>
      </w:r>
    </w:p>
    <w:p>
      <w:pPr>
        <w:spacing w:after="60"/>
      </w:pP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The system applies a multi-dimensional scoring algorithm to every system-generated output. The quality score (Q) is calculated as a weighted sum of three deterministic dimensions:</w:t>
      </w:r>
    </w:p>
    <w:p>
      <w:pPr>
        <w:spacing w:after="60"/>
      </w:pPr>
    </w:p>
    <w:p>
      <w:pPr>
        <w:pStyle w:val="ListParagraph"/>
        <w:numPr>
          <w:ilvl w:val="0"/>
          <w:numId w:val="1"/>
        </w:numPr>
        <w:spacing w:after="80"/>
        <w:ind w:left="7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Depth (D) — Weight: 0.40: </w:t>
      </w:r>
      <w:r>
        <w:rPr>
          <w:rFonts w:ascii="Calibri" w:cs="Calibri" w:eastAsia="Calibri" w:hAnsi="Calibri"/>
          <w:sz w:val="21"/>
          <w:szCs w:val="21"/>
        </w:rPr>
        <w:t xml:space="preserve">A numerical measure of content detail. For string outputs: Math.min(1, length / 600). For arrays: Math.min(1, items / 5). For objects: presence of numeric values (0.4) + substantive strings (0.4) + populated field count (0.2)</w:t>
      </w:r>
    </w:p>
    <w:p>
      <w:pPr>
        <w:pStyle w:val="ListParagraph"/>
        <w:numPr>
          <w:ilvl w:val="0"/>
          <w:numId w:val="1"/>
        </w:numPr>
        <w:spacing w:after="80"/>
        <w:ind w:left="7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Breadth (B) — Weight: 0.30: </w:t>
      </w:r>
      <w:r>
        <w:rPr>
          <w:rFonts w:ascii="Calibri" w:cs="Calibri" w:eastAsia="Calibri" w:hAnsi="Calibri"/>
          <w:sz w:val="21"/>
          <w:szCs w:val="21"/>
        </w:rPr>
        <w:t xml:space="preserve">The ratio of populated sub-fields to total fields. Measures cross-referencing completeness across jurisdictional frameworks (JSE, SEC, FCA, EU MAR)</w:t>
      </w:r>
    </w:p>
    <w:p>
      <w:pPr>
        <w:pStyle w:val="ListParagraph"/>
        <w:numPr>
          <w:ilvl w:val="0"/>
          <w:numId w:val="1"/>
        </w:numPr>
        <w:spacing w:after="80"/>
        <w:ind w:left="7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Specificity (S) — Weight: 0.30: </w:t>
      </w:r>
      <w:r>
        <w:rPr>
          <w:rFonts w:ascii="Calibri" w:cs="Calibri" w:eastAsia="Calibri" w:hAnsi="Calibri"/>
          <w:sz w:val="21"/>
          <w:szCs w:val="21"/>
        </w:rPr>
        <w:t xml:space="preserve">The inverse ratio of generic boilerplate phrases to technical disclosures. Filtered against a proprietary Noise Library of 15 generic phrases (e.g., "the company", "going forward", "not applicable", "insufficient data")</w:t>
      </w:r>
    </w:p>
    <w:p>
      <w:pPr>
        <w:spacing w:after="60"/>
      </w:pPr>
    </w:p>
    <w:p>
      <w:pPr>
        <w:shd w:fill="F2F2F2" w:color="F2F2F2" w:val="solid"/>
        <w:spacing w:after="120" w:before="120"/>
        <w:jc w:val="center"/>
      </w:pPr>
      <w:r>
        <w:rPr>
          <w:rFonts w:ascii="Consolas" w:cs="Consolas" w:eastAsia="Consolas" w:hAnsi="Consolas"/>
          <w:b/>
          <w:bCs/>
          <w:color w:val="1B3A5C"/>
          <w:sz w:val="22"/>
          <w:szCs w:val="22"/>
        </w:rPr>
        <w:t xml:space="preserve">Q = (0.40 × D) + (0.30 × B) + (0.30 × S)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1B3A5C"/>
          <w:sz w:val="23"/>
          <w:szCs w:val="23"/>
        </w:rPr>
        <w:t xml:space="preserve">9.3 Temporal Evidence Decay Function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666666"/>
          <w:sz w:val="20"/>
          <w:szCs w:val="20"/>
        </w:rPr>
        <w:t xml:space="preserve">File: 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server/services/AiEvolutionService.ts</w:t>
      </w:r>
    </w:p>
    <w:p>
      <w:pPr>
        <w:spacing w:after="60"/>
      </w:pP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All observations in the self-evolution engine are subjected to a temporal decay. The weight (W) of any observation at time (t) is governed by an exponential decay formula:</w:t>
      </w:r>
    </w:p>
    <w:p>
      <w:pPr>
        <w:spacing w:after="60"/>
      </w:pPr>
    </w:p>
    <w:p>
      <w:pPr>
        <w:shd w:fill="F2F2F2" w:color="F2F2F2" w:val="solid"/>
        <w:spacing w:after="120" w:before="120"/>
        <w:jc w:val="center"/>
      </w:pPr>
      <w:r>
        <w:rPr>
          <w:rFonts w:ascii="Consolas" w:cs="Consolas" w:eastAsia="Consolas" w:hAnsi="Consolas"/>
          <w:b/>
          <w:bCs/>
          <w:color w:val="1B3A5C"/>
          <w:sz w:val="22"/>
          <w:szCs w:val="22"/>
        </w:rPr>
        <w:t xml:space="preserve">W(t) = 0.5 ^ (age_in_days / 14)</w:t>
      </w:r>
    </w:p>
    <w:p>
      <w:pPr>
        <w:spacing w:after="60"/>
      </w:pP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This 14-day half-life ensures the system prioritizes current market and regulatory conditions over stale historical data. Observations with decay weight below 0.25 are excluded from active evidence counts.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1B3A5C"/>
          <w:sz w:val="23"/>
          <w:szCs w:val="23"/>
        </w:rPr>
        <w:t xml:space="preserve">9.4 Cross-Platform Control Orchestration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666666"/>
          <w:sz w:val="20"/>
          <w:szCs w:val="20"/>
        </w:rPr>
        <w:t xml:space="preserve">Files: 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server/routers/liveQaRouter.ts, server/services/LiveQaTriageService.ts, server/webhooks/recall.ts</w:t>
      </w:r>
    </w:p>
    <w:p>
      <w:pPr>
        <w:spacing w:after="60"/>
      </w:pP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The system includes a Control Translation Layer that interfaces with third-party conferencing APIs (including but not limited to Microsoft Graph, Zoom REST, and Webex SDKs). This layer performs a real-time Identity Mapping between an external Q&amp;A database and the active participant roster of a third-party platform. This allows a non-native interface to execute state changes (Mute, Unmute, Spotlight) on the host platform.</w:t>
      </w:r>
    </w:p>
    <w:p>
      <w:pPr>
        <w:spacing w:after="60"/>
      </w:pP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The identity mapping chain operates as follows: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Attendee submits question via CuraLive Q&amp;A page — captures name, email, company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System matches attendee identity against the conferencing platform's participant roster via name/email correlation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Operator approves question via CuraLive dashboard — triggers identity-resolved state change on the target platform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Recall.ai webhook integration maps speaker_name and bot_id to internal conferenceId and participantId</w:t>
      </w:r>
    </w:p>
    <w:p>
      <w:pPr>
        <w:pageBreakBefore/>
      </w:pPr>
      <w:r>
        <w:br/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1B3A5C"/>
          <w:sz w:val="23"/>
          <w:szCs w:val="23"/>
        </w:rPr>
        <w:t xml:space="preserve">9.5 Metadata-Triggered State Authorization ("Go Live" Gate)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666666"/>
          <w:sz w:val="20"/>
          <w:szCs w:val="20"/>
        </w:rPr>
        <w:t xml:space="preserve">Files: 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server/services/LiveQaTriageService.ts (authoriseGoLive), server/routers/liveQaRouter.ts (goLive endpoint)</w:t>
      </w:r>
    </w:p>
    <w:p>
      <w:pPr>
        <w:spacing w:after="60"/>
      </w:pP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The system executes audio state changes on third-party platforms based on threshold-based triggers derived from AI metadata. A "Go Live" command for a participant is only authorized if their associated Q&amp;A submission passes two deterministic gates:</w:t>
      </w:r>
    </w:p>
    <w:p>
      <w:pPr>
        <w:spacing w:after="60"/>
      </w:pPr>
    </w:p>
    <w:p>
      <w:pPr>
        <w:pStyle w:val="ListParagraph"/>
        <w:numPr>
          <w:ilvl w:val="0"/>
          <w:numId w:val="1"/>
        </w:numPr>
        <w:spacing w:after="80"/>
        <w:ind w:left="7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Triage Score Threshold: </w:t>
      </w:r>
      <w:r>
        <w:rPr>
          <w:rFonts w:ascii="Calibri" w:cs="Calibri" w:eastAsia="Calibri" w:hAnsi="Calibri"/>
          <w:sz w:val="21"/>
          <w:szCs w:val="21"/>
        </w:rPr>
        <w:t xml:space="preserve">The question must achieve a minimum triage score (configurable, default: 40/100) as determined by the AI triage engine</w:t>
      </w:r>
    </w:p>
    <w:p>
      <w:pPr>
        <w:pStyle w:val="ListParagraph"/>
        <w:numPr>
          <w:ilvl w:val="0"/>
          <w:numId w:val="1"/>
        </w:numPr>
        <w:spacing w:after="80"/>
        <w:ind w:left="7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Compliance Clearance: </w:t>
      </w:r>
      <w:r>
        <w:rPr>
          <w:rFonts w:ascii="Calibri" w:cs="Calibri" w:eastAsia="Calibri" w:hAnsi="Calibri"/>
          <w:sz w:val="21"/>
          <w:szCs w:val="21"/>
        </w:rPr>
        <w:t xml:space="preserve">The question's compliance risk score must not exceed 70/100 — ensuring no question with active regulatory flags can be put live without manual review</w:t>
      </w:r>
    </w:p>
    <w:p>
      <w:pPr>
        <w:spacing w:after="60"/>
      </w:pP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The authorization function returns a structured result containing: authorised (boolean), triageScore, complianceCleared (boolean), minimumThreshold, and a natural language reason explaining the decision. If authorized, the system automatically increments session approval counters and emits both qa.statusChanged and qa.goLive events via Ably for real-time operator notification.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1B3A5C"/>
          <w:sz w:val="23"/>
          <w:szCs w:val="23"/>
        </w:rPr>
        <w:t xml:space="preserve">9.6 Autonomous Governance Gateway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666666"/>
          <w:sz w:val="20"/>
          <w:szCs w:val="20"/>
        </w:rPr>
        <w:t xml:space="preserve">File: 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server/services/AiEvolutionService.ts (evaluateGovernanceGateway)</w:t>
      </w:r>
    </w:p>
    <w:p>
      <w:pPr>
        <w:spacing w:after="60"/>
      </w:pP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The system includes a secondary validation layer known as the Governance Gateway. All tools generated by the Self-Evolution Engine are staged in a virtual "Shadow Environment" where they are subjected to a Synthetic Stress Test. A system-generated tool is only promoted to the production environment if it passes four deterministic gates:</w:t>
      </w:r>
    </w:p>
    <w:p>
      <w:pPr>
        <w:spacing w:after="60"/>
      </w:pPr>
    </w:p>
    <w:p>
      <w:pPr>
        <w:pStyle w:val="ListParagraph"/>
        <w:numPr>
          <w:ilvl w:val="0"/>
          <w:numId w:val="1"/>
        </w:numPr>
        <w:spacing w:after="80"/>
        <w:ind w:left="7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Stability Score ≥ 0.65: </w:t>
      </w:r>
      <w:r>
        <w:rPr>
          <w:rFonts w:ascii="Calibri" w:cs="Calibri" w:eastAsia="Calibri" w:hAnsi="Calibri"/>
          <w:sz w:val="21"/>
          <w:szCs w:val="21"/>
        </w:rPr>
        <w:t xml:space="preserve">Composite of decayed evidence score (50%), consistency rate (30%), and inverse failure rate (20%)</w:t>
      </w:r>
    </w:p>
    <w:p>
      <w:pPr>
        <w:pStyle w:val="ListParagraph"/>
        <w:numPr>
          <w:ilvl w:val="0"/>
          <w:numId w:val="1"/>
        </w:numPr>
        <w:spacing w:after="80"/>
        <w:ind w:left="7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Minimum Consistent Observations ≥ 3: </w:t>
      </w:r>
      <w:r>
        <w:rPr>
          <w:rFonts w:ascii="Calibri" w:cs="Calibri" w:eastAsia="Calibri" w:hAnsi="Calibri"/>
          <w:sz w:val="21"/>
          <w:szCs w:val="21"/>
        </w:rPr>
        <w:t xml:space="preserve">At least 3 recent observations with confidence ≥ 0.50, ensuring sufficient evidence base</w:t>
      </w:r>
    </w:p>
    <w:p>
      <w:pPr>
        <w:pStyle w:val="ListParagraph"/>
        <w:numPr>
          <w:ilvl w:val="0"/>
          <w:numId w:val="1"/>
        </w:numPr>
        <w:spacing w:after="80"/>
        <w:ind w:left="7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Failure Rate ≤ 30%: </w:t>
      </w:r>
      <w:r>
        <w:rPr>
          <w:rFonts w:ascii="Calibri" w:cs="Calibri" w:eastAsia="Calibri" w:hAnsi="Calibri"/>
          <w:sz w:val="21"/>
          <w:szCs w:val="21"/>
        </w:rPr>
        <w:t xml:space="preserve">No more than 30% of recent observations may have confidence below 0.30</w:t>
      </w:r>
    </w:p>
    <w:p>
      <w:pPr>
        <w:pStyle w:val="ListParagraph"/>
        <w:numPr>
          <w:ilvl w:val="0"/>
          <w:numId w:val="1"/>
        </w:numPr>
        <w:spacing w:after="80"/>
        <w:ind w:left="7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Compliance Boundary Check: </w:t>
      </w:r>
      <w:r>
        <w:rPr>
          <w:rFonts w:ascii="Calibri" w:cs="Calibri" w:eastAsia="Calibri" w:hAnsi="Calibri"/>
          <w:sz w:val="21"/>
          <w:szCs w:val="21"/>
        </w:rPr>
        <w:t xml:space="preserve">Tools that impact compliance-critical modules (complianceReview, toxicityScreen, riskFactors, boardReadySummary) face an elevated stability threshold of 0.75</w:t>
      </w:r>
    </w:p>
    <w:p>
      <w:pPr>
        <w:spacing w:after="60"/>
      </w:pP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The governance gateway returns a structured result containing: passed (boolean), stabilityScore, consistencyRate, complianceBoundaryCheck (boolean), and a natural language reason. Blocked tools are logged with detailed diagnostics and remain at their current promotion stage until they accumulate sufficient stable evidence.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1B3A5C"/>
          <w:sz w:val="23"/>
          <w:szCs w:val="23"/>
        </w:rPr>
        <w:t xml:space="preserve">9.7 Sentiment-Weighted Triage Logic (P2P Algorithm)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666666"/>
          <w:sz w:val="20"/>
          <w:szCs w:val="20"/>
        </w:rPr>
        <w:t xml:space="preserve">File: 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server/services/LiveQaTriageService.ts (computeP2P)</w:t>
      </w:r>
    </w:p>
    <w:p>
      <w:pPr>
        <w:spacing w:after="60"/>
      </w:pP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The Triage Engine utilizes a Polarity-to-Priority (P2P) Algorithm. This algorithm calculates a priority rank for live inquiries by cross-referencing the Sentiment Polarity of a submitted question with its Disclosure Urgency:</w:t>
      </w:r>
    </w:p>
    <w:p>
      <w:pPr>
        <w:spacing w:after="60"/>
      </w:pPr>
    </w:p>
    <w:p>
      <w:pPr>
        <w:shd w:fill="F2F2F2" w:color="F2F2F2" w:val="solid"/>
        <w:spacing w:after="120" w:before="120"/>
        <w:jc w:val="center"/>
      </w:pPr>
      <w:r>
        <w:rPr>
          <w:rFonts w:ascii="Consolas" w:cs="Consolas" w:eastAsia="Consolas" w:hAnsi="Consolas"/>
          <w:b/>
          <w:bCs/>
          <w:color w:val="1B3A5C"/>
          <w:sz w:val="22"/>
          <w:szCs w:val="22"/>
        </w:rPr>
        <w:t xml:space="preserve">P2P Rank = (Polarity Weight × 0.40) + (Normalized Polarity Score × 0.25) + (Normalized Disclosure Urgency × 0.35)</w:t>
      </w:r>
    </w:p>
    <w:p>
      <w:pPr>
        <w:spacing w:after="60"/>
      </w:pP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Polarity weights are assigned as follows: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Adversarial: 1.00 (highest priority — hostile or aggressive investor questions)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Negative: 0.75 (elevated priority — critical or concerned tone)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Neutral: 0.40 (standard priority)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Positive: 0.20 (lower priority — supportive or confirmatory questions)</w:t>
      </w:r>
    </w:p>
    <w:p>
      <w:pPr>
        <w:spacing w:after="60"/>
      </w:pP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The P2P rank is blended into the effective priority score:</w:t>
      </w:r>
    </w:p>
    <w:p>
      <w:pPr>
        <w:shd w:fill="F2F2F2" w:color="F2F2F2" w:val="solid"/>
        <w:spacing w:after="120" w:before="120"/>
        <w:jc w:val="center"/>
      </w:pPr>
      <w:r>
        <w:rPr>
          <w:rFonts w:ascii="Consolas" w:cs="Consolas" w:eastAsia="Consolas" w:hAnsi="Consolas"/>
          <w:b/>
          <w:bCs/>
          <w:color w:val="1B3A5C"/>
          <w:sz w:val="22"/>
          <w:szCs w:val="22"/>
        </w:rPr>
        <w:t xml:space="preserve">Effective Priority = (Base LLM Priority × 0.60) + (P2P Rank × 0.40)</w:t>
      </w:r>
    </w:p>
    <w:p>
      <w:pPr>
        <w:spacing w:after="60"/>
      </w:pP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This ensures that high-risk or adversarial inquiries are surfaced to the operator ahead of positive or neutral questions, with an automated response strategy suggestion.</w:t>
      </w:r>
    </w:p>
    <w:p>
      <w:pPr>
        <w:pageBreakBefore/>
      </w:pPr>
      <w:r>
        <w:br/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1B3A5C"/>
          <w:sz w:val="23"/>
          <w:szCs w:val="23"/>
        </w:rPr>
        <w:t xml:space="preserve">9.8 Network-Latency Compensation for Silent Agents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666666"/>
          <w:sz w:val="20"/>
          <w:szCs w:val="20"/>
        </w:rPr>
        <w:t xml:space="preserve">File: </w:t>
      </w:r>
      <w:r>
        <w:rPr>
          <w:rFonts w:ascii="Calibri" w:cs="Calibri" w:eastAsia="Calibri" w:hAnsi="Calibri"/>
          <w:i/>
          <w:iCs/>
          <w:color w:val="666666"/>
          <w:sz w:val="20"/>
          <w:szCs w:val="20"/>
        </w:rPr>
        <w:t xml:space="preserve">server/services/TranscriptSyncService.ts</w:t>
      </w:r>
    </w:p>
    <w:p>
      <w:pPr>
        <w:spacing w:after="60"/>
      </w:pP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The system utilizes a Predictive Jitter-Buffer Synchronization method to align real-time transcripts with high-latency telephony bridges. The service maintains per-session jitter state and computes:</w:t>
      </w:r>
    </w:p>
    <w:p>
      <w:pPr>
        <w:spacing w:after="60"/>
      </w:pPr>
    </w:p>
    <w:p>
      <w:pPr>
        <w:pStyle w:val="ListParagraph"/>
        <w:numPr>
          <w:ilvl w:val="0"/>
          <w:numId w:val="1"/>
        </w:numPr>
        <w:spacing w:after="80"/>
        <w:ind w:left="7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Delta-Time: </w:t>
      </w:r>
      <w:r>
        <w:rPr>
          <w:rFonts w:ascii="Calibri" w:cs="Calibri" w:eastAsia="Calibri" w:hAnsi="Calibri"/>
          <w:sz w:val="21"/>
          <w:szCs w:val="21"/>
        </w:rPr>
        <w:t xml:space="preserve">The difference between audio signal arrival timestamp and transcript generation timestamp, clamped to valid range [0, 30000ms]</w:t>
      </w:r>
    </w:p>
    <w:p>
      <w:pPr>
        <w:pStyle w:val="ListParagraph"/>
        <w:numPr>
          <w:ilvl w:val="0"/>
          <w:numId w:val="1"/>
        </w:numPr>
        <w:spacing w:after="80"/>
        <w:ind w:left="7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Average Latency: </w:t>
      </w:r>
      <w:r>
        <w:rPr>
          <w:rFonts w:ascii="Calibri" w:cs="Calibri" w:eastAsia="Calibri" w:hAnsi="Calibri"/>
          <w:sz w:val="21"/>
          <w:szCs w:val="21"/>
        </w:rPr>
        <w:t xml:space="preserve">Rolling average across the most recent 50 samples</w:t>
      </w:r>
    </w:p>
    <w:p>
      <w:pPr>
        <w:pStyle w:val="ListParagraph"/>
        <w:numPr>
          <w:ilvl w:val="0"/>
          <w:numId w:val="1"/>
        </w:numPr>
        <w:spacing w:after="80"/>
        <w:ind w:left="7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Predicted Jitter: </w:t>
      </w:r>
      <w:r>
        <w:rPr>
          <w:rFonts w:ascii="Calibri" w:cs="Calibri" w:eastAsia="Calibri" w:hAnsi="Calibri"/>
          <w:sz w:val="21"/>
          <w:szCs w:val="21"/>
        </w:rPr>
        <w:t xml:space="preserve">Standard deviation of recent deltas — quantifies timing variability</w:t>
      </w:r>
    </w:p>
    <w:p>
      <w:pPr>
        <w:pStyle w:val="ListParagraph"/>
        <w:numPr>
          <w:ilvl w:val="0"/>
          <w:numId w:val="1"/>
        </w:numPr>
        <w:spacing w:after="80"/>
        <w:ind w:left="7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Adjustment Factor: </w:t>
      </w:r>
      <w:r>
        <w:rPr>
          <w:rFonts w:ascii="Calibri" w:cs="Calibri" w:eastAsia="Calibri" w:hAnsi="Calibri"/>
          <w:sz w:val="21"/>
          <w:szCs w:val="21"/>
        </w:rPr>
        <w:t xml:space="preserve">Average latency + (predicted jitter × 0.5) — used to align transcript timestamps backward to match audio arrival time</w:t>
      </w:r>
    </w:p>
    <w:p>
      <w:pPr>
        <w:spacing w:after="60"/>
      </w:pP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The adjustment factor is applied:</w:t>
      </w:r>
    </w:p>
    <w:p>
      <w:pPr>
        <w:shd w:fill="F2F2F2" w:color="F2F2F2" w:val="solid"/>
        <w:spacing w:after="120" w:before="120"/>
        <w:jc w:val="center"/>
      </w:pPr>
      <w:r>
        <w:rPr>
          <w:rFonts w:ascii="Consolas" w:cs="Consolas" w:eastAsia="Consolas" w:hAnsi="Consolas"/>
          <w:b/>
          <w:bCs/>
          <w:color w:val="1B3A5C"/>
          <w:sz w:val="22"/>
          <w:szCs w:val="22"/>
        </w:rPr>
        <w:t xml:space="preserve">aligned_timestamp = generated_ms − adjustment_factor</w:t>
      </w:r>
    </w:p>
    <w:p>
      <w:pPr>
        <w:spacing w:after="60"/>
      </w:pP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Latency is categorized as: low (≤200ms), moderate (≤500ms), high (≤1500ms), or critical (&gt;1500ms).</w:t>
      </w:r>
    </w:p>
    <w:p>
      <w:pPr>
        <w:spacing w:after="60"/>
      </w:pP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Session state is managed with automatic TTL-based eviction (8-hour expiry, 10-minute eviction sweep) to prevent memory accumulation in long-running server processes.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1B3A5C"/>
          <w:sz w:val="23"/>
          <w:szCs w:val="23"/>
        </w:rPr>
        <w:t xml:space="preserve">9.9 File Inventory — CIP Submission 6 Innovations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File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Lines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server/services/LiveQaTriageService.ts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+65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P2P algorithm, Go Live authorisation gate, sentiment polarity extraction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server/routers/liveQaRouter.ts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+35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Go Live endpoint with triage threshold check and session counter update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server/services/AiEvolutionService.ts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+80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Governance Gateway — stability score, consistency, failure rate, compliance boundary validation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server/services/TranscriptSyncService.ts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145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Predictive jitter-buffer synchronization — delta-time, alignment, TTL eviction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client/src/components/Webphone.tsx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existing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DTMF generation and programmatic digit sending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server/_core/index.ts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existing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IVR auto-admit protocol with PIN validation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server/services/ConferenceDialoutService.ts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existing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Automated bulk dial-out for bridge entry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server/directAccess.ts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existing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Conference bridge lookup and auto-admit logic</w:t>
            </w:r>
          </w:p>
        </w:tc>
      </w:tr>
    </w:tbl>
    <w:p>
      <w:pPr>
        <w:spacing w:after="60"/>
      </w:pP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666666"/>
          <w:sz w:val="21"/>
          <w:szCs w:val="21"/>
        </w:rPr>
        <w:t xml:space="preserve">Total new code in this submission: ~325 lines across 4 modified/new files. Existing files listed for reference as prior art.</w:t>
      </w:r>
    </w:p>
    <w:p>
      <w:pPr>
        <w:pageBreakBefore/>
      </w:pPr>
      <w:r>
        <w:br/>
      </w:r>
    </w:p>
    <w:p>
      <w:pPr>
        <w:spacing w:after="160" w:before="360"/>
      </w:pPr>
      <w:r>
        <w:rPr>
          <w:rFonts w:ascii="Calibri" w:cs="Calibri" w:eastAsia="Calibri" w:hAnsi="Calibri"/>
          <w:b/>
          <w:bCs/>
          <w:color w:val="1B3A5C"/>
          <w:sz w:val="26"/>
          <w:szCs w:val="26"/>
        </w:rPr>
        <w:t xml:space="preserve">10. Embodiments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1B3A5C"/>
          <w:sz w:val="23"/>
          <w:szCs w:val="23"/>
        </w:rPr>
        <w:t xml:space="preserve">10.1 Operator-Managed Event Embodiment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For operator-managed investor events on client platforms (Teams, Zoom, Webex):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CuraLive operator joins the client's platform with co-host rights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Attendees submit questions via the CuraLive Q&amp;A link — AI triages and compliance-screens each question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P2P algorithm surfaces adversarial and high-urgency questions ahead of neutral/positive ones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Go Live gate ensures only compliance-cleared, sufficiently-scored questions are approved for live audio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Operator unmutes the approved attendee on the client's platform — manually or via API integration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Shadow Mode captures the full event with jitter-compensated transcript synchronization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1B3A5C"/>
          <w:sz w:val="23"/>
          <w:szCs w:val="23"/>
        </w:rPr>
        <w:t xml:space="preserve">10.2 Autonomous AI Governance Embodiment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For the self-evolution engine's autonomous tool generation: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AI Meta-Observer identifies capability gaps during live sessions and proposes new micro-tools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Tools accumulate evidence through cross-event correlation and decayed confidence scoring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Governance Gateway blocks promotion to production until stability score exceeds threshold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Compliance-critical tools face elevated threshold (0.75 vs 0.65) to prevent regulatory boundary violations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All governance decisions are logged in the evolution audit log with SHA-256 hash-chained integrity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1B3A5C"/>
          <w:sz w:val="23"/>
          <w:szCs w:val="23"/>
        </w:rPr>
        <w:t xml:space="preserve">10.3 High-Latency Telephony Embodiment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For silent monitoring of PSTN conference bridges with variable network latency: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Silent agent enters bridge via programmatic DTMF handshake — no manual intervention required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Predictive jitter-buffer compensates for network latency between audio arrival and transcript generation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Compliance flags and metadata maintain unified temporal state regardless of bridge latency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Latency health status (healthy/degraded/poor) is reported to the operator in real-time</w:t>
      </w:r>
    </w:p>
    <w:p>
      <w:pPr>
        <w:spacing w:after="160" w:before="360"/>
      </w:pPr>
      <w:r>
        <w:rPr>
          <w:rFonts w:ascii="Calibri" w:cs="Calibri" w:eastAsia="Calibri" w:hAnsi="Calibri"/>
          <w:b/>
          <w:bCs/>
          <w:color w:val="1B3A5C"/>
          <w:sz w:val="26"/>
          <w:szCs w:val="26"/>
        </w:rPr>
        <w:t xml:space="preserve">11. Industrial Applicability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The innovations in this CIP Submission 6 are applicable to: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Investor relations firms managing Q&amp;A across multiple conferencing platforms simultaneously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Listed companies requiring compliance-gated live Q&amp;A during earnings calls, investor days, and AGMs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Telecommunications operators requiring latency-compensated real-time transcription across PSTN bridges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AI governance frameworks requiring deterministic safety validation before autonomous tool deployment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Any organisation requiring cross-platform identity mapping for participant management across Teams, Zoom, and Webex</w:t>
      </w:r>
    </w:p>
    <w:p>
      <w:pPr>
        <w:spacing w:after="160" w:before="360"/>
      </w:pPr>
      <w:r>
        <w:rPr>
          <w:rFonts w:ascii="Calibri" w:cs="Calibri" w:eastAsia="Calibri" w:hAnsi="Calibri"/>
          <w:b/>
          <w:bCs/>
          <w:color w:val="1B3A5C"/>
          <w:sz w:val="26"/>
          <w:szCs w:val="26"/>
        </w:rPr>
        <w:t xml:space="preserve">12. Alternative Implementations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The DTMF handshake protocol may use any telephony carrier (Twilio, Telnyx, Vonage, or equivalent). The protocol is carrier-agnostic.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Cross-platform identity mapping may use any conferencing API (Microsoft Graph, Zoom REST, Webex SDK, Google Meet API, or equivalent). The mapping logic is platform-agnostic.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The P2P algorithm may use any sentiment analysis model. The mathematical ratio is model-independent.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The governance gateway may use any stability scoring methodology. The threshold-based gate is algorithm-independent.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Jitter-buffer synchronization may use any statistical method for jitter estimation. The delta-time approach is implementation-independent.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The Go Live threshold may be configured per-session, per-client, or globally. The authorization gate is threshold-independent.</w:t>
      </w:r>
    </w:p>
    <w:p>
      <w:pPr>
        <w:pageBreakBefore/>
      </w:pPr>
      <w:r>
        <w:br/>
      </w:r>
    </w:p>
    <w:p>
      <w:pPr>
        <w:spacing w:after="160" w:before="360"/>
      </w:pPr>
      <w:r>
        <w:rPr>
          <w:rFonts w:ascii="Calibri" w:cs="Calibri" w:eastAsia="Calibri" w:hAnsi="Calibri"/>
          <w:b/>
          <w:bCs/>
          <w:color w:val="1B3A5C"/>
          <w:sz w:val="26"/>
          <w:szCs w:val="26"/>
        </w:rPr>
        <w:t xml:space="preserve">13. New Claims (CIP Submission 6) — Claims 56–66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B3A5C"/>
          <w:sz w:val="22"/>
          <w:szCs w:val="22"/>
        </w:rPr>
        <w:t xml:space="preserve">Claim 56 (Independent)</w:t>
      </w:r>
    </w:p>
    <w:p>
      <w:pPr>
        <w:spacing w:after="140"/>
      </w:pPr>
      <w:r>
        <w:rPr>
          <w:rFonts w:ascii="Calibri" w:cs="Calibri" w:eastAsia="Calibri" w:hAnsi="Calibri"/>
          <w:sz w:val="21"/>
          <w:szCs w:val="21"/>
        </w:rPr>
        <w:t xml:space="preserve">A method for autonomous bridge entry comprising the programmatic execution of dual-tone multi-frequency (DTMF) sequences to achieve a persistent audio capture state on a remote telephony bridge without manual user intervention, wherein the system autonomously dials into a third-party conference bridge (PSTN, VoIP, or WebRTC), executes a pre-defined sequence of DTMF signals to bypass participant prompts, validates entry credentials against stored attendee registrations, and enters a silent listener state with the participant muted and startConferenceOnEnter disabled.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B3A5C"/>
          <w:sz w:val="22"/>
          <w:szCs w:val="22"/>
        </w:rPr>
        <w:t xml:space="preserve">Claim 57 (Independent)</w:t>
      </w:r>
    </w:p>
    <w:p>
      <w:pPr>
        <w:spacing w:after="140"/>
      </w:pPr>
      <w:r>
        <w:rPr>
          <w:rFonts w:ascii="Calibri" w:cs="Calibri" w:eastAsia="Calibri" w:hAnsi="Calibri"/>
          <w:sz w:val="21"/>
          <w:szCs w:val="21"/>
        </w:rPr>
        <w:t xml:space="preserve">A deterministic scoring system for AI-generated tools that evaluates every system-generated output using a weighted sum of three mathematical dimensions: Depth (weight 0.40, measuring content detail), Breadth (weight 0.30, measuring cross-referencing completeness), and Specificity (weight 0.30, measuring the inverse ratio of generic boilerplate phrases filtered against a pre-defined Noise Library to technical disclosures), expressed as Q = (0.40 × D) + (0.30 × B) + (0.30 × S).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B3A5C"/>
          <w:sz w:val="22"/>
          <w:szCs w:val="22"/>
        </w:rPr>
        <w:t xml:space="preserve">Claim 58 (Independent)</w:t>
      </w:r>
    </w:p>
    <w:p>
      <w:pPr>
        <w:spacing w:after="140"/>
      </w:pPr>
      <w:r>
        <w:rPr>
          <w:rFonts w:ascii="Calibri" w:cs="Calibri" w:eastAsia="Calibri" w:hAnsi="Calibri"/>
          <w:sz w:val="21"/>
          <w:szCs w:val="21"/>
        </w:rPr>
        <w:t xml:space="preserve">A temporal decay mechanism for autonomous machine learning that applies an exponential half-life function W(t) = 0.5 ^ (age_in_days / 14) to historical observation weights, ensuring the system prioritizes current market and regulatory conditions over stale data, with observations decayed below 0.25 excluded from active evidence counts.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B3A5C"/>
          <w:sz w:val="22"/>
          <w:szCs w:val="22"/>
        </w:rPr>
        <w:t xml:space="preserve">Claim 59 (Independent)</w:t>
      </w:r>
    </w:p>
    <w:p>
      <w:pPr>
        <w:spacing w:after="140"/>
      </w:pPr>
      <w:r>
        <w:rPr>
          <w:rFonts w:ascii="Calibri" w:cs="Calibri" w:eastAsia="Calibri" w:hAnsi="Calibri"/>
          <w:sz w:val="21"/>
          <w:szCs w:val="21"/>
        </w:rPr>
        <w:t xml:space="preserve">An AGI-based compliance co-pilot that executes real-time auto-remediation of live speech signals against a consolidated database of multi-jurisdictional regulatory frameworks including ZA_JSE, US_SEC, UK_FCA, and EU_ESMA, performing predictive risk analysis, forward-looking statement detection, selective disclosure violation checks, disclaimer adequacy assessment, and automated policy generation.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B3A5C"/>
          <w:sz w:val="22"/>
          <w:szCs w:val="22"/>
        </w:rPr>
        <w:t xml:space="preserve">Claim 60 (Independent)</w:t>
      </w:r>
    </w:p>
    <w:p>
      <w:pPr>
        <w:spacing w:after="140"/>
      </w:pPr>
      <w:r>
        <w:rPr>
          <w:rFonts w:ascii="Calibri" w:cs="Calibri" w:eastAsia="Calibri" w:hAnsi="Calibri"/>
          <w:sz w:val="21"/>
          <w:szCs w:val="21"/>
        </w:rPr>
        <w:t xml:space="preserve">The use of SHA-256 hash-chained blockchain certificates to verify the integrity, timing, and content of compliance remediations performed during a live event, wherein each Q&amp;A session generates a genesis block followed by sequential question blocks with previousHash linking, and a final certificate hash computed over the complete chain for tamper-evident audit trail verification.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B3A5C"/>
          <w:sz w:val="22"/>
          <w:szCs w:val="22"/>
        </w:rPr>
        <w:t xml:space="preserve">Claim 61 (Independent)</w:t>
      </w:r>
    </w:p>
    <w:p>
      <w:pPr>
        <w:spacing w:after="140"/>
      </w:pPr>
      <w:r>
        <w:rPr>
          <w:rFonts w:ascii="Calibri" w:cs="Calibri" w:eastAsia="Calibri" w:hAnsi="Calibri"/>
          <w:sz w:val="21"/>
          <w:szCs w:val="21"/>
        </w:rPr>
        <w:t xml:space="preserve">A system for cross-platform event orchestration comprising a synchronization engine that maps external attendee identifiers (name, email, company) from a Q&amp;A submission database to native conferencing participant IDs on third-party platforms (Microsoft Teams, Zoom, Webex) via their respective APIs, enabling remote audio state control (mute, unmute, spotlight) from a non-native operator interface.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B3A5C"/>
          <w:sz w:val="22"/>
          <w:szCs w:val="22"/>
        </w:rPr>
        <w:t xml:space="preserve">Claim 62 (Independent)</w:t>
      </w:r>
    </w:p>
    <w:p>
      <w:pPr>
        <w:spacing w:after="140"/>
      </w:pPr>
      <w:r>
        <w:rPr>
          <w:rFonts w:ascii="Calibri" w:cs="Calibri" w:eastAsia="Calibri" w:hAnsi="Calibri"/>
          <w:sz w:val="21"/>
          <w:szCs w:val="21"/>
        </w:rPr>
        <w:t xml:space="preserve">A method for unmuting participants in a live session where the trigger for the "Go Live" command is a numerical Triage Score generated by an AI model analysing the participant's text submission, wherein the command is only authorized if the triage score meets a configurable minimum threshold (default: 40/100) AND the compliance risk score does not exceed 70/100, with the authorization result including a structured reason, automatic session counter updates, and real-time event emission.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B3A5C"/>
          <w:sz w:val="22"/>
          <w:szCs w:val="22"/>
        </w:rPr>
        <w:t xml:space="preserve">Claim 63 (Dependent on Claim 61)</w:t>
      </w:r>
    </w:p>
    <w:p>
      <w:pPr>
        <w:spacing w:after="140"/>
      </w:pPr>
      <w:r>
        <w:rPr>
          <w:rFonts w:ascii="Calibri" w:cs="Calibri" w:eastAsia="Calibri" w:hAnsi="Calibri"/>
          <w:sz w:val="21"/>
          <w:szCs w:val="21"/>
        </w:rPr>
        <w:t xml:space="preserve">The system of Claim 61, further comprising a platform-agnostic Wrapper Architecture that embeds third-party communication SDKs (Microsoft Teams SDK, Zoom Video SDK, Webex SDK) within a proprietary compliance dashboard to enable centralized event management, providing the operator with native platform controls alongside AI triage, compliance screening, and blockchain certification in a single interface.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B3A5C"/>
          <w:sz w:val="22"/>
          <w:szCs w:val="22"/>
        </w:rPr>
        <w:t xml:space="preserve">Claim 64 (Independent)</w:t>
      </w:r>
    </w:p>
    <w:p>
      <w:pPr>
        <w:spacing w:after="140"/>
      </w:pPr>
      <w:r>
        <w:rPr>
          <w:rFonts w:ascii="Calibri" w:cs="Calibri" w:eastAsia="Calibri" w:hAnsi="Calibri"/>
          <w:sz w:val="21"/>
          <w:szCs w:val="21"/>
        </w:rPr>
        <w:t xml:space="preserve">A governance gateway for autonomous AI that prevents the deployment of system-generated tools until they pass a deterministic safety validation comprising: (a) a Stability Score exceeding a threshold (default: 0.65), computed as the weighted sum of decayed evidence score (50%), consistency rate (30%), and inverse failure rate (20%); (b) a minimum number of consistent observations (default: 3) with confidence ≥ 0.50; (c) a failure rate not exceeding 30%; and (d) for tools impacting compliance-critical modules, an elevated stability threshold of 0.75.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B3A5C"/>
          <w:sz w:val="22"/>
          <w:szCs w:val="22"/>
        </w:rPr>
        <w:t xml:space="preserve">Claim 65 (Independent)</w:t>
      </w:r>
    </w:p>
    <w:p>
      <w:pPr>
        <w:spacing w:after="140"/>
      </w:pPr>
      <w:r>
        <w:rPr>
          <w:rFonts w:ascii="Calibri" w:cs="Calibri" w:eastAsia="Calibri" w:hAnsi="Calibri"/>
          <w:sz w:val="21"/>
          <w:szCs w:val="21"/>
        </w:rPr>
        <w:t xml:space="preserve">A method for prioritizing live Q&amp;A inquiries using a Polarity-to-Priority (P2P) Algorithm that calculates a mathematical ratio of sentiment polarity to disclosure urgency, expressed as P2P Rank = (Polarity Weight × 0.40) + (Normalized Polarity Score × 0.25) + (Normalized Disclosure Urgency × 0.35), where polarity weights are: adversarial (1.00), negative (0.75), neutral (0.40), positive (0.20), and the P2P rank is blended into the effective priority score as Effective Priority = (Base Priority × 0.60) + (P2P Rank × 0.40).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B3A5C"/>
          <w:sz w:val="22"/>
          <w:szCs w:val="22"/>
        </w:rPr>
        <w:t xml:space="preserve">Claim 66 (Independent)</w:t>
      </w:r>
    </w:p>
    <w:p>
      <w:pPr>
        <w:spacing w:after="140"/>
      </w:pPr>
      <w:r>
        <w:rPr>
          <w:rFonts w:ascii="Calibri" w:cs="Calibri" w:eastAsia="Calibri" w:hAnsi="Calibri"/>
          <w:sz w:val="21"/>
          <w:szCs w:val="21"/>
        </w:rPr>
        <w:t xml:space="preserve">A synchronization method for silent monitoring agents that utilizes predictive jitter-buffer synchronization to align real-time transcripts with high-latency telephony bridges, comprising: (a) computing the delta-time between audio signal arrival and transcript generation timestamps; (b) maintaining a rolling average and standard deviation across the most recent 50 samples per session; (c) calculating an adjustment factor as average latency plus half the predicted jitter; (d) applying the adjustment by subtracting it from the transcript timestamp to produce an aligned timestamp; and (e) automatic session state eviction after 8 hours of inactivity.</w:t>
      </w:r>
    </w:p>
    <w:p>
      <w:pPr>
        <w:pageBreakBefore/>
      </w:pPr>
      <w:r>
        <w:br/>
      </w:r>
    </w:p>
    <w:p>
      <w:pPr>
        <w:spacing w:after="160" w:before="360"/>
      </w:pPr>
      <w:r>
        <w:rPr>
          <w:rFonts w:ascii="Calibri" w:cs="Calibri" w:eastAsia="Calibri" w:hAnsi="Calibri"/>
          <w:b/>
          <w:bCs/>
          <w:color w:val="1B3A5C"/>
          <w:sz w:val="26"/>
          <w:szCs w:val="26"/>
        </w:rPr>
        <w:t xml:space="preserve">14. Updated Drawings (FIG 31–33)</w:t>
      </w:r>
    </w:p>
    <w:p>
      <w:pPr>
        <w:spacing w:after="80" w:before="200"/>
        <w:jc w:val="center"/>
      </w:pPr>
      <w:r>
        <w:rPr>
          <w:rFonts w:ascii="Calibri" w:cs="Calibri" w:eastAsia="Calibri" w:hAnsi="Calibri"/>
          <w:b/>
          <w:bCs/>
          <w:color w:val="1B3A5C"/>
          <w:sz w:val="22"/>
          <w:szCs w:val="22"/>
        </w:rPr>
        <w:t xml:space="preserve">FIG 31 — Cross-Platform Event Orchestration Architecture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╔══════════════════════════════════════════════════════════════════════════╗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  CROSS-PLATFORM EVENT ORCHESTRATION ARCHITECTURE                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                        (CIP Submission 6)                       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╠══════════════════════════════════════════════════════════════════════════╣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                                                                 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ATTENDEE LAYER                  CURALIVE INTELLIGENCE            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┌─────────────────┐             ┌──────────────────────────────────┐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│ /qa/:accessCode  │             │ AI Triage Engine (GPT-4o-mini)   │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│ • Mobile-first   │ ──submit──▶ │ • Category classification        │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│ • Voice-to-Text  │             │ • P2P Priority Rank (Claim 65)   │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│ • Anonymous opt  │             │ • Compliance risk score (0–100)  │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│ • No login req   │             │ • Triage score (0–100)           │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└─────────────────┘             └───────────────┬────────────────┘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                                                 │               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                         ┌──────────────────────┼────────────────┐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                         │                       │                │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                         ▼                       ▼                ▼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┌──────────────────┐  ┌──────────────────┐  ┌────────────────┐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│ GO LIVE GATE      │  │ Identity Mapping  │  │ MySQL Database │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│ (Claim 62)        │  │ (Claim 61)        │  │ (5 tables)     │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│                   │  │                   │  │                │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│ • Triage ≥ 40     │  │ • Name/email      │  │ • sessions     │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│ • Compliance ≤ 70 │  │   correlation     │  │ • questions    │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│ • authorised: T/F │  │ • Participant ID  │  │ • answers      │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│                   │  │   resolution      │  │ • compliance   │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└────────┬─────────┘  └────────┬─────────┘  │   flags        │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          │                     │             │ • platform     │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          │                     │             │   shares       │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          │                     │             └────────────────┘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          │                     │                               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          ▼                     ▼                               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CLIENT PLATFORM LAYER                                           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┌───────────────────────────────────────────────────────────────┐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│  Microsoft Teams  │  Zoom REST API  │  Webex SDK  │  Others   │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│  (Graph API)      │                  │             │           │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│                                                               │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│  ◄──── Mute / Unmute / Spotlight (remote state control) ────► │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└───────────────────────────────────────────────────────────────┘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                                                                 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╚══════════════════════════════════════════════════════════════════════════╝</w:t>
      </w:r>
    </w:p>
    <w:p>
      <w:pPr>
        <w:spacing w:after="120"/>
      </w:pPr>
    </w:p>
    <w:p>
      <w:pPr>
        <w:spacing w:after="80" w:before="200"/>
        <w:jc w:val="center"/>
      </w:pPr>
      <w:r>
        <w:rPr>
          <w:rFonts w:ascii="Calibri" w:cs="Calibri" w:eastAsia="Calibri" w:hAnsi="Calibri"/>
          <w:b/>
          <w:bCs/>
          <w:color w:val="1B3A5C"/>
          <w:sz w:val="22"/>
          <w:szCs w:val="22"/>
        </w:rPr>
        <w:t xml:space="preserve">FIG 32 — Governance Gateway Decision Flow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╔══════════════════════════════════════════════════════════════════════════╗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  GOVERNANCE GATEWAY DECISION FLOW (Claim 64)                    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╠══════════════════════════════════════════════════════════════════════════╣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                                                                 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AI Meta-Observer (Module 28)                                      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    │                                                            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    │ identifies capability gap → proposes tool                   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    ▼                                                            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┌───────────────────────────────────────┐                       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│ ACCUMULATION ENGINE                    │                       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│ • Cluster related observations         │                       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│ • Apply temporal decay W(t)=0.5^(d/14) │                       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│ • Calculate quality score Q             │                       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└────────────────┬──────────────────────┘                       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                 │ status: emerging → proposed                    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                 ▼                                               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┌═══════════════════════════════════════════════════════════════┐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║ GOVERNANCE GATEWAY (Synthetic Stress Test)                    ║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║                                                               ║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║  ① Stability Score ≥ 0.65                                    ║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║     = (decayed_evidence × 0.50)                               ║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║     + (consistency_rate  × 0.30)                              ║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║     + (1 − failure_rate  × 0.20)                              ║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║                                                               ║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║  ② Consistent Observations ≥ 3 (confidence ≥ 0.50)          ║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║                                                               ║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║  ③ Failure Rate ≤ 30% (confidence &lt; 0.30)                   ║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║                                                               ║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║  ④ Compliance Boundary: 0.75 if compliance-critical module  ║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║     (complianceReview, toxicityScreen, riskFactors,           ║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║      boardReadySummary)                                       ║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╚═══════════════╦════════════════╦══════════════════════════════╝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                ║                ║                               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           PASSED ║           BLOCKED ║                          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                ▼                ▼                               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┌──────────────────┐   ┌──────────────────────────┐             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│ Status: APPROVED  │   │ Status: remains PROPOSED │             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│ → Deploy to prod  │   │ → Log diagnostics        │             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│ → Audit log entry │   │ → Accumulate more data   │             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└──────────────────┘   └──────────────────────────┘             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                                                                 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╚══════════════════════════════════════════════════════════════════════════╝</w:t>
      </w:r>
    </w:p>
    <w:p>
      <w:pPr>
        <w:spacing w:after="120"/>
      </w:pPr>
    </w:p>
    <w:p>
      <w:pPr>
        <w:spacing w:after="80" w:before="200"/>
        <w:jc w:val="center"/>
      </w:pPr>
      <w:r>
        <w:rPr>
          <w:rFonts w:ascii="Calibri" w:cs="Calibri" w:eastAsia="Calibri" w:hAnsi="Calibri"/>
          <w:b/>
          <w:bCs/>
          <w:color w:val="1B3A5C"/>
          <w:sz w:val="22"/>
          <w:szCs w:val="22"/>
        </w:rPr>
        <w:t xml:space="preserve">FIG 33 — Predictive Jitter-Buffer Synchronization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╔══════════════════════════════════════════════════════════════════════════╗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  PREDICTIVE JITTER-BUFFER SYNCHRONIZATION (Claim 66)            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╠══════════════════════════════════════════════════════════════════════════╣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                                                                 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TELEPHONY BRIDGE                    TRANSCRIPT ENGINE            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┌───────────────┐                   ┌───────────────┐           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│ Audio Signal   │                   │ Transcript Gen │           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│ arrival_ms     │                   │ generated_ms   │           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└───────┬───────┘                   └───────┬───────┘           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         │                                    │                   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         └──────────────┬─────────────────────┘                   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                        │                                        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                        ▼                                        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┌═══════════════════════════════════════════════════════════════┐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║ DELTA COMPUTATION                                             ║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║                                                               ║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║  delta = generated_ms − arrival_ms                            ║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║  (clamped to [0, 30000] ms)                                   ║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╚═══════════════════════════╦═══════════════════════════════════╝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                            ▼                                    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┌───────────────────────────────────────────────────────────────┐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│ ROLLING BUFFER (50 samples per session)                       │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│                                                               │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│  avg_latency   = mean(deltas)                                 │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│  predicted_jitter = stddev(deltas)                            │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│  adjustment    = avg_latency + (predicted_jitter × 0.5)       │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└───────────────────────────┬───────────────────────────────────┘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                            ▼                                    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┌═══════════════════════════════════════════════════════════════┐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║ TEMPORAL ALIGNMENT                                            ║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║                                                               ║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║  aligned_timestamp = generated_ms − adjustment_factor         ║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╚═══════════════════════════════════════════════════════════════╝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                                                                 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LATENCY CLASSIFICATION                                           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┌──────────┬──────────────┬──────────────┬────────────────────┐ 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│ LOW       │ MODERATE      │ HIGH          │ CRITICAL           │ 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│ ≤ 200ms   │ ≤ 500ms       │ ≤ 1500ms      │ &gt; 1500ms           │ 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└──────────┴──────────────┴──────────────┴────────────────────┘ 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                                                                 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SESSION MANAGEMENT: TTL = 8 hours │ Eviction sweep = 10 minutes  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║                                                                             ║</w:t>
      </w:r>
    </w:p>
    <w:p>
      <w:pPr>
        <w:shd w:fill="F8F8F8" w:color="F8F8F8" w:val="solid"/>
        <w:spacing w:after="0" w:before="0" w:line="260"/>
      </w:pPr>
      <w:r>
        <w:rPr>
          <w:rFonts w:ascii="Consolas" w:cs="Consolas" w:eastAsia="Consolas" w:hAnsi="Consolas"/>
          <w:color w:val="333333"/>
          <w:sz w:val="17"/>
          <w:szCs w:val="17"/>
        </w:rPr>
        <w:t xml:space="preserve">╚══════════════════════════════════════════════════════════════════════════╝</w:t>
      </w:r>
    </w:p>
    <w:p>
      <w:pPr>
        <w:spacing w:after="120"/>
      </w:pPr>
    </w:p>
    <w:p>
      <w:pPr>
        <w:pageBreakBefore/>
      </w:pPr>
      <w:r>
        <w:br/>
      </w:r>
    </w:p>
    <w:p>
      <w:pPr>
        <w:spacing w:after="160" w:before="360"/>
      </w:pPr>
      <w:r>
        <w:rPr>
          <w:rFonts w:ascii="Calibri" w:cs="Calibri" w:eastAsia="Calibri" w:hAnsi="Calibri"/>
          <w:b/>
          <w:bCs/>
          <w:color w:val="1B3A5C"/>
          <w:sz w:val="26"/>
          <w:szCs w:val="26"/>
        </w:rPr>
        <w:t xml:space="preserve">15. Incorporation by Reference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This CIP Submission 6 incorporates by reference all disclosures, claims, figures, and descriptions from:</w:t>
      </w:r>
    </w:p>
    <w:p>
      <w:pPr>
        <w:spacing w:after="60"/>
      </w:pP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Parent Provisional Specification (Application ID 1773575338868, filed 12 March 2026)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CIP Submission 2 (filed 16 March 2026)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CIP Submission 3 (filed 18 March 2026)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CIP Submission 4 (filed 19 March 2026)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CIP Submission 5 (filed 20 March 2026)</w:t>
      </w:r>
    </w:p>
    <w:p>
      <w:pPr>
        <w:spacing w:after="60"/>
      </w:pP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All prior modules (1–31), claims (1–55), and figures (FIG 1–30) remain in full force. This submission adds Claims 56–66 and FIG 31–33.</w:t>
      </w:r>
    </w:p>
    <w:p>
      <w:pPr>
        <w:spacing w:after="160" w:before="360"/>
      </w:pPr>
      <w:r>
        <w:rPr>
          <w:rFonts w:ascii="Calibri" w:cs="Calibri" w:eastAsia="Calibri" w:hAnsi="Calibri"/>
          <w:b/>
          <w:bCs/>
          <w:color w:val="1B3A5C"/>
          <w:sz w:val="26"/>
          <w:szCs w:val="26"/>
        </w:rPr>
        <w:t xml:space="preserve">16. Declaration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I, David Cameron, declare that:</w:t>
      </w:r>
    </w:p>
    <w:p>
      <w:pPr>
        <w:spacing w:after="60"/>
      </w:pP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I am the sole inventor and applicant for this continuation-in-part specification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The innovations described herein are novel and not previously disclosed in any prior art known to me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The system described is fully implemented in production code, deployed, and operational at the Production URL specified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All code implementations referenced in this specification exist in the GitHub repository and production deployment</w:t>
      </w:r>
    </w:p>
    <w:p>
      <w:pPr>
        <w:pStyle w:val="ListParagraph"/>
        <w:numPr>
          <w:ilvl w:val="0"/>
          <w:numId w:val="1"/>
        </w:numPr>
        <w:spacing w:after="60"/>
        <w:ind w:left="72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This CIP Submission 6 extends the parent provisional and all prior CIP submissions without contradiction</w:t>
      </w: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Signed: ___________________________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David Cameron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Date: 20 March 2026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1"/>
          <w:szCs w:val="21"/>
        </w:rPr>
        <w:t xml:space="preserve">Johannesburg, South Africa</w:t>
      </w:r>
    </w:p>
    <w:p>
      <w:pPr>
        <w:spacing w:after="60"/>
      </w:pPr>
    </w:p>
    <w:p>
      <w:pPr>
        <w:spacing w:after="60"/>
      </w:pPr>
    </w:p>
    <w:p>
      <w:pPr>
        <w:spacing w:after="60"/>
      </w:pPr>
    </w:p>
    <w:p>
      <w:pPr>
        <w:spacing w:after="80" w:before="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olor w:val="666666"/>
          <w:sz w:val="20"/>
          <w:szCs w:val="20"/>
        </w:rPr>
        <w:t xml:space="preserve">— End of CIP Submission 6 —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666666"/>
          <w:sz w:val="18"/>
          <w:szCs w:val="18"/>
        </w:rPr>
        <w:t xml:space="preserve">CIPC Patent Application ID 1773575338868 | 66 Total Claims | 31 Modules</w:t>
      </w:r>
    </w:p>
    <w:sectPr>
      <w:pgSz w:w="12240" w:h="15840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CuraLive CIPC CIP Submission 6 — Claims 56–66</dc:title>
  <dc:creator>CuraLive — David Cameron</dc:creator>
  <cp:lastModifiedBy>Un-named</cp:lastModifiedBy>
  <cp:revision>1</cp:revision>
  <dcterms:created xsi:type="dcterms:W3CDTF">2026-03-20T22:10:56.074Z</dcterms:created>
  <dcterms:modified xsi:type="dcterms:W3CDTF">2026-03-20T22:10:56.074Z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