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300"/>
        <w:jc w:val="start"/>
        <w:rPr/>
      </w:pPr>
      <w:r>
        <w:rPr/>
      </w:r>
    </w:p>
    <w:p>
      <w:pPr>
        <w:pStyle w:val="Normal"/>
        <w:bidi w:val="0"/>
        <w:spacing w:before="0" w:after="50"/>
        <w:jc w:val="center"/>
        <w:rPr>
          <w:rFonts w:ascii="Arial" w:hAnsi="Arial" w:eastAsia="Arial" w:cs="Arial"/>
          <w:b/>
          <w:bCs/>
          <w:caps/>
          <w:color w:val="0A2540"/>
          <w:sz w:val="60"/>
          <w:szCs w:val="60"/>
        </w:rPr>
      </w:pPr>
      <w:r>
        <w:rPr>
          <w:rFonts w:eastAsia="Arial" w:cs="Arial"/>
          <w:b/>
          <w:bCs/>
          <w:caps/>
          <w:color w:val="0A2540"/>
          <w:sz w:val="60"/>
          <w:szCs w:val="60"/>
        </w:rPr>
        <w:t>CURALIVE</w:t>
      </w:r>
    </w:p>
    <w:p>
      <w:pPr>
        <w:pStyle w:val="Normal"/>
        <w:bidi w:val="0"/>
        <w:spacing w:before="0" w:after="30"/>
        <w:jc w:val="center"/>
        <w:rPr>
          <w:rFonts w:ascii="Arial" w:hAnsi="Arial" w:eastAsia="Arial" w:cs="Arial"/>
          <w:color w:val="1D9E75"/>
          <w:sz w:val="32"/>
          <w:szCs w:val="32"/>
        </w:rPr>
      </w:pPr>
      <w:r>
        <w:rPr>
          <w:rFonts w:eastAsia="Arial" w:cs="Arial"/>
          <w:color w:val="1D9E75"/>
          <w:sz w:val="32"/>
          <w:szCs w:val="32"/>
        </w:rPr>
        <w:t>Comprehensive Replit Brief</w:t>
      </w:r>
    </w:p>
    <w:p>
      <w:pPr>
        <w:pStyle w:val="Normal"/>
        <w:bidi w:val="0"/>
        <w:spacing w:before="0" w:after="160"/>
        <w:jc w:val="center"/>
        <w:rPr>
          <w:rFonts w:ascii="Arial" w:hAnsi="Arial" w:eastAsia="Arial" w:cs="Arial"/>
          <w:color w:val="6B7280"/>
          <w:sz w:val="20"/>
          <w:szCs w:val="20"/>
        </w:rPr>
      </w:pPr>
      <w:r>
        <w:rPr>
          <w:rFonts w:eastAsia="Arial" w:cs="Arial"/>
          <w:color w:val="6B7280"/>
          <w:sz w:val="20"/>
          <w:szCs w:val="20"/>
        </w:rPr>
        <w:t>Current Status  ·  Outstanding Items  ·  Coding Rules  ·  April 2026</w:t>
      </w:r>
    </w:p>
    <w:p>
      <w:pPr>
        <w:pStyle w:val="Normal"/>
        <w:pBdr>
          <w:bottom w:val="single" w:sz="10" w:space="0" w:color="1D9E75"/>
        </w:pBdr>
        <w:bidi w:val="0"/>
        <w:spacing w:before="40" w:after="40"/>
        <w:jc w:val="start"/>
        <w:rPr/>
      </w:pPr>
      <w:r>
        <w:rPr/>
      </w:r>
    </w:p>
    <w:p>
      <w:pPr>
        <w:pStyle w:val="Normal"/>
        <w:bidi w:val="0"/>
        <w:spacing w:before="0" w:after="4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0A2540"/>
                <w:sz w:val="18"/>
                <w:szCs w:val="18"/>
              </w:rPr>
              <w:t>Document purpose</w:t>
            </w:r>
          </w:p>
        </w:tc>
        <w:tc>
          <w:tcPr>
            <w:tcW w:w="69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Single reference for Replit — confirmed live, outstanding items, exact actions, coding rules.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0A2540"/>
                <w:sz w:val="18"/>
                <w:szCs w:val="18"/>
              </w:rPr>
              <w:t>Platform</w:t>
            </w:r>
          </w:p>
        </w:tc>
        <w:tc>
          <w:tcPr>
            <w:tcW w:w="69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110 routers · 208 tables · 211 pages · 7 background services · Health Guardian 100%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0A2540"/>
                <w:sz w:val="18"/>
                <w:szCs w:val="18"/>
              </w:rPr>
              <w:t>Date</w:t>
            </w:r>
          </w:p>
        </w:tc>
        <w:tc>
          <w:tcPr>
            <w:tcW w:w="69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April 2026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0A2540"/>
                <w:sz w:val="18"/>
                <w:szCs w:val="18"/>
              </w:rPr>
              <w:t>Priority</w:t>
            </w:r>
          </w:p>
        </w:tc>
        <w:tc>
          <w:tcPr>
            <w:tcW w:w="69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Demo readiness for Lumi Global meeting · week of 7 April 2026</w:t>
            </w:r>
          </w:p>
        </w:tc>
      </w:tr>
    </w:tbl>
    <w:p>
      <w:pPr>
        <w:pStyle w:val="Normal"/>
        <w:bidi w:val="0"/>
        <w:spacing w:before="0" w:after="4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BA7517"/>
              <w:start w:val="single" w:sz="8" w:space="0" w:color="BA7517"/>
              <w:bottom w:val="single" w:sz="8" w:space="0" w:color="BA7517"/>
              <w:end w:val="single" w:sz="8" w:space="0" w:color="BA7517"/>
            </w:tcBorders>
            <w:shd w:fill="FEF8E8" w:val="clear"/>
          </w:tcPr>
          <w:p>
            <w:pPr>
              <w:pStyle w:val="Normal"/>
              <w:bidi w:val="0"/>
              <w:spacing w:before="20" w:after="8"/>
              <w:jc w:val="start"/>
              <w:rPr>
                <w:rFonts w:ascii="Arial" w:hAnsi="Arial" w:eastAsia="Arial" w:cs="Arial"/>
                <w:b/>
                <w:bCs/>
                <w:color w:val="BA7517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BA7517"/>
                <w:sz w:val="18"/>
                <w:szCs w:val="18"/>
              </w:rPr>
              <w:t xml:space="preserve">⚠  </w:t>
            </w:r>
            <w:r>
              <w:rPr>
                <w:rFonts w:eastAsia="Arial" w:cs="Arial"/>
                <w:b/>
                <w:bCs/>
                <w:color w:val="BA7517"/>
                <w:sz w:val="18"/>
                <w:szCs w:val="18"/>
              </w:rPr>
              <w:t>Critical rule before any change:</w:t>
            </w:r>
          </w:p>
          <w:p>
            <w:pPr>
              <w:pStyle w:val="Normal"/>
              <w:bidi w:val="0"/>
              <w:spacing w:before="8" w:after="20"/>
              <w:jc w:val="start"/>
              <w:rPr>
                <w:rFonts w:ascii="Arial" w:hAnsi="Arial" w:eastAsia="Arial" w:cs="Arial"/>
                <w:color w:val="0C2D4A"/>
                <w:sz w:val="17"/>
                <w:szCs w:val="17"/>
              </w:rPr>
            </w:pPr>
            <w:r>
              <w:rPr>
                <w:rFonts w:eastAsia="Arial" w:cs="Arial"/>
                <w:color w:val="0C2D4A"/>
                <w:sz w:val="17"/>
                <w:szCs w:val="17"/>
              </w:rPr>
              <w:t>Every new tRPC router MUST be registered in BOTH server/routers.eager.ts AND server/routers.ts. Missing from one file = silent runtime failure.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1"/>
        <w:pBdr>
          <w:bottom w:val="single" w:sz="12" w:space="0" w:color="1D9E75"/>
        </w:pBdr>
        <w:bidi w:val="0"/>
        <w:spacing w:before="320" w:after="120"/>
        <w:jc w:val="start"/>
        <w:rPr>
          <w:rFonts w:ascii="Arial" w:hAnsi="Arial" w:eastAsia="Arial" w:cs="Arial"/>
          <w:b/>
          <w:bCs/>
          <w:color w:val="0A2540"/>
          <w:sz w:val="36"/>
          <w:szCs w:val="36"/>
        </w:rPr>
      </w:pPr>
      <w:r>
        <w:rPr>
          <w:rFonts w:eastAsia="Arial" w:cs="Arial" w:ascii="Arial" w:hAnsi="Arial"/>
          <w:b/>
          <w:bCs/>
          <w:color w:val="0A2540"/>
          <w:sz w:val="36"/>
          <w:szCs w:val="36"/>
        </w:rPr>
        <w:t>Section 1 — Coding Rules (Every Change)</w:t>
      </w:r>
    </w:p>
    <w:p>
      <w:pPr>
        <w:pStyle w:val="Normal"/>
        <w:bidi w:val="0"/>
        <w:spacing w:before="40" w:after="8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These rules apply to every file touched. No exceptions.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6561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C0291A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C0291A"/>
                <w:sz w:val="18"/>
                <w:szCs w:val="18"/>
              </w:rPr>
              <w:t>tRPC routers — BOTH files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Register every new router in BOTH server/routers.eager.ts AND server/routers.ts. Missing from one causes silent runtime errors.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tRPC imports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Always use "../_core/trpc" for tRPC imports.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Toast notifications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Only use sonner. No other toast library.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rawSql() behaviour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rawSql() auto-appends RETURNING id and translates ? to $1/$2. Do not manually add RETURNING id.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camelCase columns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Double-quote camelCase column names in raw SQL. Example: "createdAt" not createdAt.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Schema migrations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Always use drizzle-kit push --force. Never pnpm run db:push.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C0291A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C0291A"/>
                <w:sz w:val="18"/>
                <w:szCs w:val="18"/>
              </w:rPr>
              <w:t>Recall.ai webhook order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Recall.ai webhook middleware MUST be registered before express.json(). If express.json() runs first, HMAC verification hangs.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NUMERIC wrapping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Wrap PostgreSQL NUMERIC from rawSql() in Number() before arithmetic.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Bigint timestamps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rawSql() auto-converts numbers 1e12–1e13 to Date objects. Pass epoch values as strings.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Production build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Rebuild dist/ with esbuild before publishing. Do not publish without rebuilding.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Replit config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Do not modify the .replit file directly. Use the Replit UI.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BA7517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BA7517"/>
                <w:sz w:val="18"/>
                <w:szCs w:val="18"/>
              </w:rPr>
              <w:t>Vendor names on client pages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NEVER show on /live/:token, /report/:token, /presenter/:token: Whisper, Recall.ai, GPT-4o, OpenAI, Gemini, Ably, Twilio, Mux, Resend. Use: "CuraLive Intelligence Agent", "AI transcription", "CuraLive AI".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health_checks tables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Created via raw SQL. Timestamp columns must be TIMESTAMP type, not bigint.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ai_am_audit_log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ai_am_audit_log.timestamp is bigint (epoch ms). Do not treat as a date column.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1"/>
        <w:pBdr>
          <w:bottom w:val="single" w:sz="12" w:space="0" w:color="1D9E75"/>
        </w:pBdr>
        <w:bidi w:val="0"/>
        <w:spacing w:before="320" w:after="120"/>
        <w:jc w:val="start"/>
        <w:rPr>
          <w:rFonts w:ascii="Arial" w:hAnsi="Arial" w:eastAsia="Arial" w:cs="Arial"/>
          <w:b/>
          <w:bCs/>
          <w:color w:val="0A2540"/>
          <w:sz w:val="36"/>
          <w:szCs w:val="36"/>
        </w:rPr>
      </w:pPr>
      <w:r>
        <w:rPr>
          <w:rFonts w:eastAsia="Arial" w:cs="Arial" w:ascii="Arial" w:hAnsi="Arial"/>
          <w:b/>
          <w:bCs/>
          <w:color w:val="0A2540"/>
          <w:sz w:val="36"/>
          <w:szCs w:val="36"/>
        </w:rPr>
        <w:t>Section 2 — Confirmed Live (Do Not Modify)</w:t>
      </w:r>
    </w:p>
    <w:p>
      <w:pPr>
        <w:pStyle w:val="Normal"/>
        <w:bidi w:val="0"/>
        <w:spacing w:before="40" w:after="8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Everything below is confirmed working as of April 2026.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2.1  Platform Scale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Asset</w:t>
            </w:r>
          </w:p>
        </w:tc>
        <w:tc>
          <w:tcPr>
            <w:tcW w:w="4680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>
        <w:trPr/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tRPC Routers</w:t>
            </w:r>
          </w:p>
        </w:tc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D9E75"/>
                <w:sz w:val="18"/>
                <w:szCs w:val="18"/>
              </w:rPr>
              <w:t>110</w:t>
            </w:r>
          </w:p>
        </w:tc>
      </w:tr>
      <w:tr>
        <w:trPr/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Database Tables</w:t>
            </w:r>
          </w:p>
        </w:tc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D9E75"/>
                <w:sz w:val="18"/>
                <w:szCs w:val="18"/>
              </w:rPr>
              <w:t>208</w:t>
            </w:r>
          </w:p>
        </w:tc>
      </w:tr>
      <w:tr>
        <w:trPr/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Frontend Pages</w:t>
            </w:r>
          </w:p>
        </w:tc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D9E75"/>
                <w:sz w:val="18"/>
                <w:szCs w:val="18"/>
              </w:rPr>
              <w:t>211</w:t>
            </w:r>
          </w:p>
        </w:tc>
      </w:tr>
      <w:tr>
        <w:trPr/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UI Components</w:t>
            </w:r>
          </w:p>
        </w:tc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D9E75"/>
                <w:sz w:val="18"/>
                <w:szCs w:val="18"/>
              </w:rPr>
              <w:t>81</w:t>
            </w:r>
          </w:p>
        </w:tc>
      </w:tr>
      <w:tr>
        <w:trPr/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Backend Services</w:t>
            </w:r>
          </w:p>
        </w:tc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D9E75"/>
                <w:sz w:val="18"/>
                <w:szCs w:val="18"/>
              </w:rPr>
              <w:t>61</w:t>
            </w:r>
          </w:p>
        </w:tc>
      </w:tr>
      <w:tr>
        <w:trPr/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App Routes</w:t>
            </w:r>
          </w:p>
        </w:tc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D9E75"/>
                <w:sz w:val="18"/>
                <w:szCs w:val="18"/>
              </w:rPr>
              <w:t>137</w:t>
            </w:r>
          </w:p>
        </w:tc>
      </w:tr>
      <w:tr>
        <w:trPr/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Background Schedulers</w:t>
            </w:r>
          </w:p>
        </w:tc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D9E75"/>
                <w:sz w:val="18"/>
                <w:szCs w:val="18"/>
              </w:rPr>
              <w:t>7</w:t>
            </w:r>
          </w:p>
        </w:tc>
      </w:tr>
      <w:tr>
        <w:trPr/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Health Guardian score</w:t>
            </w:r>
          </w:p>
        </w:tc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37A3C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100% — 6 services monitored</w:t>
            </w:r>
          </w:p>
        </w:tc>
      </w:tr>
      <w:tr>
        <w:trPr/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Completed test sessions</w:t>
            </w:r>
          </w:p>
        </w:tc>
        <w:tc>
          <w:tcPr>
            <w:tcW w:w="468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37A3C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10 — no failed test data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2.2  Background Services (Auto-Start at Boot)</w:t>
      </w:r>
    </w:p>
    <w:p>
      <w:pPr>
        <w:pStyle w:val="ListParagraph"/>
        <w:numPr>
          <w:ilvl w:val="0"/>
          <w:numId w:val="3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HealthGuardian — 30s infrastructure monitoring + AI root cause analysis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ComplianceEngine — 300s regulatory compliance scanning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ComplianceDeadlineMonitor — 15 min deadline checks + escalation emails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/>
      </w:pPr>
      <w:r>
        <w:rPr>
          <w:rFonts w:eastAsia="Arial" w:cs="Arial"/>
          <w:sz w:val="20"/>
          <w:szCs w:val="20"/>
        </w:rPr>
        <w:t>BriefingScheduler — 5 min pre-event briefing dispatch (auto-sends at T-60 min)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ShadowWatchdog — 60s zombie session detection and crash recovery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ReminderScheduler — 300s event reminder dispatch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ConferenceDialoutService — Conference call orchestration</w:t>
      </w:r>
    </w:p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2.3  Shadow Mode — 11 Confirmed Tabs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1800"/>
        <w:gridCol w:w="5161"/>
      </w:tblGrid>
      <w:tr>
        <w:trPr/>
        <w:tc>
          <w:tcPr>
            <w:tcW w:w="2399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1800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161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Live Intelligence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1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Transcript, sentiment, compliance, rolling AI summary. ConsoleModeSwitcher (Monitor / Active / Review).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Archives &amp; Reports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1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Session browser, search, filters, bulk operations, client delivery status.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AI Dashboard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1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Consolidated AI module outputs, session selector, tier presets.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Live Q&amp;A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1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AI triage (1,225 lines). Jaccard duplicate detection, legal review modal, AI draft answers, 10-tab filter, keyboard shortcuts, bulk approve/reject, Send to Speaker.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Board Compass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1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Governance scoring, prior commitment audits, director liability mapping.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Pre-Event Intel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1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Pre-event briefing viewer. Analyst consensus, predicted Q&amp;A, compliance hotspots, readiness score.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Compliance Monitor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1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Real-time regulatory dashboard. JSE/SEC/FCA/ASIC/SGX/HKEX. Deadline tracking.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System Diagnostics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1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Health Guardian: 6 services, 30s polling, AI root cause analysis.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Intelligence Suite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1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Advanced AI analysis tools.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Operator Tools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1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Session management and operational controls.</w:t>
            </w:r>
          </w:p>
        </w:tc>
      </w:tr>
      <w:tr>
        <w:trPr/>
        <w:tc>
          <w:tcPr>
            <w:tcW w:w="2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Settings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1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Configuration and preferences.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2.4  Operator Console Additions — All Live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1800"/>
        <w:gridCol w:w="4960"/>
      </w:tblGrid>
      <w:tr>
        <w:trPr/>
        <w:tc>
          <w:tcPr>
            <w:tcW w:w="2600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800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960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/>
        <w:tc>
          <w:tcPr>
            <w:tcW w:w="26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TranscriptFlagTimeline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496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5 flag types: Notable / Compliance / Forward Guidance / Tone Shift / Action Required. Colour-coded timeline. Feeds post-event report.</w:t>
            </w:r>
          </w:p>
        </w:tc>
      </w:tr>
      <w:tr>
        <w:trPr/>
        <w:tc>
          <w:tcPr>
            <w:tcW w:w="26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CollapsibleBottomTray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496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4 tabs: Flags, Messages, Team, Live Stats. Collapses to thin bar. Auto-opens on compliance flag.</w:t>
            </w:r>
          </w:p>
        </w:tc>
      </w:tr>
      <w:tr>
        <w:trPr/>
        <w:tc>
          <w:tcPr>
            <w:tcW w:w="26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TeamCoordinationPanel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496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Multi-operator: join/leave, operator list, handoff initiation, internal team chat via Ably.</w:t>
            </w:r>
          </w:p>
        </w:tc>
      </w:tr>
      <w:tr>
        <w:trPr/>
        <w:tc>
          <w:tcPr>
            <w:tcW w:w="26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ConsoleModeSwitcher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496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Three states: Monitor (read-only) / Active (full controls) / Review (post-session). Drives conditional rendering.</w:t>
            </w:r>
          </w:p>
        </w:tc>
      </w:tr>
      <w:tr>
        <w:trPr/>
        <w:tc>
          <w:tcPr>
            <w:tcW w:w="26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SessionSetupPanel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496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Tier selection, recipient management (name/email/role/toggles), partner assignment, readiness check.</w:t>
            </w:r>
          </w:p>
        </w:tc>
      </w:tr>
      <w:tr>
        <w:trPr/>
        <w:tc>
          <w:tcPr>
            <w:tcW w:w="26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SessionScheduler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496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Event scheduling with meeting URL. Auto-triggers pre-event briefing. Calendar view.</w:t>
            </w:r>
          </w:p>
        </w:tc>
      </w:tr>
      <w:tr>
        <w:trPr/>
        <w:tc>
          <w:tcPr>
            <w:tcW w:w="26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ClientMessagePanel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496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Floating chat on client dashboard. Token-authenticated. Real-time bidirectional via Ably.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2.5  Client-Facing Pages — All Live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399"/>
        <w:gridCol w:w="5961"/>
      </w:tblGrid>
      <w:tr>
        <w:trPr/>
        <w:tc>
          <w:tcPr>
            <w:tcW w:w="2000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399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961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/>
        <w:tc>
          <w:tcPr>
            <w:tcW w:w="20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D9E75"/>
                <w:sz w:val="18"/>
                <w:szCs w:val="18"/>
              </w:rPr>
              <w:t>/live/:token</w:t>
            </w:r>
          </w:p>
        </w:tc>
        <w:tc>
          <w:tcPr>
            <w:tcW w:w="1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9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5 tabs: Live Feed, Sentiment, Compliance, Q&amp;A, AI Summary. Partner branded. ClientMessagePanel chat. 5-second polling.</w:t>
            </w:r>
          </w:p>
        </w:tc>
      </w:tr>
      <w:tr>
        <w:trPr/>
        <w:tc>
          <w:tcPr>
            <w:tcW w:w="20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FF6FF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246E8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246E8"/>
                <w:sz w:val="18"/>
                <w:szCs w:val="18"/>
              </w:rPr>
              <w:t>/report/:token</w:t>
            </w:r>
          </w:p>
        </w:tc>
        <w:tc>
          <w:tcPr>
            <w:tcW w:w="1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FF6FF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9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FF6FF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10 tabs: Executive Summary, Financial Metrics, Compliance Flags, Management Tone, Q&amp;A Log, Full Transcript, Action Items, Social Media Pack, SENS/RNS Draft, Blockchain Certificate. Client view logging. Star rating feedback.</w:t>
            </w:r>
          </w:p>
        </w:tc>
      </w:tr>
      <w:tr>
        <w:trPr/>
        <w:tc>
          <w:tcPr>
            <w:tcW w:w="20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BA7517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BA7517"/>
                <w:sz w:val="18"/>
                <w:szCs w:val="18"/>
              </w:rPr>
              <w:t>/presenter/:token</w:t>
            </w:r>
          </w:p>
        </w:tc>
        <w:tc>
          <w:tcPr>
            <w:tcW w:w="1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8E8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9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Full-screen Q&amp;A display. Large-font active question. Asker firm shown. AI talking points (toggle). 3 up-next questions queued.</w:t>
            </w:r>
          </w:p>
        </w:tc>
      </w:tr>
      <w:tr>
        <w:trPr/>
        <w:tc>
          <w:tcPr>
            <w:tcW w:w="20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/qa/:accessCode</w:t>
            </w:r>
          </w:p>
        </w:tc>
        <w:tc>
          <w:tcPr>
            <w:tcW w:w="1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9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Attendee webphone. Webcast attendees submit questions here. Feeds Live Q&amp;A console.</w:t>
            </w:r>
          </w:p>
        </w:tc>
      </w:tr>
      <w:tr>
        <w:trPr/>
        <w:tc>
          <w:tcPr>
            <w:tcW w:w="20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/live-video/webcast/demo?simulate=1</w:t>
            </w:r>
          </w:p>
        </w:tc>
        <w:tc>
          <w:tcPr>
            <w:tcW w:w="1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9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Full Demo Studio. Goldman Sachs, JP Morgan, Morgan Stanley mock Q&amp;A. Up to 1,200 simulated attendees. Use in every demo meeting.</w:t>
            </w:r>
          </w:p>
        </w:tc>
      </w:tr>
      <w:tr>
        <w:trPr/>
        <w:tc>
          <w:tcPr>
            <w:tcW w:w="20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/virtual-studio</w:t>
            </w:r>
          </w:p>
        </w:tc>
        <w:tc>
          <w:tcPr>
            <w:tcW w:w="1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9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AI-enhanced virtual broadcast studio.</w:t>
            </w:r>
          </w:p>
        </w:tc>
      </w:tr>
      <w:tr>
        <w:trPr/>
        <w:tc>
          <w:tcPr>
            <w:tcW w:w="20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/feature-map</w:t>
            </w:r>
          </w:p>
        </w:tc>
        <w:tc>
          <w:tcPr>
            <w:tcW w:w="13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/>
            </w:pPr>
            <w:r>
              <w:rPr>
                <w:rFonts w:eastAsia="Arial" w:cs="Arial"/>
                <w:color w:val="137A3C"/>
                <w:sz w:val="18"/>
                <w:szCs w:val="18"/>
              </w:rPr>
              <w:t xml:space="preserve">● </w:t>
            </w:r>
            <w:r>
              <w:rPr>
                <w:rFonts w:eastAsia="Arial" w:cs="Arial"/>
                <w:b/>
                <w:bCs/>
                <w:color w:val="137A3C"/>
                <w:sz w:val="18"/>
                <w:szCs w:val="18"/>
              </w:rPr>
              <w:t>LIVE</w:t>
            </w:r>
          </w:p>
        </w:tc>
        <w:tc>
          <w:tcPr>
            <w:tcW w:w="59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Platform feature map and capability explorer.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2.6  Six New Routers — All Live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Router file</w:t>
            </w:r>
          </w:p>
        </w:tc>
        <w:tc>
          <w:tcPr>
            <w:tcW w:w="6361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What it handles</w:t>
            </w:r>
          </w:p>
        </w:tc>
      </w:tr>
      <w:tr>
        <w:trPr/>
        <w:tc>
          <w:tcPr>
            <w:tcW w:w="29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partnerRouter.ts</w:t>
            </w:r>
          </w:p>
        </w:tc>
        <w:tc>
          <w:tcPr>
            <w:tcW w:w="63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Partner CRUD, brand config by domain/slug, token generation and validation.</w:t>
            </w:r>
          </w:p>
        </w:tc>
      </w:tr>
      <w:tr>
        <w:trPr/>
        <w:tc>
          <w:tcPr>
            <w:tcW w:w="29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sessionConfigRouter.ts</w:t>
            </w:r>
          </w:p>
        </w:tc>
        <w:tc>
          <w:tcPr>
            <w:tcW w:w="63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Tier config, partner assignment, recipient management, scheduling, readiness check, send live links.</w:t>
            </w:r>
          </w:p>
        </w:tc>
      </w:tr>
      <w:tr>
        <w:trPr/>
        <w:tc>
          <w:tcPr>
            <w:tcW w:w="29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sessionMessagesRouter.ts</w:t>
            </w:r>
          </w:p>
        </w:tc>
        <w:tc>
          <w:tcPr>
            <w:tcW w:w="63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Bidirectional operator-client messaging. sendFromClient (public, token-auth), sendFromOperator (protected), resolve message.</w:t>
            </w:r>
          </w:p>
        </w:tc>
      </w:tr>
      <w:tr>
        <w:trPr/>
        <w:tc>
          <w:tcPr>
            <w:tcW w:w="29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speakerQueueRouter.ts</w:t>
            </w:r>
          </w:p>
        </w:tc>
        <w:tc>
          <w:tcPr>
            <w:tcW w:w="63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Queue approved questions for presenter: queueForSpeaker, getSpeakerQueue, sendToSpeaker, markAnswered, skipQuestion.</w:t>
            </w:r>
          </w:p>
        </w:tc>
      </w:tr>
      <w:tr>
        <w:trPr/>
        <w:tc>
          <w:tcPr>
            <w:tcW w:w="29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agmIntelligenceRouter.ts</w:t>
            </w:r>
          </w:p>
        </w:tc>
        <w:tc>
          <w:tcPr>
            <w:tcW w:w="63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AGM resolutions, dissent signal analysis, proxy advisor detection (ISS, Glass Lewis, Hermes, Sustainalytics, PIRC), post-AGM dissent report.</w:t>
            </w:r>
          </w:p>
        </w:tc>
      </w:tr>
      <w:tr>
        <w:trPr/>
        <w:tc>
          <w:tcPr>
            <w:tcW w:w="29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operationsRouter.ts</w:t>
            </w:r>
          </w:p>
        </w:tc>
        <w:tc>
          <w:tcPr>
            <w:tcW w:w="63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Operator handoff, multi-operator sessions, client feedback, historical commitments, board profiles, resend report link, client access log, jurisdiction detection, transcript flagging.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/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2.7  New Database Tables — All Live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Group</w:t>
            </w:r>
          </w:p>
        </w:tc>
        <w:tc>
          <w:tcPr>
            <w:tcW w:w="6561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Session Operations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session_messages, session_handoffs, session_operators, session_markers, session_readiness_checks, scheduled_sessions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Client Delivery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client_tokens, client_report_access, client_report_feedback, client_report_view_log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Partners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partners (Lumi and Bastion seeded), partner_events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AGM Intelligence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agm_resolutions, agm_shareholder_signals, agm_governance_scores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Q&amp;A System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approved_questions_queue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Compliance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compliance_deadlines, historical_commitments, board_members, briefing_accuracy_scores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shadow_sessions — new columns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tier, partner_id, recipients (jsonb), scheduled_at, pre_brief_sent_at, live_links_sent_at, report_links_sent_at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2.8  Intelligence Tiers — Live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1800"/>
        <w:gridCol w:w="3199"/>
        <w:gridCol w:w="2861"/>
      </w:tblGrid>
      <w:tr>
        <w:trPr/>
        <w:tc>
          <w:tcPr>
            <w:tcW w:w="1500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800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Pricing</w:t>
            </w:r>
          </w:p>
        </w:tc>
        <w:tc>
          <w:tcPr>
            <w:tcW w:w="3199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Live dashboard</w:t>
            </w:r>
          </w:p>
        </w:tc>
        <w:tc>
          <w:tcPr>
            <w:tcW w:w="2861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Post-event report</w:t>
            </w:r>
          </w:p>
        </w:tc>
      </w:tr>
      <w:tr>
        <w:trPr/>
        <w:tc>
          <w:tcPr>
            <w:tcW w:w="15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Essential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Per event</w:t>
            </w:r>
          </w:p>
        </w:tc>
        <w:tc>
          <w:tcPr>
            <w:tcW w:w="31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Transcript · 4 sentiment metrics · Compliance flags · AI summary · Q&amp;A queue</w:t>
            </w:r>
          </w:p>
        </w:tc>
        <w:tc>
          <w:tcPr>
            <w:tcW w:w="28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5 core AI modules + blockchain certificate</w:t>
            </w:r>
          </w:p>
        </w:tc>
      </w:tr>
      <w:tr>
        <w:trPr/>
        <w:tc>
          <w:tcPr>
            <w:tcW w:w="15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D9E75"/>
                <w:sz w:val="18"/>
                <w:szCs w:val="18"/>
              </w:rPr>
              <w:t>Intelligence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Per event or retainer</w:t>
            </w:r>
          </w:p>
        </w:tc>
        <w:tc>
          <w:tcPr>
            <w:tcW w:w="31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All Essential + Speaker scorecards · Evasion index · Crisis prediction · Valuation oracle · M&amp;A signals</w:t>
            </w:r>
          </w:p>
        </w:tc>
        <w:tc>
          <w:tcPr>
            <w:tcW w:w="28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Full 20 modules + SENS/RNS draft + social media pack</w:t>
            </w:r>
          </w:p>
        </w:tc>
      </w:tr>
      <w:tr>
        <w:trPr/>
        <w:tc>
          <w:tcPr>
            <w:tcW w:w="15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D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B8860B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B8860B"/>
                <w:sz w:val="18"/>
                <w:szCs w:val="18"/>
              </w:rPr>
              <w:t>Enterprise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D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Annual licence</w:t>
            </w:r>
          </w:p>
        </w:tc>
        <w:tc>
          <w:tcPr>
            <w:tcW w:w="31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D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All Intelligence + Cross-event benchmarking · Analyst identity · Briefing accuracy · Board commitment monitor</w:t>
            </w:r>
          </w:p>
        </w:tc>
        <w:tc>
          <w:tcPr>
            <w:tcW w:w="28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D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All 20 modules + Board Intelligence + RBAC + white label</w:t>
            </w:r>
          </w:p>
        </w:tc>
      </w:tr>
      <w:tr>
        <w:trPr/>
        <w:tc>
          <w:tcPr>
            <w:tcW w:w="15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0EEFF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534AB7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534AB7"/>
                <w:sz w:val="18"/>
                <w:szCs w:val="18"/>
              </w:rPr>
              <w:t>AGM</w:t>
            </w:r>
          </w:p>
        </w:tc>
        <w:tc>
          <w:tcPr>
            <w:tcW w:w="18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0EEFF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Per AGM (Enterprise add-on)</w:t>
            </w:r>
          </w:p>
        </w:tc>
        <w:tc>
          <w:tcPr>
            <w:tcW w:w="31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0EEFF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All Enterprise + Resolution tracking · Dissent detection · Proxy advisor monitoring (ISS, Glass Lewis)</w:t>
            </w:r>
          </w:p>
        </w:tc>
        <w:tc>
          <w:tcPr>
            <w:tcW w:w="28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0EEFF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All 20 modules + post-AGM dissent report + resolution analysis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2.9  White-Label Partners — Configured and Ready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7561"/>
      </w:tblGrid>
      <w:tr>
        <w:trPr/>
        <w:tc>
          <w:tcPr>
            <w:tcW w:w="1799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Partner</w:t>
            </w:r>
          </w:p>
        </w:tc>
        <w:tc>
          <w:tcPr>
            <w:tcW w:w="7561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Configuration status</w:t>
            </w:r>
          </w:p>
        </w:tc>
      </w:tr>
      <w:tr>
        <w:trPr/>
        <w:tc>
          <w:tcPr>
            <w:tcW w:w="1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1D9E75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D9E75"/>
                <w:sz w:val="18"/>
                <w:szCs w:val="18"/>
              </w:rPr>
              <w:t>Lumi Global</w:t>
            </w:r>
          </w:p>
        </w:tc>
        <w:tc>
          <w:tcPr>
            <w:tcW w:w="7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E6F7F3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Seeded (slug: lumi). Colours set. Revenue share model. Custom domain field ready for intelligence.lumigroup.com. Sending email field ready for noreply@lumigroup.com. ACTIVATION: One SQL update + 3 Lumi DNS records.</w:t>
            </w:r>
          </w:p>
        </w:tc>
      </w:tr>
      <w:tr>
        <w:trPr/>
        <w:tc>
          <w:tcPr>
            <w:tcW w:w="1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0A2540"/>
                <w:sz w:val="18"/>
                <w:szCs w:val="18"/>
              </w:rPr>
              <w:t>Bastion Group</w:t>
            </w:r>
          </w:p>
        </w:tc>
        <w:tc>
          <w:tcPr>
            <w:tcW w:w="7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Seeded (slug: bastion). Revenue share model. Ready to configure logo and colours.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2.10  New Services — All Live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6561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ClientDeliveryService.ts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Generates tokenised links. Sends live dashboard invite emails. Sends post-event report emails. White-label aware — reads partner brand config automatically.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ComplianceDeadlineService.ts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Creates compliance deadlines on flag detection. Monitors every 15 min. Sends reminder at T-24h, escalation at T-2h. Sends compliance-only email within 2 min of session close when flags exist.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PreEventBriefingService.ts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BriefingScheduler checks every 5 min. Auto-sends pre-event briefing 60 min before scheduled session. Calculates briefing accuracy post-session.</w:t>
            </w:r>
          </w:p>
        </w:tc>
      </w:tr>
      <w:tr>
        <w:trPr/>
        <w:tc>
          <w:tcPr>
            <w:tcW w:w="27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brandConfig.ts middleware</w:t>
            </w:r>
          </w:p>
        </w:tc>
        <w:tc>
          <w:tcPr>
            <w:tcW w:w="65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Reads incoming domain on every request. Determines partner branding. Caches 5 min. Serves CuraLive defaults for all non-partner domains.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1"/>
        <w:pBdr>
          <w:bottom w:val="single" w:sz="12" w:space="0" w:color="1D9E75"/>
        </w:pBdr>
        <w:bidi w:val="0"/>
        <w:spacing w:before="320" w:after="120"/>
        <w:jc w:val="start"/>
        <w:rPr>
          <w:rFonts w:ascii="Arial" w:hAnsi="Arial" w:eastAsia="Arial" w:cs="Arial"/>
          <w:b/>
          <w:bCs/>
          <w:color w:val="0A2540"/>
          <w:sz w:val="36"/>
          <w:szCs w:val="36"/>
        </w:rPr>
      </w:pPr>
      <w:r>
        <w:rPr>
          <w:rFonts w:eastAsia="Arial" w:cs="Arial" w:ascii="Arial" w:hAnsi="Arial"/>
          <w:b/>
          <w:bCs/>
          <w:color w:val="0A2540"/>
          <w:sz w:val="36"/>
          <w:szCs w:val="36"/>
        </w:rPr>
        <w:t>Section 3 — Outstanding Items</w:t>
      </w:r>
    </w:p>
    <w:p>
      <w:pPr>
        <w:pStyle w:val="Normal"/>
        <w:bidi w:val="0"/>
        <w:spacing w:before="40" w:after="8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Prioritised in order of commercial impact.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3.1  Priority 1 — Demo Readiness (Before Lumi Meeting)</w:t>
      </w:r>
    </w:p>
    <w:p>
      <w:pPr>
        <w:pStyle w:val="Normal"/>
        <w:bidi w:val="0"/>
        <w:spacing w:before="0" w:after="5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C0291A"/>
              <w:start w:val="single" w:sz="8" w:space="0" w:color="C0291A"/>
              <w:bottom w:val="single" w:sz="8" w:space="0" w:color="C0291A"/>
              <w:end w:val="single" w:sz="8" w:space="0" w:color="C0291A"/>
            </w:tcBorders>
            <w:shd w:fill="FEF0EE" w:val="clear"/>
          </w:tcPr>
          <w:p>
            <w:pPr>
              <w:pStyle w:val="Normal"/>
              <w:bidi w:val="0"/>
              <w:spacing w:before="20" w:after="8"/>
              <w:jc w:val="start"/>
              <w:rPr>
                <w:rFonts w:ascii="Arial" w:hAnsi="Arial" w:eastAsia="Arial" w:cs="Arial"/>
                <w:b/>
                <w:bCs/>
                <w:color w:val="C0291A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C0291A"/>
                <w:sz w:val="18"/>
                <w:szCs w:val="18"/>
              </w:rPr>
              <w:t>URGENT — Complete before the demo</w:t>
            </w:r>
          </w:p>
          <w:p>
            <w:pPr>
              <w:pStyle w:val="Normal"/>
              <w:bidi w:val="0"/>
              <w:spacing w:before="8" w:after="20"/>
              <w:jc w:val="start"/>
              <w:rPr>
                <w:rFonts w:ascii="Arial" w:hAnsi="Arial" w:eastAsia="Arial" w:cs="Arial"/>
                <w:color w:val="0C2D4A"/>
                <w:sz w:val="17"/>
                <w:szCs w:val="17"/>
              </w:rPr>
            </w:pPr>
            <w:r>
              <w:rPr>
                <w:rFonts w:eastAsia="Arial" w:cs="Arial"/>
                <w:color w:val="0C2D4A"/>
                <w:sz w:val="17"/>
                <w:szCs w:val="17"/>
              </w:rPr>
              <w:t>Without real demo tokens, the three client pages (/live/:token, /report/:token, /presenter/:token) open as empty authenticated routes. The demo will fail.</w:t>
            </w:r>
          </w:p>
        </w:tc>
      </w:tr>
    </w:tbl>
    <w:p>
      <w:pPr>
        <w:pStyle w:val="Normal"/>
        <w:bidi w:val="0"/>
        <w:spacing w:before="0" w:after="15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9"/>
        <w:gridCol w:w="2601"/>
        <w:gridCol w:w="4500"/>
        <w:gridCol w:w="1760"/>
      </w:tblGrid>
      <w:tr>
        <w:trPr/>
        <w:tc>
          <w:tcPr>
            <w:tcW w:w="499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1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4500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Exact action required</w:t>
            </w:r>
          </w:p>
        </w:tc>
        <w:tc>
          <w:tcPr>
            <w:tcW w:w="1760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Est. time</w:t>
            </w:r>
          </w:p>
        </w:tc>
      </w:tr>
      <w:tr>
        <w:trPr/>
        <w:tc>
          <w:tcPr>
            <w:tcW w:w="4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C0291A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C0291A"/>
                <w:sz w:val="18"/>
                <w:szCs w:val="18"/>
              </w:rPr>
              <w:t>D1</w:t>
            </w:r>
          </w:p>
        </w:tc>
        <w:tc>
          <w:tcPr>
            <w:tcW w:w="260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Generate demo tokens for all 3 client pages</w:t>
            </w:r>
          </w:p>
        </w:tc>
        <w:tc>
          <w:tcPr>
            <w:tcW w:w="45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8" w:after="4"/>
              <w:jc w:val="star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1. Find the best completed session (use SQL query in Section 5).</w:t>
            </w:r>
          </w:p>
          <w:p>
            <w:pPr>
              <w:pStyle w:val="Normal"/>
              <w:bidi w:val="0"/>
              <w:spacing w:before="4" w:after="4"/>
              <w:jc w:val="star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2. Call trpc.partners.generateClientToken for that sessionId — three times with accessType: "live", "report", "presenter".</w:t>
            </w:r>
          </w:p>
          <w:p>
            <w:pPr>
              <w:pStyle w:val="Normal"/>
              <w:bidi w:val="0"/>
              <w:spacing w:before="4" w:after="8"/>
              <w:jc w:val="star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eastAsia="Arial" w:cs="Arial"/>
                <w:sz w:val="17"/>
                <w:szCs w:val="17"/>
              </w:rPr>
              <w:t>3. Note the three token strings. Share with Dave Cameron for the rollout document.</w:t>
            </w:r>
          </w:p>
        </w:tc>
        <w:tc>
          <w:tcPr>
            <w:tcW w:w="176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30 min</w:t>
            </w:r>
          </w:p>
        </w:tc>
      </w:tr>
      <w:tr>
        <w:trPr/>
        <w:tc>
          <w:tcPr>
            <w:tcW w:w="4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C0291A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C0291A"/>
                <w:sz w:val="18"/>
                <w:szCs w:val="18"/>
              </w:rPr>
              <w:t>D2</w:t>
            </w:r>
          </w:p>
        </w:tc>
        <w:tc>
          <w:tcPr>
            <w:tcW w:w="260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Verify all 3 client pages load with real data</w:t>
            </w:r>
          </w:p>
        </w:tc>
        <w:tc>
          <w:tcPr>
            <w:tcW w:w="45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Open /live/[token], /report/[token], /presenter/[token] in browser. Confirm each loads correctly with real session data. Check all tabs render. Fix any empty states or broken queries before the demo date.</w:t>
            </w:r>
          </w:p>
        </w:tc>
        <w:tc>
          <w:tcPr>
            <w:tcW w:w="176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1 hour</w:t>
            </w:r>
          </w:p>
        </w:tc>
      </w:tr>
      <w:tr>
        <w:trPr/>
        <w:tc>
          <w:tcPr>
            <w:tcW w:w="4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C0291A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C0291A"/>
                <w:sz w:val="18"/>
                <w:szCs w:val="18"/>
              </w:rPr>
              <w:t>D3</w:t>
            </w:r>
          </w:p>
        </w:tc>
        <w:tc>
          <w:tcPr>
            <w:tcW w:w="260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Provide Replit app URL to Dave Cameron</w:t>
            </w:r>
          </w:p>
        </w:tc>
        <w:tc>
          <w:tcPr>
            <w:tcW w:w="450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Share the full Replit app URL (format: https://[project].[username].replit.app). Claude will rebuild the Rollout Roadmap document with all links live and working once the URL is received.</w:t>
            </w:r>
          </w:p>
        </w:tc>
        <w:tc>
          <w:tcPr>
            <w:tcW w:w="1760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0EE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2 min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3.2  Priority 2 — Session Close Pipeline Verification</w:t>
      </w:r>
    </w:p>
    <w:p>
      <w:pPr>
        <w:pStyle w:val="Normal"/>
        <w:bidi w:val="0"/>
        <w:spacing w:before="0" w:after="5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BA7517"/>
              <w:start w:val="single" w:sz="8" w:space="0" w:color="BA7517"/>
              <w:bottom w:val="single" w:sz="8" w:space="0" w:color="BA7517"/>
              <w:end w:val="single" w:sz="8" w:space="0" w:color="BA7517"/>
            </w:tcBorders>
            <w:shd w:fill="FEF8E8" w:val="clear"/>
          </w:tcPr>
          <w:p>
            <w:pPr>
              <w:pStyle w:val="Normal"/>
              <w:bidi w:val="0"/>
              <w:spacing w:before="20" w:after="8"/>
              <w:jc w:val="start"/>
              <w:rPr>
                <w:rFonts w:ascii="Arial" w:hAnsi="Arial" w:eastAsia="Arial" w:cs="Arial"/>
                <w:b/>
                <w:bCs/>
                <w:color w:val="BA7517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BA7517"/>
                <w:sz w:val="18"/>
                <w:szCs w:val="18"/>
              </w:rPr>
              <w:t>Verify end-to-end before demo</w:t>
            </w:r>
          </w:p>
          <w:p>
            <w:pPr>
              <w:pStyle w:val="Normal"/>
              <w:bidi w:val="0"/>
              <w:spacing w:before="8" w:after="20"/>
              <w:jc w:val="start"/>
              <w:rPr>
                <w:rFonts w:ascii="Arial" w:hAnsi="Arial" w:eastAsia="Arial" w:cs="Arial"/>
                <w:color w:val="0C2D4A"/>
                <w:sz w:val="17"/>
                <w:szCs w:val="17"/>
              </w:rPr>
            </w:pPr>
            <w:r>
              <w:rPr>
                <w:rFonts w:eastAsia="Arial" w:cs="Arial"/>
                <w:color w:val="0C2D4A"/>
                <w:sz w:val="17"/>
                <w:szCs w:val="17"/>
              </w:rPr>
              <w:t>The session close pipeline code was delivered. Confirm it fires correctly by running one test session to completion and checking emails arrive.</w:t>
            </w:r>
          </w:p>
        </w:tc>
      </w:tr>
    </w:tbl>
    <w:p>
      <w:pPr>
        <w:pStyle w:val="Normal"/>
        <w:bidi w:val="0"/>
        <w:spacing w:before="0" w:after="15"/>
        <w:jc w:val="start"/>
        <w:rPr/>
      </w:pPr>
      <w:r>
        <w:rPr/>
      </w:r>
    </w:p>
    <w:p>
      <w:pPr>
        <w:pStyle w:val="Normal"/>
        <w:bidi w:val="0"/>
        <w:spacing w:before="40" w:after="8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Run this test: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Create a test session with a real recipient email address you can access.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Paste a short transcript containing forward-looking language — e.g. "we expect margins to be in the range of 20 to 22 percent next quarter".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Close the session.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Confirm within 2 minutes: compliance-only email arrives in recipient inbox listing the flag and a 48-hour JSE deadline.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Confirm within 5 minutes: post-event report email arrives with a working /report/:token link.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Confirm in database: a compliance_deadlines row was created for the session.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If any of these fail: check the session close handler in shadowModeRouter.ts against Section 10 of the Master Integration Brief v2.</w:t>
      </w:r>
    </w:p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3.3  Priority 3 — Platform Gaps (Next Sprint After Demo)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9"/>
        <w:gridCol w:w="2601"/>
        <w:gridCol w:w="4899"/>
        <w:gridCol w:w="1361"/>
      </w:tblGrid>
      <w:tr>
        <w:trPr/>
        <w:tc>
          <w:tcPr>
            <w:tcW w:w="499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1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4899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What needs building</w:t>
            </w:r>
          </w:p>
        </w:tc>
        <w:tc>
          <w:tcPr>
            <w:tcW w:w="1361" w:type="dxa"/>
            <w:tcBorders>
              <w:top w:val="single" w:sz="6" w:space="0" w:color="0A2540"/>
              <w:start w:val="single" w:sz="6" w:space="0" w:color="0A2540"/>
              <w:bottom w:val="single" w:sz="6" w:space="0" w:color="0A2540"/>
              <w:end w:val="single" w:sz="6" w:space="0" w:color="0A2540"/>
            </w:tcBorders>
            <w:shd w:fill="0A2540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>
        <w:trPr/>
        <w:tc>
          <w:tcPr>
            <w:tcW w:w="4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G1</w:t>
            </w:r>
          </w:p>
        </w:tc>
        <w:tc>
          <w:tcPr>
            <w:tcW w:w="260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Live Q&amp;A analytics during session (Gap 7.2)</w:t>
            </w:r>
          </w:p>
        </w:tc>
        <w:tc>
          <w:tcPr>
            <w:tcW w:w="48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Pattern detection live: which firm is submitting the most questions, coordinated questioning detection, escalation alert when multiple risk-flagged questions arrive from same firm. Add as "Patterns" sub-panel in Live Q&amp;A tab. Query: group approved_questions_queue by asker_firm.</w:t>
            </w:r>
          </w:p>
        </w:tc>
        <w:tc>
          <w:tcPr>
            <w:tcW w:w="13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EF8E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/>
                <w:bCs/>
                <w:color w:val="BA7517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BA7517"/>
                <w:sz w:val="18"/>
                <w:szCs w:val="18"/>
              </w:rPr>
              <w:t>High</w:t>
            </w:r>
          </w:p>
        </w:tc>
      </w:tr>
      <w:tr>
        <w:trPr/>
        <w:tc>
          <w:tcPr>
            <w:tcW w:w="4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G2</w:t>
            </w:r>
          </w:p>
        </w:tc>
        <w:tc>
          <w:tcPr>
            <w:tcW w:w="260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Board Intelligence auto-populate (Gap 9.1)</w:t>
            </w:r>
          </w:p>
        </w:tc>
        <w:tc>
          <w:tcPr>
            <w:tcW w:w="48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Wire Board Intelligence into session close pipeline. After AI report generates, extract board commitments mentioned, governance topics, and auto-score against prior commitments. Feed into board_intelligence_compass table.</w:t>
            </w:r>
          </w:p>
        </w:tc>
        <w:tc>
          <w:tcPr>
            <w:tcW w:w="13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Medium</w:t>
            </w:r>
          </w:p>
        </w:tc>
      </w:tr>
      <w:tr>
        <w:trPr/>
        <w:tc>
          <w:tcPr>
            <w:tcW w:w="4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G3</w:t>
            </w:r>
          </w:p>
        </w:tc>
        <w:tc>
          <w:tcPr>
            <w:tcW w:w="260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Cross-event comparison (Gap 3.3)</w:t>
            </w:r>
          </w:p>
        </w:tc>
        <w:tc>
          <w:tcPr>
            <w:tcW w:w="48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Add Compare button in Archives &amp; Reports. Opens side-by-side view of two sessions. Show delta on: confidence score, compliance flag count, Q&amp;A risk ratio, sentiment trend. Key for Enterprise tier clients.</w:t>
            </w:r>
          </w:p>
        </w:tc>
        <w:tc>
          <w:tcPr>
            <w:tcW w:w="13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  <w:shd w:fill="F4F5F8" w:val="clear"/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Medium</w:t>
            </w:r>
          </w:p>
        </w:tc>
      </w:tr>
      <w:tr>
        <w:trPr/>
        <w:tc>
          <w:tcPr>
            <w:tcW w:w="4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G4</w:t>
            </w:r>
          </w:p>
        </w:tc>
        <w:tc>
          <w:tcPr>
            <w:tcW w:w="260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Batch archive upload (Gap 2.3)</w:t>
            </w:r>
          </w:p>
        </w:tc>
        <w:tc>
          <w:tcPr>
            <w:tcW w:w="4899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Queue-based batch upload for onboarding clients with multiple historical recordings. Currently one upload at a time. Add batch button accepting multiple files with sequential processing and progress tracking.</w:t>
            </w:r>
          </w:p>
        </w:tc>
        <w:tc>
          <w:tcPr>
            <w:tcW w:w="1361" w:type="dxa"/>
            <w:tcBorders>
              <w:top w:val="single" w:sz="4" w:space="0" w:color="DDE0E8"/>
              <w:start w:val="single" w:sz="4" w:space="0" w:color="DDE0E8"/>
              <w:bottom w:val="single" w:sz="4" w:space="0" w:color="DDE0E8"/>
              <w:end w:val="single" w:sz="4" w:space="0" w:color="DDE0E8"/>
            </w:tcBorders>
          </w:tcPr>
          <w:p>
            <w:pPr>
              <w:pStyle w:val="Normal"/>
              <w:bidi w:val="0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color w:val="0A254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color w:val="0A2540"/>
                <w:sz w:val="18"/>
                <w:szCs w:val="18"/>
              </w:rPr>
              <w:t>Lower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1"/>
        <w:pBdr>
          <w:bottom w:val="single" w:sz="12" w:space="0" w:color="1D9E75"/>
        </w:pBdr>
        <w:bidi w:val="0"/>
        <w:spacing w:before="320" w:after="120"/>
        <w:jc w:val="start"/>
        <w:rPr>
          <w:rFonts w:ascii="Arial" w:hAnsi="Arial" w:eastAsia="Arial" w:cs="Arial"/>
          <w:b/>
          <w:bCs/>
          <w:color w:val="0A2540"/>
          <w:sz w:val="36"/>
          <w:szCs w:val="36"/>
        </w:rPr>
      </w:pPr>
      <w:r>
        <w:rPr>
          <w:rFonts w:eastAsia="Arial" w:cs="Arial" w:ascii="Arial" w:hAnsi="Arial"/>
          <w:b/>
          <w:bCs/>
          <w:color w:val="0A2540"/>
          <w:sz w:val="36"/>
          <w:szCs w:val="36"/>
        </w:rPr>
        <w:t>Section 4 — Verification Checklist</w:t>
      </w:r>
    </w:p>
    <w:p>
      <w:pPr>
        <w:pStyle w:val="Normal"/>
        <w:bidi w:val="0"/>
        <w:spacing w:before="40" w:after="80"/>
        <w:jc w:val="start"/>
        <w:rPr/>
      </w:pPr>
      <w:r>
        <w:rPr>
          <w:rFonts w:eastAsia="Arial" w:cs="Arial"/>
          <w:sz w:val="20"/>
          <w:szCs w:val="20"/>
        </w:rPr>
        <w:t>Run through every item before the Lumi demo. Tick when confirmed working.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4.1  System Health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Health Guardian: 100% score, 6 services green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All 7 background services running (check server startup logs)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10 completed sessions, no failed test data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Server running clean on port 3000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4.2  Demo Studio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/live-video/webcast/demo?simulate=1 opens and runs the full simulation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Transcript streams with speaker labels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Sentiment bars animate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At least one compliance flag fires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Q&amp;A queue fills with institutional analyst questions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4.3  Client Pages With Real Tokens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/live/[real-token] opens, all 5 tabs show real session data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/report/[real-token] opens, all 10 tabs load correctly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/presenter/[real-token] opens, shows speaker Q&amp;A display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All three pages show correct partner branding for the token owner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/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4.4  Session Lifecycle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Create session → tier selection saves to shadow_sessions.tier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Add recipients → saved to shadow_sessions.recipients JSON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Select partner → session.partner_id populated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Run readiness check → 6 items evaluated and displayed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Schedule session → appears in upcoming sessions list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At T-60 minutes → pre-event briefing email auto-sends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Session goes live → live dashboard link emails send to recipients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Session closes → compliance email sends within 2 minutes (if flags exist)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Session closes → full report email sends within 5 minutes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Compliance deadlines created in database for critical flags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4.5  Q&amp;A Pipeline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Approve question in Live Q&amp;A console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Click Send to Speaker → appears on /presenter/:token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AI talking points toggle works on presenter screen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Mark answered → question clears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4.6  Operator-Client Messaging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Open /live/:token → floating chat button visible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Send message from client → badge appears in operator console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/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Operator reply → appears on client dashboard in real time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4.7  AGM Intelligence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Create session with event_type = agm → AGM tier auto-selected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Paste segment containing "ISS" or "vote against" → signal detected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agmIntelligence.getAgmDashboard returns resolutions, signals, summary</w:t>
      </w:r>
    </w:p>
    <w:p>
      <w:pPr>
        <w:pStyle w:val="Normal"/>
        <w:bidi w:val="0"/>
        <w:spacing w:before="0" w:after="10"/>
        <w:jc w:val="start"/>
        <w:rPr/>
      </w:pPr>
      <w:r>
        <w:rPr/>
      </w:r>
    </w:p>
    <w:p>
      <w:pPr>
        <w:pStyle w:val="Heading2"/>
        <w:bidi w:val="0"/>
        <w:spacing w:before="240" w:after="100"/>
        <w:jc w:val="start"/>
        <w:rPr>
          <w:rFonts w:ascii="Arial" w:hAnsi="Arial" w:eastAsia="Arial" w:cs="Arial"/>
          <w:b/>
          <w:bCs/>
          <w:color w:val="0A2540"/>
          <w:sz w:val="26"/>
          <w:szCs w:val="26"/>
        </w:rPr>
      </w:pPr>
      <w:r>
        <w:rPr>
          <w:rFonts w:eastAsia="Arial" w:cs="Arial" w:ascii="Arial" w:hAnsi="Arial"/>
          <w:b/>
          <w:bCs/>
          <w:color w:val="0A2540"/>
          <w:sz w:val="26"/>
          <w:szCs w:val="26"/>
        </w:rPr>
        <w:t>4.8  White Label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Generate token for Lumi-tagged session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Open /live/[token] → Lumi branding applied throughout</w:t>
      </w:r>
    </w:p>
    <w:p>
      <w:pPr>
        <w:pStyle w:val="ListParagraph"/>
        <w:numPr>
          <w:ilvl w:val="0"/>
          <w:numId w:val="2"/>
        </w:numPr>
        <w:bidi w:val="0"/>
        <w:spacing w:before="28" w:after="28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□  </w:t>
      </w:r>
      <w:r>
        <w:rPr>
          <w:rFonts w:eastAsia="Arial" w:cs="Arial"/>
          <w:sz w:val="20"/>
          <w:szCs w:val="20"/>
        </w:rPr>
        <w:t>No CuraLive branding visible anywhere on the page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pBdr>
          <w:bottom w:val="single" w:sz="12" w:space="0" w:color="1D9E75"/>
        </w:pBdr>
        <w:bidi w:val="0"/>
        <w:spacing w:before="320" w:after="120"/>
        <w:jc w:val="start"/>
        <w:rPr>
          <w:rFonts w:ascii="Arial" w:hAnsi="Arial" w:eastAsia="Arial" w:cs="Arial"/>
          <w:b/>
          <w:bCs/>
          <w:color w:val="0A2540"/>
          <w:sz w:val="36"/>
          <w:szCs w:val="36"/>
        </w:rPr>
      </w:pPr>
      <w:r>
        <w:rPr>
          <w:rFonts w:eastAsia="Arial" w:cs="Arial" w:ascii="Arial" w:hAnsi="Arial"/>
          <w:b/>
          <w:bCs/>
          <w:color w:val="0A2540"/>
          <w:sz w:val="36"/>
          <w:szCs w:val="36"/>
        </w:rPr>
        <w:t>Section 5 — SQL Quick Reference</w:t>
      </w:r>
    </w:p>
    <w:p>
      <w:pPr>
        <w:pStyle w:val="Normal"/>
        <w:bidi w:val="0"/>
        <w:spacing w:before="40" w:after="8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Ready-to-run queries for verification and demo preparation. Paste directly into the Replit database console.</w:t>
      </w:r>
    </w:p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3"/>
        <w:bidi w:val="0"/>
        <w:spacing w:before="180" w:after="60"/>
        <w:jc w:val="start"/>
        <w:rPr>
          <w:rFonts w:ascii="Arial" w:hAnsi="Arial" w:eastAsia="Arial" w:cs="Arial"/>
          <w:b/>
          <w:bCs/>
          <w:color w:val="0C2D4A"/>
          <w:sz w:val="22"/>
          <w:szCs w:val="22"/>
        </w:rPr>
      </w:pPr>
      <w:r>
        <w:rPr>
          <w:rFonts w:eastAsia="Arial" w:cs="Arial" w:ascii="Arial" w:hAnsi="Arial"/>
          <w:b/>
          <w:bCs/>
          <w:color w:val="0C2D4A"/>
          <w:sz w:val="22"/>
          <w:szCs w:val="22"/>
        </w:rPr>
        <w:t>Verify all 19 new tables exist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A3650"/>
              <w:start w:val="single" w:sz="6" w:space="0" w:color="2A3650"/>
              <w:bottom w:val="single" w:sz="6" w:space="0" w:color="2A3650"/>
              <w:end w:val="single" w:sz="6" w:space="0" w:color="2A3650"/>
            </w:tcBorders>
            <w:shd w:fill="1A2035" w:val="clear"/>
          </w:tcPr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SELECT table_name FROM information_schema.tables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WHERE table_name IN (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'session_messages', 'session_handoffs', 'session_operators',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'session_markers', 'session_readiness_checks', 'scheduled_sessions',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'client_tokens', 'client_report_access', 'client_report_feedback',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'client_report_view_log', 'partners', 'partner_events',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'agm_resolutions', 'agm_shareholder_signals', 'agm_governance_scores',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'approved_questions_queue', 'compliance_deadlines',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'historical_commitments', 'board_members'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) ORDER BY table_name;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-- Expected: 19 rows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3"/>
        <w:bidi w:val="0"/>
        <w:spacing w:before="180" w:after="60"/>
        <w:jc w:val="start"/>
        <w:rPr>
          <w:rFonts w:ascii="Arial" w:hAnsi="Arial" w:eastAsia="Arial" w:cs="Arial"/>
          <w:b/>
          <w:bCs/>
          <w:color w:val="0C2D4A"/>
          <w:sz w:val="22"/>
          <w:szCs w:val="22"/>
        </w:rPr>
      </w:pPr>
      <w:r>
        <w:rPr>
          <w:rFonts w:eastAsia="Arial" w:cs="Arial" w:ascii="Arial" w:hAnsi="Arial"/>
          <w:b/>
          <w:bCs/>
          <w:color w:val="0C2D4A"/>
          <w:sz w:val="22"/>
          <w:szCs w:val="22"/>
        </w:rPr>
        <w:t>Verify shadow_sessions has all 7 new columns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A3650"/>
              <w:start w:val="single" w:sz="6" w:space="0" w:color="2A3650"/>
              <w:bottom w:val="single" w:sz="6" w:space="0" w:color="2A3650"/>
              <w:end w:val="single" w:sz="6" w:space="0" w:color="2A3650"/>
            </w:tcBorders>
            <w:shd w:fill="1A2035" w:val="clear"/>
          </w:tcPr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SELECT column_name FROM information_schema.columns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WHERE table_name = 'shadow_sessions'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AND column_name IN (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'tier', 'partner_id', 'recipients',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'scheduled_at', 'pre_brief_sent_at',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'live_links_sent_at', 'report_links_sent_at'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)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ORDER BY column_name;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-- Expected: 7 rows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3"/>
        <w:bidi w:val="0"/>
        <w:spacing w:before="180" w:after="60"/>
        <w:jc w:val="start"/>
        <w:rPr/>
      </w:pPr>
      <w:r>
        <w:rPr>
          <w:rFonts w:eastAsia="Arial" w:cs="Arial" w:ascii="Arial" w:hAnsi="Arial"/>
          <w:b/>
          <w:bCs/>
          <w:color w:val="0C2D4A"/>
          <w:sz w:val="22"/>
          <w:szCs w:val="22"/>
        </w:rPr>
        <w:t>Find best session for demo tokens (most compliance flags)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A3650"/>
              <w:start w:val="single" w:sz="6" w:space="0" w:color="2A3650"/>
              <w:bottom w:val="single" w:sz="6" w:space="0" w:color="2A3650"/>
              <w:end w:val="single" w:sz="6" w:space="0" w:color="2A3650"/>
            </w:tcBorders>
            <w:shd w:fill="1A2035" w:val="clear"/>
          </w:tcPr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SELECT s.id, s.event_name, s.company, s.status,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COUNT(rf.id) AS flag_count,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s.created_at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FROM shadow_sessions s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LEFT JOIN regulatory_flags rf ON rf.session_id = s.id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WHERE s.status = 'completed'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GROUP BY s.id, s.event_name, s.company, s.status, s.created_at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ORDER BY flag_count DESC, s.created_at DESC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LIMIT 5;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3"/>
        <w:bidi w:val="0"/>
        <w:spacing w:before="180" w:after="60"/>
        <w:jc w:val="start"/>
        <w:rPr>
          <w:rFonts w:ascii="Arial" w:hAnsi="Arial" w:eastAsia="Arial" w:cs="Arial"/>
          <w:b/>
          <w:bCs/>
          <w:color w:val="0C2D4A"/>
          <w:sz w:val="22"/>
          <w:szCs w:val="22"/>
        </w:rPr>
      </w:pPr>
      <w:r>
        <w:rPr>
          <w:rFonts w:eastAsia="Arial" w:cs="Arial" w:ascii="Arial" w:hAnsi="Arial"/>
          <w:b/>
          <w:bCs/>
          <w:color w:val="0C2D4A"/>
          <w:sz w:val="22"/>
          <w:szCs w:val="22"/>
        </w:rPr>
        <w:t>Generate demo tokens (replace SESSION_ID with actual id)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A3650"/>
              <w:start w:val="single" w:sz="6" w:space="0" w:color="2A3650"/>
              <w:bottom w:val="single" w:sz="6" w:space="0" w:color="2A3650"/>
              <w:end w:val="single" w:sz="6" w:space="0" w:color="2A3650"/>
            </w:tcBorders>
            <w:shd w:fill="1A2035" w:val="clear"/>
          </w:tcPr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INSERT INTO client_tokens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(token, session_id, recipient_name, recipient_email, access_type, expires_at)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VALUES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('demo-live-001',      SESSION_ID, 'Demo User', 'demo@example.com', 'live',      NOW() + INTERVAL '30 days'),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('demo-report-001',    SESSION_ID, 'Demo User', 'demo@example.com', 'report',    NOW() + INTERVAL '30 days'),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('demo-presenter-001', SESSION_ID, 'Demo User', 'demo@example.com', 'presenter', NOW() + INTERVAL '30 days');</w:t>
            </w:r>
          </w:p>
          <w:p>
            <w:pPr>
              <w:pStyle w:val="Normal"/>
              <w:bidi w:val="0"/>
              <w:spacing w:before="8" w:after="8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-- Demo links then become: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-- /live/demo-live-001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-- /report/demo-report-001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-- /presenter/demo-presenter-001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3"/>
        <w:bidi w:val="0"/>
        <w:spacing w:before="180" w:after="60"/>
        <w:jc w:val="start"/>
        <w:rPr>
          <w:rFonts w:ascii="Arial" w:hAnsi="Arial" w:eastAsia="Arial" w:cs="Arial"/>
          <w:b/>
          <w:bCs/>
          <w:color w:val="0C2D4A"/>
          <w:sz w:val="22"/>
          <w:szCs w:val="22"/>
        </w:rPr>
      </w:pPr>
      <w:r>
        <w:rPr>
          <w:rFonts w:eastAsia="Arial" w:cs="Arial" w:ascii="Arial" w:hAnsi="Arial"/>
          <w:b/>
          <w:bCs/>
          <w:color w:val="0C2D4A"/>
          <w:sz w:val="22"/>
          <w:szCs w:val="22"/>
        </w:rPr>
        <w:t>Activate Lumi white label (when they provide brand assets)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A3650"/>
              <w:start w:val="single" w:sz="6" w:space="0" w:color="2A3650"/>
              <w:bottom w:val="single" w:sz="6" w:space="0" w:color="2A3650"/>
              <w:end w:val="single" w:sz="6" w:space="0" w:color="2A3650"/>
            </w:tcBorders>
            <w:shd w:fill="1A2035" w:val="clear"/>
          </w:tcPr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UPDATE partners SET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logo_url               = 'https://[lumi-logo-cdn-url]',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primary_color          = '#[lumi-primary-hex]',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accent_color           = '#[lumi-secondary-hex]',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custom_domain          = 'intelligence.lumigroup.com',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custom_domain_verified = true,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sending_domain         = 'lumigroup.com',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sending_name           = 'Lumi Intelligence',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sending_email          = 'noreply@lumigroup.com'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WHERE slug = 'lumi';</w:t>
            </w:r>
          </w:p>
          <w:p>
            <w:pPr>
              <w:pStyle w:val="Normal"/>
              <w:bidi w:val="0"/>
              <w:spacing w:before="8" w:after="8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-- Lumi IT adds 3 DNS records: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-- CNAME  intelligence.lumigroup.com  →  [your-replit-app-url]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-- TXT    lumigroup.com               →  Resend SPF record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-- CNAME  resend._domainkey.[...]     →  Resend DKIM record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3"/>
        <w:bidi w:val="0"/>
        <w:spacing w:before="180" w:after="60"/>
        <w:jc w:val="start"/>
        <w:rPr>
          <w:rFonts w:ascii="Arial" w:hAnsi="Arial" w:eastAsia="Arial" w:cs="Arial"/>
          <w:b/>
          <w:bCs/>
          <w:color w:val="0C2D4A"/>
          <w:sz w:val="22"/>
          <w:szCs w:val="22"/>
        </w:rPr>
      </w:pPr>
      <w:r>
        <w:rPr>
          <w:rFonts w:eastAsia="Arial" w:cs="Arial" w:ascii="Arial" w:hAnsi="Arial"/>
          <w:b/>
          <w:bCs/>
          <w:color w:val="0C2D4A"/>
          <w:sz w:val="22"/>
          <w:szCs w:val="22"/>
        </w:rPr>
        <w:t>Check compliance deadlines created correctly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A3650"/>
              <w:start w:val="single" w:sz="6" w:space="0" w:color="2A3650"/>
              <w:bottom w:val="single" w:sz="6" w:space="0" w:color="2A3650"/>
              <w:end w:val="single" w:sz="6" w:space="0" w:color="2A3650"/>
            </w:tcBorders>
            <w:shd w:fill="1A2035" w:val="clear"/>
          </w:tcPr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SELECT cd.id, cd.action, cd.deadline, cd.status, cd.jurisdiction, s.event_name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FROM compliance_deadlines cd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JOIN shadow_sessions s ON s.id = cd.session_id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ORDER BY cd.created_at DESC LIMIT 10;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Heading3"/>
        <w:bidi w:val="0"/>
        <w:spacing w:before="180" w:after="60"/>
        <w:jc w:val="start"/>
        <w:rPr>
          <w:rFonts w:ascii="Arial" w:hAnsi="Arial" w:eastAsia="Arial" w:cs="Arial"/>
          <w:b/>
          <w:bCs/>
          <w:color w:val="0C2D4A"/>
          <w:sz w:val="22"/>
          <w:szCs w:val="22"/>
        </w:rPr>
      </w:pPr>
      <w:r>
        <w:rPr>
          <w:rFonts w:eastAsia="Arial" w:cs="Arial" w:ascii="Arial" w:hAnsi="Arial"/>
          <w:b/>
          <w:bCs/>
          <w:color w:val="0C2D4A"/>
          <w:sz w:val="22"/>
          <w:szCs w:val="22"/>
        </w:rPr>
        <w:t>Check client tokens and email delivery status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A3650"/>
              <w:start w:val="single" w:sz="6" w:space="0" w:color="2A3650"/>
              <w:bottom w:val="single" w:sz="6" w:space="0" w:color="2A3650"/>
              <w:end w:val="single" w:sz="6" w:space="0" w:color="2A3650"/>
            </w:tcBorders>
            <w:shd w:fill="1A2035" w:val="clear"/>
          </w:tcPr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SELECT ct.token, ct.recipient_email, ct.access_type,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ct.email_sent_at, ct.use_count, s.event_name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FROM client_tokens ct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JOIN shadow_sessions s ON s.id = ct.session_id</w:t>
            </w:r>
          </w:p>
          <w:p>
            <w:pPr>
              <w:pStyle w:val="Normal"/>
              <w:bidi w:val="0"/>
              <w:spacing w:before="8" w:after="8"/>
              <w:jc w:val="start"/>
              <w:rPr>
                <w:rFonts w:ascii="Courier New" w:hAnsi="Courier New" w:eastAsia="Courier New" w:cs="Courier New"/>
                <w:color w:val="7DD3FC"/>
                <w:sz w:val="17"/>
                <w:szCs w:val="17"/>
              </w:rPr>
            </w:pPr>
            <w:r>
              <w:rPr>
                <w:rFonts w:eastAsia="Courier New" w:cs="Courier New" w:ascii="Courier New" w:hAnsi="Courier New"/>
                <w:color w:val="7DD3FC"/>
                <w:sz w:val="17"/>
                <w:szCs w:val="17"/>
              </w:rPr>
              <w:t>ORDER BY ct.created_at DESC LIMIT 20;</w:t>
            </w:r>
          </w:p>
        </w:tc>
      </w:tr>
    </w:tbl>
    <w:p>
      <w:pPr>
        <w:pStyle w:val="Normal"/>
        <w:bidi w:val="0"/>
        <w:spacing w:before="0" w:after="40"/>
        <w:jc w:val="star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000" w:right="100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DDE0E8"/>
      </w:pBdr>
      <w:bidi w:val="0"/>
      <w:spacing w:before="80" w:after="0"/>
      <w:jc w:val="center"/>
      <w:rPr/>
    </w:pPr>
    <w:r>
      <w:rPr>
        <w:rFonts w:eastAsia="Arial" w:cs="Arial"/>
        <w:color w:val="6B7280"/>
        <w:sz w:val="16"/>
        <w:szCs w:val="16"/>
      </w:rPr>
      <w:t xml:space="preserve">CuraLive  ·  Replit Brief  ·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6B7280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1D9E75"/>
      </w:pBdr>
      <w:bidi w:val="0"/>
      <w:spacing w:before="0" w:after="80"/>
      <w:jc w:val="center"/>
      <w:rPr>
        <w:rFonts w:ascii="Arial" w:hAnsi="Arial" w:eastAsia="Arial" w:cs="Arial"/>
        <w:color w:val="6B7280"/>
        <w:sz w:val="16"/>
        <w:szCs w:val="16"/>
      </w:rPr>
    </w:pPr>
    <w:r>
      <w:rPr>
        <w:rFonts w:eastAsia="Arial" w:cs="Arial"/>
        <w:color w:val="6B7280"/>
        <w:sz w:val="16"/>
        <w:szCs w:val="16"/>
      </w:rPr>
      <w:t>CuraLive  ·  Comprehensive Replit Brief  ·  April 2026  ·  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54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0"/>
      </w:numPr>
      <w:spacing w:before="320" w:after="120"/>
      <w:outlineLvl w:val="0"/>
    </w:pPr>
    <w:rPr>
      <w:rFonts w:ascii="Arial" w:hAnsi="Arial" w:eastAsia="Arial" w:cs="Arial"/>
      <w:b/>
      <w:bCs/>
      <w:color w:val="0A2540"/>
      <w:sz w:val="36"/>
      <w:szCs w:val="36"/>
    </w:rPr>
  </w:style>
  <w:style w:type="paragraph" w:styleId="Heading2">
    <w:name w:val="Heading 2"/>
    <w:basedOn w:val="Heading"/>
    <w:qFormat/>
    <w:pPr>
      <w:numPr>
        <w:ilvl w:val="0"/>
        <w:numId w:val="0"/>
      </w:numPr>
      <w:spacing w:before="240" w:after="100"/>
      <w:outlineLvl w:val="1"/>
    </w:pPr>
    <w:rPr>
      <w:rFonts w:ascii="Arial" w:hAnsi="Arial" w:eastAsia="Arial" w:cs="Arial"/>
      <w:b/>
      <w:bCs/>
      <w:color w:val="0A2540"/>
      <w:sz w:val="26"/>
      <w:szCs w:val="26"/>
    </w:rPr>
  </w:style>
  <w:style w:type="paragraph" w:styleId="Heading3">
    <w:name w:val="Heading 3"/>
    <w:basedOn w:val="Heading"/>
    <w:qFormat/>
    <w:pPr>
      <w:numPr>
        <w:ilvl w:val="0"/>
        <w:numId w:val="0"/>
      </w:numPr>
      <w:spacing w:before="180" w:after="60"/>
      <w:outlineLvl w:val="2"/>
    </w:pPr>
    <w:rPr>
      <w:rFonts w:ascii="Arial" w:hAnsi="Arial" w:eastAsia="Arial" w:cs="Arial"/>
      <w:b/>
      <w:bCs/>
      <w:color w:val="0C2D4A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12</Pages>
  <Words>2481</Words>
  <Characters>16054</Characters>
  <CharactersWithSpaces>18353</CharactersWithSpaces>
  <Paragraphs>408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2026-04-03T15:13:40Z</dcterms:created>
  <dc:creator>Un-named</dc:creator>
  <dc:description/>
  <dc:language>en-US</dc:language>
  <cp:lastModifiedBy>Un-named</cp:lastModifiedBy>
  <dcterms:modified xsi:type="dcterms:W3CDTF">2026-04-03T15:13:40Z</dcterms:modified>
  <cp:revision>1</cp:revision>
  <dc:subject/>
  <dc:title/>
</cp:coreProperties>
</file>