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1D4ED8" w:val="solid"/>
            <w:tcMar>
              <w:top w:type="dxa" w:w="160"/>
              <w:left w:type="dxa" w:w="280"/>
              <w:bottom w:type="dxa" w:w="160"/>
              <w:right w:type="dxa" w:w="280"/>
            </w:tcMar>
            <w:vAlign w:val="center"/>
          </w:tcPr>
          <w:p>
            <w:pPr>
              <w:spacing w:after="0" w:before="0"/>
              <w:jc w:val="center"/>
            </w:pPr>
            <w:r>
              <w:rPr>
                <w:b/>
                <w:bCs/>
                <w:color w:val="FFFFFF"/>
                <w:sz w:val="26"/>
                <w:szCs w:val="26"/>
              </w:rPr>
              <w:t xml:space="preserve">CuraLive — Resilience &amp; Disaster Recovery</w:t>
            </w:r>
          </w:p>
        </w:tc>
      </w:tr>
    </w:tbl>
    <w:p>
      <w:pPr>
        <w:spacing w:after="0" w:before="12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991B1B" w:val="solid"/>
            <w:tcMar>
              <w:top w:type="dxa" w:w="80"/>
              <w:left w:type="dxa" w:w="280"/>
              <w:bottom w:type="dxa" w:w="80"/>
              <w:right w:type="dxa" w:w="280"/>
            </w:tcMar>
          </w:tcPr>
          <w:p>
            <w:pPr>
              <w:jc w:val="center"/>
            </w:pPr>
            <w:r>
              <w:rPr>
                <w:b/>
                <w:bCs/>
                <w:color w:val="FFFFFF"/>
                <w:sz w:val="20"/>
                <w:szCs w:val="20"/>
              </w:rPr>
              <w:t xml:space="preserve">CURRENT STATE — WHAT WE HAVE TODAY</w:t>
            </w:r>
          </w:p>
        </w:tc>
      </w:tr>
    </w:tbl>
    <w:p>
      <w:pPr>
        <w:spacing w:after="0" w:before="60"/>
      </w:pPr>
    </w:p>
    <w:p>
      <w:pPr>
        <w:spacing w:after="0" w:before="100"/>
        <w:ind w:left="360"/>
      </w:pPr>
      <w:r>
        <w:rPr>
          <w:color w:val="1F2937"/>
          <w:sz w:val="21"/>
          <w:szCs w:val="21"/>
        </w:rPr>
        <w:t xml:space="preserve">•  Single cloud region (Replit — US-based infrastructure)</w:t>
      </w:r>
    </w:p>
    <w:p>
      <w:pPr>
        <w:spacing w:after="0" w:before="100"/>
        <w:ind w:left="360"/>
      </w:pPr>
      <w:r>
        <w:rPr>
          <w:color w:val="1F2937"/>
          <w:sz w:val="21"/>
          <w:szCs w:val="21"/>
        </w:rPr>
        <w:t xml:space="preserve">•  Single PostgreSQL database instance</w:t>
      </w:r>
    </w:p>
    <w:p>
      <w:pPr>
        <w:spacing w:after="0" w:before="100"/>
        <w:ind w:left="360"/>
      </w:pPr>
      <w:r>
        <w:rPr>
          <w:color w:val="1F2937"/>
          <w:sz w:val="21"/>
          <w:szCs w:val="21"/>
        </w:rPr>
        <w:t xml:space="preserve">•  Twilio handles all telephony — already operates globally across multiple data centres</w:t>
      </w:r>
    </w:p>
    <w:p>
      <w:pPr>
        <w:spacing w:after="0" w:before="100"/>
        <w:ind w:left="360"/>
      </w:pPr>
      <w:r>
        <w:rPr>
          <w:color w:val="1F2937"/>
          <w:sz w:val="21"/>
          <w:szCs w:val="21"/>
        </w:rPr>
        <w:t xml:space="preserve">•  No automatic failover if the application server goes down</w:t>
      </w:r>
    </w:p>
    <w:p>
      <w:pPr>
        <w:spacing w:after="0" w:before="100"/>
        <w:ind w:left="360"/>
      </w:pPr>
      <w:r>
        <w:rPr>
          <w:color w:val="1F2937"/>
          <w:sz w:val="21"/>
          <w:szCs w:val="21"/>
        </w:rPr>
        <w:t xml:space="preserve">•  If the server crashes, calls in progress through Twilio remain connected but the OCC interface is temporarily unavailable</w:t>
      </w:r>
    </w:p>
    <w:p>
      <w:pPr>
        <w:spacing w:after="0" w:before="80"/>
      </w:pPr>
    </w:p>
    <w:p>
      <w:pPr>
        <w:spacing w:after="120" w:before="120"/>
        <w:ind w:left="200"/>
      </w:pPr>
      <w:r>
        <w:rPr>
          <w:color w:val="374151"/>
          <w:sz w:val="21"/>
          <w:szCs w:val="21"/>
        </w:rPr>
        <w:t xml:space="preserve">This is normal for a platform at this stage. The architecture is ready for multi-region — it just hasn’t been deployed that way yet.</w:t>
      </w:r>
    </w:p>
    <w:p>
      <w:pPr>
        <w:spacing w:after="70" w:before="70"/>
        <w:jc w:val="center"/>
      </w:pPr>
      <w:r>
        <w:rPr>
          <w:b/>
          <w:bCs/>
          <w:color w:val="6B7280"/>
          <w:sz w:val="28"/>
          <w:szCs w:val="28"/>
        </w:rPr>
        <w:t xml:space="preserv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065F46" w:val="solid"/>
            <w:tcMar>
              <w:top w:type="dxa" w:w="80"/>
              <w:left w:type="dxa" w:w="280"/>
              <w:bottom w:type="dxa" w:w="80"/>
              <w:right w:type="dxa" w:w="280"/>
            </w:tcMar>
          </w:tcPr>
          <w:p>
            <w:pPr>
              <w:jc w:val="center"/>
            </w:pPr>
            <w:r>
              <w:rPr>
                <w:b/>
                <w:bCs/>
                <w:color w:val="FFFFFF"/>
                <w:sz w:val="20"/>
                <w:szCs w:val="20"/>
              </w:rPr>
              <w:t xml:space="preserve">WHAT CAN BE PUT IN PLACE</w:t>
            </w:r>
          </w:p>
        </w:tc>
      </w:tr>
    </w:tbl>
    <w:p>
      <w:pPr>
        <w:spacing w:after="0" w:before="8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tblGrid>
      <w:tr>
        <w:tc>
          <w:tcPr>
            <w:tcW w:type="dxa" w:w="4380"/>
            <w:tcBorders>
              <w:top w:val="none" w:color="FFFFFF" w:sz="0"/>
              <w:left w:val="none" w:color="FFFFFF" w:sz="0"/>
              <w:bottom w:val="none" w:color="FFFFFF" w:sz="0"/>
              <w:right w:val="none" w:color="FFFFFF" w:sz="0"/>
            </w:tcBorders>
            <w:shd w:color="065F46" w:val="solid"/>
            <w:tcMar>
              <w:top w:type="dxa" w:w="140"/>
              <w:left w:type="dxa" w:w="200"/>
              <w:bottom w:type="dxa" w:w="140"/>
              <w:right w:type="dxa" w:w="200"/>
            </w:tcMar>
            <w:vAlign w:val="center"/>
          </w:tcPr>
          <w:p>
            <w:pPr>
              <w:spacing w:after="30" w:before="0"/>
              <w:jc w:val="center"/>
            </w:pPr>
            <w:r>
              <w:rPr>
                <w:b/>
                <w:bCs/>
                <w:color w:val="FFFFFF"/>
                <w:sz w:val="21"/>
                <w:szCs w:val="21"/>
              </w:rPr>
              <w:t xml:space="preserve">🇱🇦  PRIMARY REGION</w:t>
            </w:r>
          </w:p>
          <w:p>
            <w:pPr>
              <w:spacing w:after="30" w:before="0"/>
              <w:jc w:val="center"/>
            </w:pPr>
            <w:r>
              <w:rPr>
                <w:b w:val="false"/>
                <w:bCs w:val="false"/>
                <w:color w:val="FFFFFF"/>
                <w:sz w:val="17"/>
                <w:szCs w:val="17"/>
              </w:rPr>
              <w:t xml:space="preserve">EU / London or South Africa</w:t>
            </w:r>
          </w:p>
          <w:p>
            <w:pPr>
              <w:spacing w:after="30" w:before="0"/>
              <w:jc w:val="center"/>
            </w:pPr>
            <w:r>
              <w:rPr>
                <w:b w:val="false"/>
                <w:bCs w:val="false"/>
                <w:color w:val="FFFFFF"/>
                <w:sz w:val="17"/>
                <w:szCs w:val="17"/>
              </w:rPr>
              <w:t xml:space="preserve">Main application server</w:t>
            </w:r>
          </w:p>
          <w:p>
            <w:pPr>
              <w:spacing w:after="30" w:before="0"/>
              <w:jc w:val="center"/>
            </w:pPr>
            <w:r>
              <w:rPr>
                <w:b w:val="false"/>
                <w:bCs w:val="false"/>
                <w:color w:val="FFFFFF"/>
                <w:sz w:val="17"/>
                <w:szCs w:val="17"/>
              </w:rPr>
              <w:t xml:space="preserve">Primary database</w:t>
            </w:r>
          </w:p>
          <w:p>
            <w:pPr>
              <w:spacing w:after="30" w:before="0"/>
              <w:jc w:val="center"/>
            </w:pPr>
            <w:r>
              <w:rPr>
                <w:b w:val="false"/>
                <w:bCs w:val="false"/>
                <w:color w:val="FFFFFF"/>
                <w:sz w:val="17"/>
                <w:szCs w:val="17"/>
              </w:rPr>
              <w:t xml:space="preserve">Handles all live traffic</w:t>
            </w:r>
          </w:p>
        </w:tc>
        <w:tc>
          <w:tcPr>
            <w:tcW w:type="dxa" w:w="240"/>
            <w:tcBorders>
              <w:top w:val="none" w:color="FFFFFF" w:sz="0"/>
              <w:left w:val="none" w:color="FFFFFF" w:sz="0"/>
              <w:bottom w:val="none" w:color="FFFFFF" w:sz="0"/>
              <w:right w:val="none" w:color="FFFFFF" w:sz="0"/>
            </w:tcBorders>
          </w:tcPr>
          <w:p/>
        </w:tc>
        <w:tc>
          <w:tcPr>
            <w:tcW w:type="dxa" w:w="4380"/>
            <w:tcBorders>
              <w:top w:val="none" w:color="FFFFFF" w:sz="0"/>
              <w:left w:val="none" w:color="FFFFFF" w:sz="0"/>
              <w:bottom w:val="none" w:color="FFFFFF" w:sz="0"/>
              <w:right w:val="none" w:color="FFFFFF" w:sz="0"/>
            </w:tcBorders>
            <w:shd w:color="1E40AF" w:val="solid"/>
            <w:tcMar>
              <w:top w:type="dxa" w:w="140"/>
              <w:left w:type="dxa" w:w="200"/>
              <w:bottom w:type="dxa" w:w="140"/>
              <w:right w:type="dxa" w:w="200"/>
            </w:tcMar>
            <w:vAlign w:val="center"/>
          </w:tcPr>
          <w:p>
            <w:pPr>
              <w:spacing w:after="30" w:before="0"/>
              <w:jc w:val="center"/>
            </w:pPr>
            <w:r>
              <w:rPr>
                <w:b/>
                <w:bCs/>
                <w:color w:val="FFFFFF"/>
                <w:sz w:val="21"/>
                <w:szCs w:val="21"/>
              </w:rPr>
              <w:t xml:space="preserve">🇺🇸  SECONDARY REGION</w:t>
            </w:r>
          </w:p>
          <w:p>
            <w:pPr>
              <w:spacing w:after="30" w:before="0"/>
              <w:jc w:val="center"/>
            </w:pPr>
            <w:r>
              <w:rPr>
                <w:b w:val="false"/>
                <w:bCs w:val="false"/>
                <w:color w:val="FFFFFF"/>
                <w:sz w:val="17"/>
                <w:szCs w:val="17"/>
              </w:rPr>
              <w:t xml:space="preserve">US East or alternative country</w:t>
            </w:r>
          </w:p>
          <w:p>
            <w:pPr>
              <w:spacing w:after="30" w:before="0"/>
              <w:jc w:val="center"/>
            </w:pPr>
            <w:r>
              <w:rPr>
                <w:b w:val="false"/>
                <w:bCs w:val="false"/>
                <w:color w:val="FFFFFF"/>
                <w:sz w:val="17"/>
                <w:szCs w:val="17"/>
              </w:rPr>
              <w:t xml:space="preserve">Standby application server</w:t>
            </w:r>
          </w:p>
          <w:p>
            <w:pPr>
              <w:spacing w:after="30" w:before="0"/>
              <w:jc w:val="center"/>
            </w:pPr>
            <w:r>
              <w:rPr>
                <w:b w:val="false"/>
                <w:bCs w:val="false"/>
                <w:color w:val="FFFFFF"/>
                <w:sz w:val="17"/>
                <w:szCs w:val="17"/>
              </w:rPr>
              <w:t xml:space="preserve">Replica database</w:t>
            </w:r>
          </w:p>
          <w:p>
            <w:pPr>
              <w:spacing w:after="30" w:before="0"/>
              <w:jc w:val="center"/>
            </w:pPr>
            <w:r>
              <w:rPr>
                <w:b w:val="false"/>
                <w:bCs w:val="false"/>
                <w:color w:val="FFFFFF"/>
                <w:sz w:val="17"/>
                <w:szCs w:val="17"/>
              </w:rPr>
              <w:t xml:space="preserve">Takes over if primary fails</w:t>
            </w:r>
          </w:p>
        </w:tc>
      </w:tr>
    </w:tbl>
    <w:p>
      <w:pPr>
        <w:spacing w:after="0" w:before="60"/>
      </w:pPr>
    </w:p>
    <w:p>
      <w:pPr>
        <w:spacing w:after="120" w:before="120"/>
        <w:ind w:left="200"/>
      </w:pPr>
      <w:r>
        <w:rPr>
          <w:color w:val="374151"/>
          <w:sz w:val="21"/>
          <w:szCs w:val="21"/>
        </w:rPr>
        <w:t xml:space="preserve">The two regions sync continuously. The secondary is a hot standby — always running, always ready, always up to date.</w:t>
      </w:r>
    </w:p>
    <w:p>
      <w:pPr>
        <w:spacing w:after="70" w:before="70"/>
        <w:jc w:val="center"/>
      </w:pPr>
      <w:r>
        <w:rPr>
          <w:b/>
          <w:bCs/>
          <w:color w:val="6B7280"/>
          <w:sz w:val="28"/>
          <w:szCs w:val="28"/>
        </w:rPr>
        <w:t xml:space="preserv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B45309" w:val="solid"/>
            <w:tcMar>
              <w:top w:type="dxa" w:w="80"/>
              <w:left w:type="dxa" w:w="280"/>
              <w:bottom w:type="dxa" w:w="80"/>
              <w:right w:type="dxa" w:w="280"/>
            </w:tcMar>
          </w:tcPr>
          <w:p>
            <w:pPr>
              <w:jc w:val="center"/>
            </w:pPr>
            <w:r>
              <w:rPr>
                <w:b/>
                <w:bCs/>
                <w:color w:val="FFFFFF"/>
                <w:sz w:val="20"/>
                <w:szCs w:val="20"/>
              </w:rPr>
              <w:t xml:space="preserve">HOW FAILOVER WORKS</w:t>
            </w:r>
          </w:p>
        </w:tc>
      </w:tr>
    </w:tbl>
    <w:p>
      <w:pPr>
        <w:spacing w:after="0" w:before="60"/>
      </w:pPr>
    </w:p>
    <w:p>
      <w:pPr>
        <w:spacing w:after="0" w:before="100"/>
        <w:ind w:left="360"/>
      </w:pPr>
      <w:r>
        <w:rPr>
          <w:b/>
          <w:bCs/>
          <w:color w:val="374151"/>
          <w:sz w:val="21"/>
          <w:szCs w:val="21"/>
        </w:rPr>
        <w:t xml:space="preserve">1.  </w:t>
      </w:r>
      <w:r>
        <w:rPr>
          <w:color w:val="1F2937"/>
          <w:sz w:val="21"/>
          <w:szCs w:val="21"/>
        </w:rPr>
        <w:t xml:space="preserve">Primary region goes down (server crash, network outage, data centre issue)</w:t>
      </w:r>
    </w:p>
    <w:p>
      <w:pPr>
        <w:spacing w:after="0" w:before="100"/>
        <w:ind w:left="360"/>
      </w:pPr>
      <w:r>
        <w:rPr>
          <w:b/>
          <w:bCs/>
          <w:color w:val="374151"/>
          <w:sz w:val="21"/>
          <w:szCs w:val="21"/>
        </w:rPr>
        <w:t xml:space="preserve">2.  </w:t>
      </w:r>
      <w:r>
        <w:rPr>
          <w:color w:val="1F2937"/>
          <w:sz w:val="21"/>
          <w:szCs w:val="21"/>
        </w:rPr>
        <w:t xml:space="preserve">Health check detects the failure within 30–60 seconds</w:t>
      </w:r>
    </w:p>
    <w:p>
      <w:pPr>
        <w:spacing w:after="0" w:before="100"/>
        <w:ind w:left="360"/>
      </w:pPr>
      <w:r>
        <w:rPr>
          <w:b/>
          <w:bCs/>
          <w:color w:val="374151"/>
          <w:sz w:val="21"/>
          <w:szCs w:val="21"/>
        </w:rPr>
        <w:t xml:space="preserve">3.  </w:t>
      </w:r>
      <w:r>
        <w:rPr>
          <w:color w:val="1F2937"/>
          <w:sz w:val="21"/>
          <w:szCs w:val="21"/>
        </w:rPr>
        <w:t xml:space="preserve">DNS automatically switches all traffic to the secondary region</w:t>
      </w:r>
    </w:p>
    <w:p>
      <w:pPr>
        <w:spacing w:after="0" w:before="100"/>
        <w:ind w:left="360"/>
      </w:pPr>
      <w:r>
        <w:rPr>
          <w:b/>
          <w:bCs/>
          <w:color w:val="374151"/>
          <w:sz w:val="21"/>
          <w:szCs w:val="21"/>
        </w:rPr>
        <w:t xml:space="preserve">4.  </w:t>
      </w:r>
      <w:r>
        <w:rPr>
          <w:color w:val="1F2937"/>
          <w:sz w:val="21"/>
          <w:szCs w:val="21"/>
        </w:rPr>
        <w:t xml:space="preserve">Replica database is promoted to primary — no data loss</w:t>
      </w:r>
    </w:p>
    <w:p>
      <w:pPr>
        <w:spacing w:after="0" w:before="100"/>
        <w:ind w:left="360"/>
      </w:pPr>
      <w:r>
        <w:rPr>
          <w:b/>
          <w:bCs/>
          <w:color w:val="374151"/>
          <w:sz w:val="21"/>
          <w:szCs w:val="21"/>
        </w:rPr>
        <w:t xml:space="preserve">5.  </w:t>
      </w:r>
      <w:r>
        <w:rPr>
          <w:color w:val="1F2937"/>
          <w:sz w:val="21"/>
          <w:szCs w:val="21"/>
        </w:rPr>
        <w:t xml:space="preserve">Telephony continues uninterrupted — Twilio is independent and already global</w:t>
      </w:r>
    </w:p>
    <w:p>
      <w:pPr>
        <w:spacing w:after="0" w:before="100"/>
        <w:ind w:left="360"/>
      </w:pPr>
      <w:r>
        <w:rPr>
          <w:b/>
          <w:bCs/>
          <w:color w:val="374151"/>
          <w:sz w:val="21"/>
          <w:szCs w:val="21"/>
        </w:rPr>
        <w:t xml:space="preserve">6.  </w:t>
      </w:r>
      <w:r>
        <w:rPr>
          <w:color w:val="1F2937"/>
          <w:sz w:val="21"/>
          <w:szCs w:val="21"/>
        </w:rPr>
        <w:t xml:space="preserve">Users reconnect within 1–2 minutes with no manual intervention</w:t>
      </w:r>
    </w:p>
    <w:p>
      <w:pPr>
        <w:spacing w:after="0" w:before="6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065F46" w:val="solid"/>
            <w:tcMar>
              <w:top w:type="dxa" w:w="160"/>
              <w:left w:type="dxa" w:w="280"/>
              <w:bottom w:type="dxa" w:w="160"/>
              <w:right w:type="dxa" w:w="280"/>
            </w:tcMar>
            <w:vAlign w:val="center"/>
          </w:tcPr>
          <w:p>
            <w:pPr>
              <w:spacing w:after="0" w:before="0"/>
              <w:jc w:val="center"/>
            </w:pPr>
            <w:r>
              <w:rPr>
                <w:b/>
                <w:bCs/>
                <w:color w:val="FFFFFF"/>
                <w:sz w:val="26"/>
                <w:szCs w:val="26"/>
              </w:rPr>
              <w:t xml:space="preserve">Key point: Twilio telephony has built-in global redundancy</w:t>
            </w:r>
          </w:p>
          <w:p>
            <w:pPr>
              <w:spacing w:after="0" w:before="50"/>
              <w:jc w:val="center"/>
            </w:pPr>
            <w:r>
              <w:rPr>
                <w:b w:val="false"/>
                <w:bCs w:val="false"/>
                <w:color w:val="FFFFFF"/>
                <w:sz w:val="20"/>
                <w:szCs w:val="20"/>
              </w:rPr>
              <w:t xml:space="preserve">Calls will not drop during a server failover — only the OCC dashboard reconnects</w:t>
            </w:r>
          </w:p>
        </w:tc>
      </w:tr>
    </w:tbl>
    <w:p>
      <w:pPr>
        <w:spacing w:after="70" w:before="70"/>
        <w:jc w:val="center"/>
      </w:pPr>
      <w:r>
        <w:rPr>
          <w:b/>
          <w:bCs/>
          <w:color w:val="6B7280"/>
          <w:sz w:val="28"/>
          <w:szCs w:val="28"/>
        </w:rPr>
        <w:t xml:space="preserv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5B21B6" w:val="solid"/>
            <w:tcMar>
              <w:top w:type="dxa" w:w="80"/>
              <w:left w:type="dxa" w:w="280"/>
              <w:bottom w:type="dxa" w:w="80"/>
              <w:right w:type="dxa" w:w="280"/>
            </w:tcMar>
          </w:tcPr>
          <w:p>
            <w:pPr>
              <w:jc w:val="center"/>
            </w:pPr>
            <w:r>
              <w:rPr>
                <w:b/>
                <w:bCs/>
                <w:color w:val="FFFFFF"/>
                <w:sz w:val="20"/>
                <w:szCs w:val="20"/>
              </w:rPr>
              <w:t xml:space="preserve">CLOUD OPTIONS FOR PRODUCTION</w:t>
            </w:r>
          </w:p>
        </w:tc>
      </w:tr>
    </w:tbl>
    <w:p>
      <w:pPr>
        <w:spacing w:after="0" w:before="60"/>
      </w:pPr>
    </w:p>
    <w:p>
      <w:pPr>
        <w:spacing w:after="0" w:before="100"/>
        <w:ind w:left="360"/>
      </w:pPr>
      <w:r>
        <w:rPr>
          <w:color w:val="1F2937"/>
          <w:sz w:val="21"/>
          <w:szCs w:val="21"/>
        </w:rPr>
        <w:t xml:space="preserve">•  AWS — multi-region with RDS replication, Route 53 failover. Used by most financial platforms globally.</w:t>
      </w:r>
    </w:p>
    <w:p>
      <w:pPr>
        <w:spacing w:after="0" w:before="100"/>
        <w:ind w:left="360"/>
      </w:pPr>
      <w:r>
        <w:rPr>
          <w:color w:val="1F2937"/>
          <w:sz w:val="21"/>
          <w:szCs w:val="21"/>
        </w:rPr>
        <w:t xml:space="preserve">•  Azure — Microsoft’s cloud. Natural fit if acquired by Microsoft. Seamless Teams integration path.</w:t>
      </w:r>
    </w:p>
    <w:p>
      <w:pPr>
        <w:spacing w:after="0" w:before="100"/>
        <w:ind w:left="360"/>
      </w:pPr>
      <w:r>
        <w:rPr>
          <w:color w:val="1F2937"/>
          <w:sz w:val="21"/>
          <w:szCs w:val="21"/>
        </w:rPr>
        <w:t xml:space="preserve">•  GCP — Google Cloud. Strong AI/ML infrastructure for the intelligence layer.</w:t>
      </w:r>
    </w:p>
    <w:p>
      <w:pPr>
        <w:spacing w:after="0" w:before="100"/>
        <w:ind w:left="360"/>
      </w:pPr>
      <w:r>
        <w:rPr>
          <w:color w:val="1F2937"/>
          <w:sz w:val="21"/>
          <w:szCs w:val="21"/>
        </w:rPr>
        <w:t xml:space="preserve">•  Any combination — CuraLive is cloud-agnostic. It runs anywhere Node.js and PostgreSQL are available.</w:t>
      </w:r>
    </w:p>
    <w:p>
      <w:pPr>
        <w:spacing w:after="0" w:before="60"/>
      </w:pPr>
    </w:p>
    <w:p>
      <w:pPr>
        <w:spacing w:after="120" w:before="120"/>
        <w:ind w:left="200"/>
      </w:pPr>
      <w:r>
        <w:rPr>
          <w:color w:val="374151"/>
          <w:sz w:val="21"/>
          <w:szCs w:val="21"/>
        </w:rPr>
        <w:t xml:space="preserve">The platform can be mirrored across countries — for example, primary in London and secondary in Johannesburg, or primary in the EU and secondary in the US. The choice depends on where your clients are and what regulatory requirements apply.</w:t>
      </w:r>
    </w:p>
    <w:p>
      <w:pPr>
        <w:spacing w:after="0" w:before="2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1D4ED8" w:val="solid"/>
            <w:tcMar>
              <w:top w:type="dxa" w:w="160"/>
              <w:left w:type="dxa" w:w="280"/>
              <w:bottom w:type="dxa" w:w="160"/>
              <w:right w:type="dxa" w:w="280"/>
            </w:tcMar>
            <w:vAlign w:val="center"/>
          </w:tcPr>
          <w:p>
            <w:pPr>
              <w:spacing w:after="0" w:before="0"/>
              <w:jc w:val="center"/>
            </w:pPr>
            <w:r>
              <w:rPr>
                <w:b/>
                <w:bCs/>
                <w:color w:val="FFFFFF"/>
                <w:sz w:val="26"/>
                <w:szCs w:val="26"/>
              </w:rPr>
              <w:t xml:space="preserve">Bring Your Own Carrier (BYOC)</w:t>
            </w:r>
          </w:p>
        </w:tc>
      </w:tr>
    </w:tbl>
    <w:p>
      <w:pPr>
        <w:spacing w:after="0" w:before="120"/>
      </w:pPr>
    </w:p>
    <w:p>
      <w:pPr>
        <w:spacing w:after="120" w:before="120"/>
        <w:ind w:left="200"/>
      </w:pPr>
      <w:r>
        <w:rPr>
          <w:color w:val="374151"/>
          <w:sz w:val="21"/>
          <w:szCs w:val="21"/>
        </w:rPr>
        <w:t xml:space="preserve">CuraLive currently uses Twilio for all telephony — dial-in, dial-out, bridge connections, and recordings. But the platform is designed so you can plug in your own carrier if you choose to.</w:t>
      </w:r>
    </w:p>
    <w:p>
      <w:pPr>
        <w:spacing w:after="70" w:before="70"/>
        <w:jc w:val="center"/>
      </w:pPr>
      <w:r>
        <w:rPr>
          <w:b/>
          <w:bCs/>
          <w:color w:val="6B7280"/>
          <w:sz w:val="28"/>
          <w:szCs w:val="28"/>
        </w:rPr>
        <w:t xml:space="preserv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B45309" w:val="solid"/>
            <w:tcMar>
              <w:top w:type="dxa" w:w="80"/>
              <w:left w:type="dxa" w:w="280"/>
              <w:bottom w:type="dxa" w:w="80"/>
              <w:right w:type="dxa" w:w="280"/>
            </w:tcMar>
          </w:tcPr>
          <w:p>
            <w:pPr>
              <w:jc w:val="center"/>
            </w:pPr>
            <w:r>
              <w:rPr>
                <w:b/>
                <w:bCs/>
                <w:color w:val="FFFFFF"/>
                <w:sz w:val="20"/>
                <w:szCs w:val="20"/>
              </w:rPr>
              <w:t xml:space="preserve">HOW IT WORKS</w:t>
            </w:r>
          </w:p>
        </w:tc>
      </w:tr>
    </w:tbl>
    <w:p>
      <w:pPr>
        <w:spacing w:after="0" w:before="60"/>
      </w:pPr>
    </w:p>
    <w:p>
      <w:pPr>
        <w:spacing w:after="0" w:before="100"/>
        <w:ind w:left="360"/>
      </w:pPr>
      <w:r>
        <w:rPr>
          <w:b/>
          <w:bCs/>
          <w:color w:val="374151"/>
          <w:sz w:val="21"/>
          <w:szCs w:val="21"/>
        </w:rPr>
        <w:t xml:space="preserve">1.  </w:t>
      </w:r>
      <w:r>
        <w:rPr>
          <w:color w:val="1F2937"/>
          <w:sz w:val="21"/>
          <w:szCs w:val="21"/>
        </w:rPr>
        <w:t xml:space="preserve">You contract with a local carrier (e.g. Vodacom, BT, AT&amp;T, or any SIP provider)</w:t>
      </w:r>
    </w:p>
    <w:p>
      <w:pPr>
        <w:spacing w:after="0" w:before="100"/>
        <w:ind w:left="360"/>
      </w:pPr>
      <w:r>
        <w:rPr>
          <w:b/>
          <w:bCs/>
          <w:color w:val="374151"/>
          <w:sz w:val="21"/>
          <w:szCs w:val="21"/>
        </w:rPr>
        <w:t xml:space="preserve">2.  </w:t>
      </w:r>
      <w:r>
        <w:rPr>
          <w:color w:val="1F2937"/>
          <w:sz w:val="21"/>
          <w:szCs w:val="21"/>
        </w:rPr>
        <w:t xml:space="preserve">They provide SIP trunk credentials and local phone numbers</w:t>
      </w:r>
    </w:p>
    <w:p>
      <w:pPr>
        <w:spacing w:after="0" w:before="100"/>
        <w:ind w:left="360"/>
      </w:pPr>
      <w:r>
        <w:rPr>
          <w:b/>
          <w:bCs/>
          <w:color w:val="374151"/>
          <w:sz w:val="21"/>
          <w:szCs w:val="21"/>
        </w:rPr>
        <w:t xml:space="preserve">3.  </w:t>
      </w:r>
      <w:r>
        <w:rPr>
          <w:color w:val="1F2937"/>
          <w:sz w:val="21"/>
          <w:szCs w:val="21"/>
        </w:rPr>
        <w:t xml:space="preserve">These are configured in CuraLive’s telephony layer</w:t>
      </w:r>
    </w:p>
    <w:p>
      <w:pPr>
        <w:spacing w:after="0" w:before="100"/>
        <w:ind w:left="360"/>
      </w:pPr>
      <w:r>
        <w:rPr>
          <w:b/>
          <w:bCs/>
          <w:color w:val="374151"/>
          <w:sz w:val="21"/>
          <w:szCs w:val="21"/>
        </w:rPr>
        <w:t xml:space="preserve">4.  </w:t>
      </w:r>
      <w:r>
        <w:rPr>
          <w:color w:val="1F2937"/>
          <w:sz w:val="21"/>
          <w:szCs w:val="21"/>
        </w:rPr>
        <w:t xml:space="preserve">All dial-in and dial-out calls now route through your carrier instead of Twilio</w:t>
      </w:r>
    </w:p>
    <w:p>
      <w:pPr>
        <w:spacing w:after="0" w:before="100"/>
        <w:ind w:left="360"/>
      </w:pPr>
      <w:r>
        <w:rPr>
          <w:b/>
          <w:bCs/>
          <w:color w:val="374151"/>
          <w:sz w:val="21"/>
          <w:szCs w:val="21"/>
        </w:rPr>
        <w:t xml:space="preserve">5.  </w:t>
      </w:r>
      <w:r>
        <w:rPr>
          <w:color w:val="1F2937"/>
          <w:sz w:val="21"/>
          <w:szCs w:val="21"/>
        </w:rPr>
        <w:t xml:space="preserve">Twilio can remain as a backup / fallback carrier for redundancy</w:t>
      </w:r>
    </w:p>
    <w:p>
      <w:pPr>
        <w:spacing w:after="70" w:before="70"/>
        <w:jc w:val="center"/>
      </w:pPr>
      <w:r>
        <w:rPr>
          <w:b/>
          <w:bCs/>
          <w:color w:val="6B7280"/>
          <w:sz w:val="28"/>
          <w:szCs w:val="28"/>
        </w:rPr>
        <w:t xml:space="preserve">↓</w:t>
      </w: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065F46" w:val="solid"/>
            <w:tcMar>
              <w:top w:type="dxa" w:w="80"/>
              <w:left w:type="dxa" w:w="280"/>
              <w:bottom w:type="dxa" w:w="80"/>
              <w:right w:type="dxa" w:w="280"/>
            </w:tcMar>
          </w:tcPr>
          <w:p>
            <w:pPr>
              <w:jc w:val="center"/>
            </w:pPr>
            <w:r>
              <w:rPr>
                <w:b/>
                <w:bCs/>
                <w:color w:val="FFFFFF"/>
                <w:sz w:val="20"/>
                <w:szCs w:val="20"/>
              </w:rPr>
              <w:t xml:space="preserve">WHY YOU WOULD DO THIS</w:t>
            </w:r>
          </w:p>
        </w:tc>
      </w:tr>
    </w:tbl>
    <w:p>
      <w:pPr>
        <w:spacing w:after="0" w:before="6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dxa" w:w="2900"/>
            <w:tcBorders>
              <w:top w:val="none" w:color="FFFFFF" w:sz="0"/>
              <w:left w:val="none" w:color="FFFFFF" w:sz="0"/>
              <w:bottom w:val="none" w:color="FFFFFF" w:sz="0"/>
              <w:right w:val="none" w:color="FFFFFF" w:sz="0"/>
            </w:tcBorders>
            <w:shd w:color="065F46" w:val="solid"/>
            <w:tcMar>
              <w:top w:type="dxa" w:w="140"/>
              <w:left w:type="dxa" w:w="180"/>
              <w:bottom w:type="dxa" w:w="140"/>
              <w:right w:type="dxa" w:w="180"/>
            </w:tcMar>
            <w:vAlign w:val="center"/>
          </w:tcPr>
          <w:p>
            <w:pPr>
              <w:spacing w:after="30" w:before="0"/>
              <w:jc w:val="center"/>
            </w:pPr>
            <w:r>
              <w:rPr>
                <w:b/>
                <w:bCs/>
                <w:color w:val="FFFFFF"/>
                <w:sz w:val="21"/>
                <w:szCs w:val="21"/>
              </w:rPr>
              <w:t xml:space="preserve">💰  Lower Costs</w:t>
            </w:r>
          </w:p>
          <w:p>
            <w:pPr>
              <w:spacing w:after="30" w:before="0"/>
              <w:jc w:val="center"/>
            </w:pPr>
            <w:r>
              <w:rPr>
                <w:b w:val="false"/>
                <w:bCs w:val="false"/>
                <w:color w:val="FFFFFF"/>
                <w:sz w:val="17"/>
                <w:szCs w:val="17"/>
              </w:rPr>
              <w:t xml:space="preserve">Local carriers are often cheaper per minute than Twilio, especially at high volume</w:t>
            </w:r>
          </w:p>
        </w:tc>
        <w:tc>
          <w:tcPr>
            <w:tcW w:type="dxa" w:w="100"/>
            <w:tcBorders>
              <w:top w:val="none" w:color="FFFFFF" w:sz="0"/>
              <w:left w:val="none" w:color="FFFFFF" w:sz="0"/>
              <w:bottom w:val="none" w:color="FFFFFF" w:sz="0"/>
              <w:right w:val="none" w:color="FFFFFF" w:sz="0"/>
            </w:tcBorders>
          </w:tcPr>
          <w:p/>
        </w:tc>
        <w:tc>
          <w:tcPr>
            <w:tcW w:type="dxa" w:w="2900"/>
            <w:tcBorders>
              <w:top w:val="none" w:color="FFFFFF" w:sz="0"/>
              <w:left w:val="none" w:color="FFFFFF" w:sz="0"/>
              <w:bottom w:val="none" w:color="FFFFFF" w:sz="0"/>
              <w:right w:val="none" w:color="FFFFFF" w:sz="0"/>
            </w:tcBorders>
            <w:shd w:color="1E40AF" w:val="solid"/>
            <w:tcMar>
              <w:top w:type="dxa" w:w="140"/>
              <w:left w:type="dxa" w:w="180"/>
              <w:bottom w:type="dxa" w:w="140"/>
              <w:right w:type="dxa" w:w="180"/>
            </w:tcMar>
            <w:vAlign w:val="center"/>
          </w:tcPr>
          <w:p>
            <w:pPr>
              <w:spacing w:after="30" w:before="0"/>
              <w:jc w:val="center"/>
            </w:pPr>
            <w:r>
              <w:rPr>
                <w:b/>
                <w:bCs/>
                <w:color w:val="FFFFFF"/>
                <w:sz w:val="21"/>
                <w:szCs w:val="21"/>
              </w:rPr>
              <w:t xml:space="preserve">🇱🇦  Local Numbers</w:t>
            </w:r>
          </w:p>
          <w:p>
            <w:pPr>
              <w:spacing w:after="30" w:before="0"/>
              <w:jc w:val="center"/>
            </w:pPr>
            <w:r>
              <w:rPr>
                <w:b w:val="false"/>
                <w:bCs w:val="false"/>
                <w:color w:val="FFFFFF"/>
                <w:sz w:val="17"/>
                <w:szCs w:val="17"/>
              </w:rPr>
              <w:t xml:space="preserve">Get numbers in SA, UK, US, EU — attendees dial a local number, not international</w:t>
            </w:r>
          </w:p>
        </w:tc>
        <w:tc>
          <w:tcPr>
            <w:tcW w:type="dxa" w:w="100"/>
            <w:tcBorders>
              <w:top w:val="none" w:color="FFFFFF" w:sz="0"/>
              <w:left w:val="none" w:color="FFFFFF" w:sz="0"/>
              <w:bottom w:val="none" w:color="FFFFFF" w:sz="0"/>
              <w:right w:val="none" w:color="FFFFFF" w:sz="0"/>
            </w:tcBorders>
          </w:tcPr>
          <w:p/>
        </w:tc>
        <w:tc>
          <w:tcPr>
            <w:tcW w:type="dxa" w:w="2900"/>
            <w:tcBorders>
              <w:top w:val="none" w:color="FFFFFF" w:sz="0"/>
              <w:left w:val="none" w:color="FFFFFF" w:sz="0"/>
              <w:bottom w:val="none" w:color="FFFFFF" w:sz="0"/>
              <w:right w:val="none" w:color="FFFFFF" w:sz="0"/>
            </w:tcBorders>
            <w:shd w:color="5B21B6" w:val="solid"/>
            <w:tcMar>
              <w:top w:type="dxa" w:w="140"/>
              <w:left w:type="dxa" w:w="180"/>
              <w:bottom w:type="dxa" w:w="140"/>
              <w:right w:type="dxa" w:w="180"/>
            </w:tcMar>
            <w:vAlign w:val="center"/>
          </w:tcPr>
          <w:p>
            <w:pPr>
              <w:spacing w:after="30" w:before="0"/>
              <w:jc w:val="center"/>
            </w:pPr>
            <w:r>
              <w:rPr>
                <w:b/>
                <w:bCs/>
                <w:color w:val="FFFFFF"/>
                <w:sz w:val="21"/>
                <w:szCs w:val="21"/>
              </w:rPr>
              <w:t xml:space="preserve">🛡️  Redundancy</w:t>
            </w:r>
          </w:p>
          <w:p>
            <w:pPr>
              <w:spacing w:after="30" w:before="0"/>
              <w:jc w:val="center"/>
            </w:pPr>
            <w:r>
              <w:rPr>
                <w:b w:val="false"/>
                <w:bCs w:val="false"/>
                <w:color w:val="FFFFFF"/>
                <w:sz w:val="17"/>
                <w:szCs w:val="17"/>
              </w:rPr>
              <w:t xml:space="preserve">Multiple carriers means if one goes down, calls route through the other automatically</w:t>
            </w:r>
          </w:p>
        </w:tc>
      </w:tr>
    </w:tbl>
    <w:p>
      <w:pPr>
        <w:spacing w:after="0" w:before="8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4C1D95" w:val="solid"/>
            <w:tcMar>
              <w:top w:type="dxa" w:w="160"/>
              <w:left w:type="dxa" w:w="280"/>
              <w:bottom w:type="dxa" w:w="160"/>
              <w:right w:type="dxa" w:w="280"/>
            </w:tcMar>
            <w:vAlign w:val="center"/>
          </w:tcPr>
          <w:p>
            <w:pPr>
              <w:spacing w:after="0" w:before="0"/>
              <w:jc w:val="center"/>
            </w:pPr>
            <w:r>
              <w:rPr>
                <w:b/>
                <w:bCs/>
                <w:color w:val="FFFFFF"/>
                <w:sz w:val="26"/>
                <w:szCs w:val="26"/>
              </w:rPr>
              <w:t xml:space="preserve">Twilio also supports BYOC natively</w:t>
            </w:r>
          </w:p>
          <w:p>
            <w:pPr>
              <w:spacing w:after="0" w:before="50"/>
              <w:jc w:val="center"/>
            </w:pPr>
            <w:r>
              <w:rPr>
                <w:b w:val="false"/>
                <w:bCs w:val="false"/>
                <w:color w:val="FFFFFF"/>
                <w:sz w:val="20"/>
                <w:szCs w:val="20"/>
              </w:rPr>
              <w:t xml:space="preserve">You can connect your own SIP trunks through Twilio’s platform and keep all the existing CuraLive integrations</w:t>
            </w:r>
          </w:p>
        </w:tc>
      </w:tr>
    </w:tbl>
    <w:p>
      <w:pPr>
        <w:spacing w:after="0" w:before="80"/>
      </w:pPr>
    </w:p>
    <w:p>
      <w:pPr>
        <w:spacing w:after="120" w:before="120"/>
        <w:ind w:left="200"/>
      </w:pPr>
      <w:r>
        <w:rPr>
          <w:color w:val="374151"/>
          <w:sz w:val="21"/>
          <w:szCs w:val="21"/>
        </w:rPr>
        <w:t xml:space="preserve">Additional carrier options already referenced in the CuraLive codebase: Telnyx (alternative to Twilio, often lower cost), Bandwidth, and Vonage. Any of these can be configured as primary or fallback carriers.</w:t>
      </w:r>
    </w:p>
    <w:p>
      <w:pPr>
        <w:spacing w:after="0" w:before="8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dxa" w:w="9000"/>
            <w:tcBorders>
              <w:top w:val="none" w:color="FFFFFF" w:sz="0"/>
              <w:left w:val="none" w:color="FFFFFF" w:sz="0"/>
              <w:bottom w:val="none" w:color="FFFFFF" w:sz="0"/>
              <w:right w:val="none" w:color="FFFFFF" w:sz="0"/>
            </w:tcBorders>
            <w:shd w:color="1B4332" w:val="solid"/>
            <w:tcMar>
              <w:top w:type="dxa" w:w="160"/>
              <w:left w:type="dxa" w:w="280"/>
              <w:bottom w:type="dxa" w:w="160"/>
              <w:right w:type="dxa" w:w="280"/>
            </w:tcMar>
            <w:vAlign w:val="center"/>
          </w:tcPr>
          <w:p>
            <w:pPr>
              <w:spacing w:after="0" w:before="0"/>
              <w:jc w:val="center"/>
            </w:pPr>
            <w:r>
              <w:rPr>
                <w:b/>
                <w:bCs/>
                <w:color w:val="FFFFFF"/>
                <w:sz w:val="26"/>
                <w:szCs w:val="26"/>
              </w:rPr>
              <w:t xml:space="preserve">Bottom line: CuraLive’s telephony is not locked to any single carrier.</w:t>
            </w:r>
          </w:p>
          <w:p>
            <w:pPr>
              <w:spacing w:after="0" w:before="50"/>
              <w:jc w:val="center"/>
            </w:pPr>
            <w:r>
              <w:rPr>
                <w:b w:val="false"/>
                <w:bCs w:val="false"/>
                <w:color w:val="FFFFFF"/>
                <w:sz w:val="20"/>
                <w:szCs w:val="20"/>
              </w:rPr>
              <w:t xml:space="preserve">You can bring your own, use multiple for redundancy, and run local numbers in every country you operate in.</w:t>
            </w:r>
          </w:p>
        </w:tc>
      </w:tr>
    </w:tbl>
    <w:p>
      <w:pPr>
        <w:spacing w:after="0" w:before="400"/>
      </w:pPr>
    </w:p>
    <w:p>
      <w:pPr>
        <w:jc w:val="center"/>
      </w:pPr>
      <w:r>
        <w:rPr>
          <w:i/>
          <w:iCs/>
          <w:color w:val="9CA3AF"/>
          <w:sz w:val="16"/>
          <w:szCs w:val="16"/>
        </w:rPr>
        <w:t xml:space="preserve">CuraLive  —  Confidential  |  2026/03/12</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CuraLive — Resilience, DR &amp; BYOC Briefing</dc:title>
  <dc:creator>CuraLive</dc:creator>
  <cp:lastModifiedBy>Un-named</cp:lastModifiedBy>
  <cp:revision>1</cp:revision>
  <dcterms:created xsi:type="dcterms:W3CDTF">2026-03-12T11:24:02.817Z</dcterms:created>
  <dcterms:modified xsi:type="dcterms:W3CDTF">2026-03-12T11:24:02.817Z</dcterms:modified>
</cp:coreProperties>
</file>

<file path=docProps/custom.xml><?xml version="1.0" encoding="utf-8"?>
<Properties xmlns="http://schemas.openxmlformats.org/officeDocument/2006/custom-properties" xmlns:vt="http://schemas.openxmlformats.org/officeDocument/2006/docPropsVTypes"/>
</file>