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D4ED8" w:val="solid"/>
            <w:tcMar>
              <w:top w:type="dxa" w:w="160"/>
              <w:left w:type="dxa" w:w="280"/>
              <w:bottom w:type="dxa" w:w="160"/>
              <w:right w:type="dxa" w:w="280"/>
            </w:tcMar>
            <w:vAlign w:val="center"/>
          </w:tcPr>
          <w:p>
            <w:pPr>
              <w:spacing w:after="0" w:before="0"/>
              <w:jc w:val="center"/>
            </w:pPr>
            <w:r>
              <w:rPr>
                <w:b/>
                <w:bCs/>
                <w:color w:val="FFFFFF"/>
                <w:sz w:val="26"/>
                <w:szCs w:val="26"/>
              </w:rPr>
              <w:t xml:space="preserve">CuraLive</w:t>
            </w:r>
          </w:p>
          <w:p>
            <w:pPr>
              <w:spacing w:after="0" w:before="50"/>
              <w:jc w:val="center"/>
            </w:pPr>
            <w:r>
              <w:rPr>
                <w:b w:val="false"/>
                <w:bCs w:val="false"/>
                <w:color w:val="FFFFFF"/>
                <w:sz w:val="20"/>
                <w:szCs w:val="20"/>
              </w:rPr>
              <w:t xml:space="preserve">AI Reports — Where They Live &amp; How to Access Them</w:t>
            </w:r>
          </w:p>
        </w:tc>
      </w:tr>
    </w:tbl>
    <w:p>
      <w:pPr>
        <w:spacing w:after="0" w:before="60"/>
      </w:pPr>
    </w:p>
    <w:p>
      <w:pPr>
        <w:spacing w:after="120" w:before="120"/>
        <w:ind w:left="200"/>
      </w:pPr>
      <w:r>
        <w:rPr>
          <w:color w:val="374151"/>
          <w:sz w:val="21"/>
          <w:szCs w:val="21"/>
        </w:rPr>
        <w:t xml:space="preserve">This document explains how CuraLive captures, processes, stores, and delivers intelligence from every event. It covers what happens automatically, what the operator can do manually, and what delivery features are still to be built.</w:t>
      </w:r>
    </w:p>
    <w:p>
      <w:pPr>
        <w:spacing w:after="0" w:before="2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065F46" w:val="solid"/>
            <w:tcMar>
              <w:top w:type="dxa" w:w="160"/>
              <w:left w:type="dxa" w:w="280"/>
              <w:bottom w:type="dxa" w:w="160"/>
              <w:right w:type="dxa" w:w="280"/>
            </w:tcMar>
            <w:vAlign w:val="center"/>
          </w:tcPr>
          <w:p>
            <w:pPr>
              <w:spacing w:after="0" w:before="0"/>
              <w:jc w:val="center"/>
            </w:pPr>
            <w:r>
              <w:rPr>
                <w:b/>
                <w:bCs/>
                <w:color w:val="FFFFFF"/>
                <w:sz w:val="26"/>
                <w:szCs w:val="26"/>
              </w:rPr>
              <w:t xml:space="preserve">Step 1 — Live Capture  (automatic, during the call)</w:t>
            </w:r>
          </w:p>
        </w:tc>
      </w:tr>
    </w:tbl>
    <w:p>
      <w:pPr>
        <w:spacing w:after="0" w:before="80"/>
      </w:pPr>
    </w:p>
    <w:p>
      <w:pPr>
        <w:spacing w:after="120" w:before="120"/>
        <w:ind w:left="200"/>
      </w:pPr>
      <w:r>
        <w:rPr>
          <w:color w:val="374151"/>
          <w:sz w:val="21"/>
          <w:szCs w:val="21"/>
        </w:rPr>
        <w:t xml:space="preserve">The moment a call begins, three AI systems activate simultaneously inside the OCC. No one needs to press a button — they run automatically:</w:t>
      </w:r>
    </w:p>
    <w:p>
      <w:pPr>
        <w:spacing w:after="0" w:before="4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dxa" w:w="2900"/>
            <w:tcBorders>
              <w:top w:val="none" w:color="FFFFFF" w:sz="0"/>
              <w:left w:val="none" w:color="FFFFFF" w:sz="0"/>
              <w:bottom w:val="none" w:color="FFFFFF" w:sz="0"/>
              <w:right w:val="none" w:color="FFFFFF" w:sz="0"/>
            </w:tcBorders>
            <w:shd w:color="065F46" w:val="solid"/>
            <w:tcMar>
              <w:top w:type="dxa" w:w="140"/>
              <w:left w:type="dxa" w:w="180"/>
              <w:bottom w:type="dxa" w:w="140"/>
              <w:right w:type="dxa" w:w="180"/>
            </w:tcMar>
            <w:vAlign w:val="center"/>
          </w:tcPr>
          <w:p>
            <w:pPr>
              <w:spacing w:after="30" w:before="0"/>
              <w:jc w:val="center"/>
            </w:pPr>
            <w:r>
              <w:rPr>
                <w:b/>
                <w:bCs/>
                <w:color w:val="FFFFFF"/>
                <w:sz w:val="21"/>
                <w:szCs w:val="21"/>
              </w:rPr>
              <w:t xml:space="preserve">🎙️  Live Transcription</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Every word captured in real time</w:t>
            </w:r>
          </w:p>
          <w:p>
            <w:pPr>
              <w:spacing w:after="30" w:before="0"/>
              <w:jc w:val="center"/>
            </w:pPr>
            <w:r>
              <w:rPr>
                <w:b w:val="false"/>
                <w:bCs w:val="false"/>
                <w:color w:val="FFFFFF"/>
                <w:sz w:val="17"/>
                <w:szCs w:val="17"/>
              </w:rPr>
              <w:t xml:space="preserve">Timestamped per speaker</w:t>
            </w:r>
          </w:p>
          <w:p>
            <w:pPr>
              <w:spacing w:after="30" w:before="0"/>
              <w:jc w:val="center"/>
            </w:pPr>
            <w:r>
              <w:rPr>
                <w:b w:val="false"/>
                <w:bCs w:val="false"/>
                <w:color w:val="FFFFFF"/>
                <w:sz w:val="17"/>
                <w:szCs w:val="17"/>
              </w:rPr>
              <w:t xml:space="preserve">Stored segment by segment</w:t>
            </w:r>
          </w:p>
        </w:tc>
        <w:tc>
          <w:tcPr>
            <w:tcW w:type="dxa" w:w="100"/>
            <w:tcBorders>
              <w:top w:val="none" w:color="FFFFFF" w:sz="0"/>
              <w:left w:val="none" w:color="FFFFFF" w:sz="0"/>
              <w:bottom w:val="none" w:color="FFFFFF" w:sz="0"/>
              <w:right w:val="none" w:color="FFFFFF" w:sz="0"/>
            </w:tcBorders>
          </w:tcPr>
          <w:p/>
        </w:tc>
        <w:tc>
          <w:tcPr>
            <w:tcW w:type="dxa" w:w="2900"/>
            <w:tcBorders>
              <w:top w:val="none" w:color="FFFFFF" w:sz="0"/>
              <w:left w:val="none" w:color="FFFFFF" w:sz="0"/>
              <w:bottom w:val="none" w:color="FFFFFF" w:sz="0"/>
              <w:right w:val="none" w:color="FFFFFF" w:sz="0"/>
            </w:tcBorders>
            <w:shd w:color="047857" w:val="solid"/>
            <w:tcMar>
              <w:top w:type="dxa" w:w="140"/>
              <w:left w:type="dxa" w:w="180"/>
              <w:bottom w:type="dxa" w:w="140"/>
              <w:right w:type="dxa" w:w="180"/>
            </w:tcMar>
            <w:vAlign w:val="center"/>
          </w:tcPr>
          <w:p>
            <w:pPr>
              <w:spacing w:after="30" w:before="0"/>
              <w:jc w:val="center"/>
            </w:pPr>
            <w:r>
              <w:rPr>
                <w:b/>
                <w:bCs/>
                <w:color w:val="FFFFFF"/>
                <w:sz w:val="21"/>
                <w:szCs w:val="21"/>
              </w:rPr>
              <w:t xml:space="preserve">😀  Sentiment Scoring</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Each speaker scored live</w:t>
            </w:r>
          </w:p>
          <w:p>
            <w:pPr>
              <w:spacing w:after="30" w:before="0"/>
              <w:jc w:val="center"/>
            </w:pPr>
            <w:r>
              <w:rPr>
                <w:b w:val="false"/>
                <w:bCs w:val="false"/>
                <w:color w:val="FFFFFF"/>
                <w:sz w:val="17"/>
                <w:szCs w:val="17"/>
              </w:rPr>
              <w:t xml:space="preserve">Positive / negative / neutral</w:t>
            </w:r>
          </w:p>
          <w:p>
            <w:pPr>
              <w:spacing w:after="30" w:before="0"/>
              <w:jc w:val="center"/>
            </w:pPr>
            <w:r>
              <w:rPr>
                <w:b w:val="false"/>
                <w:bCs w:val="false"/>
                <w:color w:val="FFFFFF"/>
                <w:sz w:val="17"/>
                <w:szCs w:val="17"/>
              </w:rPr>
              <w:t xml:space="preserve">Visible to operator in OCC</w:t>
            </w:r>
          </w:p>
        </w:tc>
        <w:tc>
          <w:tcPr>
            <w:tcW w:type="dxa" w:w="100"/>
            <w:tcBorders>
              <w:top w:val="none" w:color="FFFFFF" w:sz="0"/>
              <w:left w:val="none" w:color="FFFFFF" w:sz="0"/>
              <w:bottom w:val="none" w:color="FFFFFF" w:sz="0"/>
              <w:right w:val="none" w:color="FFFFFF" w:sz="0"/>
            </w:tcBorders>
          </w:tcPr>
          <w:p/>
        </w:tc>
        <w:tc>
          <w:tcPr>
            <w:tcW w:type="dxa" w:w="2900"/>
            <w:tcBorders>
              <w:top w:val="none" w:color="FFFFFF" w:sz="0"/>
              <w:left w:val="none" w:color="FFFFFF" w:sz="0"/>
              <w:bottom w:val="none" w:color="FFFFFF" w:sz="0"/>
              <w:right w:val="none" w:color="FFFFFF" w:sz="0"/>
            </w:tcBorders>
            <w:shd w:color="1B4332" w:val="solid"/>
            <w:tcMar>
              <w:top w:type="dxa" w:w="140"/>
              <w:left w:type="dxa" w:w="180"/>
              <w:bottom w:type="dxa" w:w="140"/>
              <w:right w:type="dxa" w:w="180"/>
            </w:tcMar>
            <w:vAlign w:val="center"/>
          </w:tcPr>
          <w:p>
            <w:pPr>
              <w:spacing w:after="30" w:before="0"/>
              <w:jc w:val="center"/>
            </w:pPr>
            <w:r>
              <w:rPr>
                <w:b/>
                <w:bCs/>
                <w:color w:val="FFFFFF"/>
                <w:sz w:val="21"/>
                <w:szCs w:val="21"/>
              </w:rPr>
              <w:t xml:space="preserve">⚠️  Compliance Monitoring</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Sensitive language detected</w:t>
            </w:r>
          </w:p>
          <w:p>
            <w:pPr>
              <w:spacing w:after="30" w:before="0"/>
              <w:jc w:val="center"/>
            </w:pPr>
            <w:r>
              <w:rPr>
                <w:b w:val="false"/>
                <w:bCs w:val="false"/>
                <w:color w:val="FFFFFF"/>
                <w:sz w:val="17"/>
                <w:szCs w:val="17"/>
              </w:rPr>
              <w:t xml:space="preserve">Flagged automatically</w:t>
            </w:r>
          </w:p>
          <w:p>
            <w:pPr>
              <w:spacing w:after="30" w:before="0"/>
              <w:jc w:val="center"/>
            </w:pPr>
            <w:r>
              <w:rPr>
                <w:b w:val="false"/>
                <w:bCs w:val="false"/>
                <w:color w:val="FFFFFF"/>
                <w:sz w:val="17"/>
                <w:szCs w:val="17"/>
              </w:rPr>
              <w:t xml:space="preserve">Operator sees alerts in real time</w:t>
            </w:r>
          </w:p>
        </w:tc>
      </w:tr>
    </w:tbl>
    <w:p>
      <w:pPr>
        <w:spacing w:after="0" w:before="60"/>
      </w:pPr>
    </w:p>
    <w:p>
      <w:pPr>
        <w:spacing w:after="120" w:before="120"/>
        <w:ind w:left="200"/>
      </w:pPr>
      <w:r>
        <w:rPr>
          <w:color w:val="374151"/>
          <w:sz w:val="21"/>
          <w:szCs w:val="21"/>
        </w:rPr>
        <w:t xml:space="preserve">All three of these run on every call — whether it’s a native CuraLive event, a dial-out call, or a Shadow Bridge connection to an external conference.</w:t>
      </w:r>
    </w:p>
    <w:p>
      <w:pPr>
        <w:spacing w:after="0" w:before="200"/>
      </w:pPr>
    </w:p>
    <w:p>
      <w:r>
        <w:rPr>
          <w:sz w:val="2"/>
          <w:szCs w:val="2"/>
        </w:rPr>
        <w:t xml:space="preserve"/>
      </w:r>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B45309" w:val="solid"/>
            <w:tcMar>
              <w:top w:type="dxa" w:w="160"/>
              <w:left w:type="dxa" w:w="280"/>
              <w:bottom w:type="dxa" w:w="160"/>
              <w:right w:type="dxa" w:w="280"/>
            </w:tcMar>
            <w:vAlign w:val="center"/>
          </w:tcPr>
          <w:p>
            <w:pPr>
              <w:spacing w:after="0" w:before="0"/>
              <w:jc w:val="center"/>
            </w:pPr>
            <w:r>
              <w:rPr>
                <w:b/>
                <w:bCs/>
                <w:color w:val="FFFFFF"/>
                <w:sz w:val="26"/>
                <w:szCs w:val="26"/>
              </w:rPr>
              <w:t xml:space="preserve">Step 2 — AI Analysis  (automatic, after the call ends)</w:t>
            </w:r>
          </w:p>
        </w:tc>
      </w:tr>
    </w:tbl>
    <w:p>
      <w:pPr>
        <w:spacing w:after="0" w:before="80"/>
      </w:pPr>
    </w:p>
    <w:p>
      <w:pPr>
        <w:spacing w:after="120" w:before="120"/>
        <w:ind w:left="200"/>
      </w:pPr>
      <w:r>
        <w:rPr>
          <w:color w:val="374151"/>
          <w:sz w:val="21"/>
          <w:szCs w:val="21"/>
        </w:rPr>
        <w:t xml:space="preserve">Once the call ends, the AI reads through everything it captured and generates a full intelligence report. This happens automatically — the operator does not need to trigger it.</w:t>
      </w:r>
    </w:p>
    <w:p>
      <w:pPr>
        <w:spacing w:after="0" w:before="40"/>
      </w:pPr>
    </w:p>
    <w:p>
      <w:pPr>
        <w:spacing w:after="120" w:before="120"/>
        <w:ind w:left="200"/>
      </w:pPr>
      <w:r>
        <w:rPr>
          <w:color w:val="374151"/>
          <w:sz w:val="21"/>
          <w:szCs w:val="21"/>
        </w:rPr>
        <w:t xml:space="preserve">The AI produces:</w:t>
      </w:r>
    </w:p>
    <w:p>
      <w:pPr>
        <w:spacing w:after="0" w:before="80"/>
        <w:ind w:left="360"/>
      </w:pPr>
      <w:r>
        <w:rPr>
          <w:b w:val="false"/>
          <w:bCs w:val="false"/>
          <w:color w:val="1F2937"/>
          <w:sz w:val="21"/>
          <w:szCs w:val="21"/>
        </w:rPr>
        <w:t xml:space="preserve">•  Full event summary — what was discussed, the key topics covered</w:t>
      </w:r>
    </w:p>
    <w:p>
      <w:pPr>
        <w:spacing w:after="0" w:before="80"/>
        <w:ind w:left="360"/>
      </w:pPr>
      <w:r>
        <w:rPr>
          <w:b w:val="false"/>
          <w:bCs w:val="false"/>
          <w:color w:val="1F2937"/>
          <w:sz w:val="21"/>
          <w:szCs w:val="21"/>
        </w:rPr>
        <w:t xml:space="preserve">•  Key moments — the most important statements, turning points, or decisions</w:t>
      </w:r>
    </w:p>
    <w:p>
      <w:pPr>
        <w:spacing w:after="0" w:before="80"/>
        <w:ind w:left="360"/>
      </w:pPr>
      <w:r>
        <w:rPr>
          <w:b w:val="false"/>
          <w:bCs w:val="false"/>
          <w:color w:val="1F2937"/>
          <w:sz w:val="21"/>
          <w:szCs w:val="21"/>
        </w:rPr>
        <w:t xml:space="preserve">•  Sentiment summary — overall tone per speaker across the entire call</w:t>
      </w:r>
    </w:p>
    <w:p>
      <w:pPr>
        <w:spacing w:after="0" w:before="80"/>
        <w:ind w:left="360"/>
      </w:pPr>
      <w:r>
        <w:rPr>
          <w:b w:val="false"/>
          <w:bCs w:val="false"/>
          <w:color w:val="1F2937"/>
          <w:sz w:val="21"/>
          <w:szCs w:val="21"/>
        </w:rPr>
        <w:t xml:space="preserve">•  Q&amp;A analysis — what investors asked and how management responded</w:t>
      </w:r>
    </w:p>
    <w:p>
      <w:pPr>
        <w:spacing w:after="0" w:before="80"/>
        <w:ind w:left="360"/>
      </w:pPr>
      <w:r>
        <w:rPr>
          <w:b w:val="false"/>
          <w:bCs w:val="false"/>
          <w:color w:val="1F2937"/>
          <w:sz w:val="21"/>
          <w:szCs w:val="21"/>
        </w:rPr>
        <w:t xml:space="preserve">•  Compliance summary — anything that was flagged during the event</w:t>
      </w:r>
    </w:p>
    <w:p>
      <w:pPr>
        <w:spacing w:after="0" w:before="4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065F46" w:val="solid"/>
            <w:tcMar>
              <w:top w:type="dxa" w:w="160"/>
              <w:left w:type="dxa" w:w="280"/>
              <w:bottom w:type="dxa" w:w="160"/>
              <w:right w:type="dxa" w:w="280"/>
            </w:tcMar>
            <w:vAlign w:val="center"/>
          </w:tcPr>
          <w:p>
            <w:pPr>
              <w:spacing w:after="0" w:before="0"/>
              <w:jc w:val="center"/>
            </w:pPr>
            <w:r>
              <w:rPr>
                <w:b/>
                <w:bCs/>
                <w:color w:val="FFFFFF"/>
                <w:sz w:val="26"/>
                <w:szCs w:val="26"/>
              </w:rPr>
              <w:t xml:space="preserve">This is the core intelligence product.</w:t>
            </w:r>
          </w:p>
          <w:p>
            <w:pPr>
              <w:spacing w:after="0" w:before="50"/>
              <w:jc w:val="center"/>
            </w:pPr>
            <w:r>
              <w:rPr>
                <w:b w:val="false"/>
                <w:bCs w:val="false"/>
                <w:color w:val="FFFFFF"/>
                <w:sz w:val="20"/>
                <w:szCs w:val="20"/>
              </w:rPr>
              <w:t xml:space="preserve">Every event produces a complete report without any human effort.</w:t>
            </w:r>
          </w:p>
        </w:tc>
      </w:tr>
    </w:tbl>
    <w:p>
      <w:pPr>
        <w:spacing w:after="0" w:before="2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5B21B6" w:val="solid"/>
            <w:tcMar>
              <w:top w:type="dxa" w:w="160"/>
              <w:left w:type="dxa" w:w="280"/>
              <w:bottom w:type="dxa" w:w="160"/>
              <w:right w:type="dxa" w:w="280"/>
            </w:tcMar>
            <w:vAlign w:val="center"/>
          </w:tcPr>
          <w:p>
            <w:pPr>
              <w:spacing w:after="0" w:before="0"/>
              <w:jc w:val="center"/>
            </w:pPr>
            <w:r>
              <w:rPr>
                <w:b/>
                <w:bCs/>
                <w:color w:val="FFFFFF"/>
                <w:sz w:val="26"/>
                <w:szCs w:val="26"/>
              </w:rPr>
              <w:t xml:space="preserve">Step 3 — Where It’s Stored  (database)</w:t>
            </w:r>
          </w:p>
        </w:tc>
      </w:tr>
    </w:tbl>
    <w:p>
      <w:pPr>
        <w:spacing w:after="0" w:before="80"/>
      </w:pPr>
    </w:p>
    <w:p>
      <w:pPr>
        <w:spacing w:after="120" w:before="120"/>
        <w:ind w:left="200"/>
      </w:pPr>
      <w:r>
        <w:rPr>
          <w:color w:val="374151"/>
          <w:sz w:val="21"/>
          <w:szCs w:val="21"/>
        </w:rPr>
        <w:t xml:space="preserve">The intelligence data is stored permanently across several database tables:</w:t>
      </w:r>
    </w:p>
    <w:p>
      <w:pPr>
        <w:spacing w:after="0" w:before="4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4380"/>
            <w:tcBorders>
              <w:top w:val="none" w:color="FFFFFF" w:sz="0"/>
              <w:left w:val="none" w:color="FFFFFF" w:sz="0"/>
              <w:bottom w:val="none" w:color="FFFFFF" w:sz="0"/>
              <w:right w:val="none" w:color="FFFFFF" w:sz="0"/>
            </w:tcBorders>
            <w:shd w:color="5B21B6" w:val="solid"/>
            <w:tcMar>
              <w:top w:type="dxa" w:w="140"/>
              <w:left w:type="dxa" w:w="200"/>
              <w:bottom w:type="dxa" w:w="140"/>
              <w:right w:type="dxa" w:w="200"/>
            </w:tcMar>
            <w:vAlign w:val="center"/>
          </w:tcPr>
          <w:p>
            <w:pPr>
              <w:spacing w:after="30" w:before="0"/>
              <w:jc w:val="center"/>
            </w:pPr>
            <w:r>
              <w:rPr>
                <w:b/>
                <w:bCs/>
                <w:color w:val="FFFFFF"/>
                <w:sz w:val="21"/>
                <w:szCs w:val="21"/>
              </w:rPr>
              <w:t xml:space="preserve">💾  intelligence_reports</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The main report — summary, key moments,</w:t>
            </w:r>
          </w:p>
          <w:p>
            <w:pPr>
              <w:spacing w:after="30" w:before="0"/>
              <w:jc w:val="center"/>
            </w:pPr>
            <w:r>
              <w:rPr>
                <w:b w:val="false"/>
                <w:bCs w:val="false"/>
                <w:color w:val="FFFFFF"/>
                <w:sz w:val="17"/>
                <w:szCs w:val="17"/>
              </w:rPr>
              <w:t xml:space="preserve">sentiment breakdown, Q&amp;A analysis.</w:t>
            </w:r>
          </w:p>
          <w:p>
            <w:pPr>
              <w:spacing w:after="30" w:before="0"/>
              <w:jc w:val="center"/>
            </w:pPr>
            <w:r>
              <w:rPr>
                <w:b w:val="false"/>
                <w:bCs w:val="false"/>
                <w:color w:val="FFFFFF"/>
                <w:sz w:val="17"/>
                <w:szCs w:val="17"/>
              </w:rPr>
              <w:t xml:space="preserve">One record per event.</w:t>
            </w:r>
          </w:p>
        </w:tc>
        <w:tc>
          <w:tcPr>
            <w:tcW w:type="dxa" w:w="240"/>
            <w:tcBorders>
              <w:top w:val="none" w:color="FFFFFF" w:sz="0"/>
              <w:left w:val="none" w:color="FFFFFF" w:sz="0"/>
              <w:bottom w:val="none" w:color="FFFFFF" w:sz="0"/>
              <w:right w:val="none" w:color="FFFFFF" w:sz="0"/>
            </w:tcBorders>
          </w:tcPr>
          <w:p/>
        </w:tc>
        <w:tc>
          <w:tcPr>
            <w:tcW w:type="dxa" w:w="4380"/>
            <w:tcBorders>
              <w:top w:val="none" w:color="FFFFFF" w:sz="0"/>
              <w:left w:val="none" w:color="FFFFFF" w:sz="0"/>
              <w:bottom w:val="none" w:color="FFFFFF" w:sz="0"/>
              <w:right w:val="none" w:color="FFFFFF" w:sz="0"/>
            </w:tcBorders>
            <w:shd w:color="4C1D95" w:val="solid"/>
            <w:tcMar>
              <w:top w:type="dxa" w:w="140"/>
              <w:left w:type="dxa" w:w="200"/>
              <w:bottom w:type="dxa" w:w="140"/>
              <w:right w:type="dxa" w:w="200"/>
            </w:tcMar>
            <w:vAlign w:val="center"/>
          </w:tcPr>
          <w:p>
            <w:pPr>
              <w:spacing w:after="30" w:before="0"/>
              <w:jc w:val="center"/>
            </w:pPr>
            <w:r>
              <w:rPr>
                <w:b/>
                <w:bCs/>
                <w:color w:val="FFFFFF"/>
                <w:sz w:val="21"/>
                <w:szCs w:val="21"/>
              </w:rPr>
              <w:t xml:space="preserve">💾  aggregate_intelligence</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Anonymised data across all events —</w:t>
            </w:r>
          </w:p>
          <w:p>
            <w:pPr>
              <w:spacing w:after="30" w:before="0"/>
              <w:jc w:val="center"/>
            </w:pPr>
            <w:r>
              <w:rPr>
                <w:b w:val="false"/>
                <w:bCs w:val="false"/>
                <w:color w:val="FFFFFF"/>
                <w:sz w:val="17"/>
                <w:szCs w:val="17"/>
              </w:rPr>
              <w:t xml:space="preserve">trends, patterns, industry benchmarks.</w:t>
            </w:r>
          </w:p>
          <w:p>
            <w:pPr>
              <w:spacing w:after="30" w:before="0"/>
              <w:jc w:val="center"/>
            </w:pPr>
            <w:r>
              <w:rPr>
                <w:b w:val="false"/>
                <w:bCs w:val="false"/>
                <w:color w:val="FFFFFF"/>
                <w:sz w:val="17"/>
                <w:szCs w:val="17"/>
              </w:rPr>
              <w:t xml:space="preserve">Feeds the Intelligence Terminal.</w:t>
            </w:r>
          </w:p>
        </w:tc>
      </w:tr>
    </w:tbl>
    <w:p>
      <w:pPr>
        <w:spacing w:after="0" w:before="6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4380"/>
            <w:tcBorders>
              <w:top w:val="none" w:color="FFFFFF" w:sz="0"/>
              <w:left w:val="none" w:color="FFFFFF" w:sz="0"/>
              <w:bottom w:val="none" w:color="FFFFFF" w:sz="0"/>
              <w:right w:val="none" w:color="FFFFFF" w:sz="0"/>
            </w:tcBorders>
            <w:shd w:color="6D28D9" w:val="solid"/>
            <w:tcMar>
              <w:top w:type="dxa" w:w="140"/>
              <w:left w:type="dxa" w:w="200"/>
              <w:bottom w:type="dxa" w:w="140"/>
              <w:right w:type="dxa" w:w="200"/>
            </w:tcMar>
            <w:vAlign w:val="center"/>
          </w:tcPr>
          <w:p>
            <w:pPr>
              <w:spacing w:after="30" w:before="0"/>
              <w:jc w:val="center"/>
            </w:pPr>
            <w:r>
              <w:rPr>
                <w:b/>
                <w:bCs/>
                <w:color w:val="FFFFFF"/>
                <w:sz w:val="21"/>
                <w:szCs w:val="21"/>
              </w:rPr>
              <w:t xml:space="preserve">💾  occ_transcription_segments</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Raw transcript — every word,</w:t>
            </w:r>
          </w:p>
          <w:p>
            <w:pPr>
              <w:spacing w:after="30" w:before="0"/>
              <w:jc w:val="center"/>
            </w:pPr>
            <w:r>
              <w:rPr>
                <w:b w:val="false"/>
                <w:bCs w:val="false"/>
                <w:color w:val="FFFFFF"/>
                <w:sz w:val="17"/>
                <w:szCs w:val="17"/>
              </w:rPr>
              <w:t xml:space="preserve">timestamped, per speaker.</w:t>
            </w:r>
          </w:p>
          <w:p>
            <w:pPr>
              <w:spacing w:after="30" w:before="0"/>
              <w:jc w:val="center"/>
            </w:pPr>
            <w:r>
              <w:rPr>
                <w:b w:val="false"/>
                <w:bCs w:val="false"/>
                <w:color w:val="FFFFFF"/>
                <w:sz w:val="17"/>
                <w:szCs w:val="17"/>
              </w:rPr>
              <w:t xml:space="preserve">Searchable and editable after the call.</w:t>
            </w:r>
          </w:p>
        </w:tc>
        <w:tc>
          <w:tcPr>
            <w:tcW w:type="dxa" w:w="240"/>
            <w:tcBorders>
              <w:top w:val="none" w:color="FFFFFF" w:sz="0"/>
              <w:left w:val="none" w:color="FFFFFF" w:sz="0"/>
              <w:bottom w:val="none" w:color="FFFFFF" w:sz="0"/>
              <w:right w:val="none" w:color="FFFFFF" w:sz="0"/>
            </w:tcBorders>
          </w:tcPr>
          <w:p/>
        </w:tc>
        <w:tc>
          <w:tcPr>
            <w:tcW w:type="dxa" w:w="4380"/>
            <w:tcBorders>
              <w:top w:val="none" w:color="FFFFFF" w:sz="0"/>
              <w:left w:val="none" w:color="FFFFFF" w:sz="0"/>
              <w:bottom w:val="none" w:color="FFFFFF" w:sz="0"/>
              <w:right w:val="none" w:color="FFFFFF" w:sz="0"/>
            </w:tcBorders>
            <w:shd w:color="7C3AED" w:val="solid"/>
            <w:tcMar>
              <w:top w:type="dxa" w:w="140"/>
              <w:left w:type="dxa" w:w="200"/>
              <w:bottom w:type="dxa" w:w="140"/>
              <w:right w:type="dxa" w:w="200"/>
            </w:tcMar>
            <w:vAlign w:val="center"/>
          </w:tcPr>
          <w:p>
            <w:pPr>
              <w:spacing w:after="30" w:before="0"/>
              <w:jc w:val="center"/>
            </w:pPr>
            <w:r>
              <w:rPr>
                <w:b/>
                <w:bCs/>
                <w:color w:val="FFFFFF"/>
                <w:sz w:val="21"/>
                <w:szCs w:val="21"/>
              </w:rPr>
              <w:t xml:space="preserve">💾  investor_questions +</w:t>
            </w:r>
          </w:p>
          <w:p>
            <w:pPr>
              <w:spacing w:after="30" w:before="0"/>
              <w:jc w:val="center"/>
            </w:pPr>
            <w:r>
              <w:rPr>
                <w:b w:val="false"/>
                <w:bCs w:val="false"/>
                <w:color w:val="FFFFFF"/>
                <w:sz w:val="17"/>
                <w:szCs w:val="17"/>
              </w:rPr>
              <w:t xml:space="preserve">market_reaction_correlations</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Q&amp;A data and market signals</w:t>
            </w:r>
          </w:p>
          <w:p>
            <w:pPr>
              <w:spacing w:after="30" w:before="0"/>
              <w:jc w:val="center"/>
            </w:pPr>
            <w:r>
              <w:rPr>
                <w:b w:val="false"/>
                <w:bCs w:val="false"/>
                <w:color w:val="FFFFFF"/>
                <w:sz w:val="17"/>
                <w:szCs w:val="17"/>
              </w:rPr>
              <w:t xml:space="preserve">captured during the event.</w:t>
            </w:r>
          </w:p>
        </w:tc>
      </w:tr>
    </w:tbl>
    <w:p>
      <w:pPr>
        <w:spacing w:after="0" w:before="60"/>
      </w:pPr>
    </w:p>
    <w:p>
      <w:pPr>
        <w:spacing w:after="120" w:before="120"/>
        <w:ind w:left="200"/>
      </w:pPr>
      <w:r>
        <w:rPr>
          <w:color w:val="374151"/>
          <w:sz w:val="21"/>
          <w:szCs w:val="21"/>
        </w:rPr>
        <w:t xml:space="preserve">All of this data is linked to the event. It stays in the database permanently and can be accessed at any time, months or years later.</w:t>
      </w:r>
    </w:p>
    <w:p>
      <w:pPr>
        <w:spacing w:after="0" w:before="200"/>
      </w:pPr>
    </w:p>
    <w:p>
      <w:r>
        <w:rPr>
          <w:sz w:val="2"/>
          <w:szCs w:val="2"/>
        </w:rPr>
        <w:t xml:space="preserve"/>
      </w:r>
      <w:r>
        <w:br w:type="page"/>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E40AF" w:val="solid"/>
            <w:tcMar>
              <w:top w:type="dxa" w:w="160"/>
              <w:left w:type="dxa" w:w="280"/>
              <w:bottom w:type="dxa" w:w="160"/>
              <w:right w:type="dxa" w:w="280"/>
            </w:tcMar>
            <w:vAlign w:val="center"/>
          </w:tcPr>
          <w:p>
            <w:pPr>
              <w:spacing w:after="0" w:before="0"/>
              <w:jc w:val="center"/>
            </w:pPr>
            <w:r>
              <w:rPr>
                <w:b/>
                <w:bCs/>
                <w:color w:val="FFFFFF"/>
                <w:sz w:val="26"/>
                <w:szCs w:val="26"/>
              </w:rPr>
              <w:t xml:space="preserve">Step 4 — How You Access It  (three pages in the platform)</w:t>
            </w:r>
          </w:p>
        </w:tc>
      </w:tr>
    </w:tbl>
    <w:p>
      <w:pPr>
        <w:spacing w:after="0" w:before="8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dxa" w:w="2900"/>
            <w:tcBorders>
              <w:top w:val="none" w:color="FFFFFF" w:sz="0"/>
              <w:left w:val="none" w:color="FFFFFF" w:sz="0"/>
              <w:bottom w:val="none" w:color="FFFFFF" w:sz="0"/>
              <w:right w:val="none" w:color="FFFFFF" w:sz="0"/>
            </w:tcBorders>
            <w:shd w:color="1E40AF" w:val="solid"/>
            <w:tcMar>
              <w:top w:type="dxa" w:w="140"/>
              <w:left w:type="dxa" w:w="180"/>
              <w:bottom w:type="dxa" w:w="140"/>
              <w:right w:type="dxa" w:w="180"/>
            </w:tcMar>
            <w:vAlign w:val="center"/>
          </w:tcPr>
          <w:p>
            <w:pPr>
              <w:spacing w:after="30" w:before="0"/>
              <w:jc w:val="center"/>
            </w:pPr>
            <w:r>
              <w:rPr>
                <w:b/>
                <w:bCs/>
                <w:color w:val="FFFFFF"/>
                <w:sz w:val="21"/>
                <w:szCs w:val="21"/>
              </w:rPr>
              <w:t xml:space="preserve">📊  Intelligence Terminal</w:t>
            </w:r>
          </w:p>
          <w:p>
            <w:pPr>
              <w:spacing w:after="30" w:before="0"/>
              <w:jc w:val="center"/>
            </w:pPr>
            <w:r>
              <w:rPr>
                <w:b w:val="false"/>
                <w:bCs w:val="false"/>
                <w:color w:val="FFFFFF"/>
                <w:sz w:val="17"/>
                <w:szCs w:val="17"/>
              </w:rPr>
              <w:t xml:space="preserve">/intelligence-terminal</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Bloomberg-style dashboard</w:t>
            </w:r>
          </w:p>
          <w:p>
            <w:pPr>
              <w:spacing w:after="30" w:before="0"/>
              <w:jc w:val="center"/>
            </w:pPr>
            <w:r>
              <w:rPr>
                <w:b w:val="false"/>
                <w:bCs w:val="false"/>
                <w:color w:val="FFFFFF"/>
                <w:sz w:val="17"/>
                <w:szCs w:val="17"/>
              </w:rPr>
              <w:t xml:space="preserve">showing trends across</w:t>
            </w:r>
          </w:p>
          <w:p>
            <w:pPr>
              <w:spacing w:after="30" w:before="0"/>
              <w:jc w:val="center"/>
            </w:pPr>
            <w:r>
              <w:rPr>
                <w:b w:val="false"/>
                <w:bCs w:val="false"/>
                <w:color w:val="FFFFFF"/>
                <w:sz w:val="17"/>
                <w:szCs w:val="17"/>
              </w:rPr>
              <w:t xml:space="preserve">ALL events over time</w:t>
            </w:r>
          </w:p>
        </w:tc>
        <w:tc>
          <w:tcPr>
            <w:tcW w:type="dxa" w:w="100"/>
            <w:tcBorders>
              <w:top w:val="none" w:color="FFFFFF" w:sz="0"/>
              <w:left w:val="none" w:color="FFFFFF" w:sz="0"/>
              <w:bottom w:val="none" w:color="FFFFFF" w:sz="0"/>
              <w:right w:val="none" w:color="FFFFFF" w:sz="0"/>
            </w:tcBorders>
          </w:tcPr>
          <w:p/>
        </w:tc>
        <w:tc>
          <w:tcPr>
            <w:tcW w:type="dxa" w:w="2900"/>
            <w:tcBorders>
              <w:top w:val="none" w:color="FFFFFF" w:sz="0"/>
              <w:left w:val="none" w:color="FFFFFF" w:sz="0"/>
              <w:bottom w:val="none" w:color="FFFFFF" w:sz="0"/>
              <w:right w:val="none" w:color="FFFFFF" w:sz="0"/>
            </w:tcBorders>
            <w:shd w:color="1D4ED8" w:val="solid"/>
            <w:tcMar>
              <w:top w:type="dxa" w:w="140"/>
              <w:left w:type="dxa" w:w="180"/>
              <w:bottom w:type="dxa" w:w="140"/>
              <w:right w:type="dxa" w:w="180"/>
            </w:tcMar>
            <w:vAlign w:val="center"/>
          </w:tcPr>
          <w:p>
            <w:pPr>
              <w:spacing w:after="30" w:before="0"/>
              <w:jc w:val="center"/>
            </w:pPr>
            <w:r>
              <w:rPr>
                <w:b/>
                <w:bCs/>
                <w:color w:val="FFFFFF"/>
                <w:sz w:val="21"/>
                <w:szCs w:val="21"/>
              </w:rPr>
              <w:t xml:space="preserve">📄  Intelligence Report</w:t>
            </w:r>
          </w:p>
          <w:p>
            <w:pPr>
              <w:spacing w:after="30" w:before="0"/>
              <w:jc w:val="center"/>
            </w:pPr>
            <w:r>
              <w:rPr>
                <w:b w:val="false"/>
                <w:bCs w:val="false"/>
                <w:color w:val="FFFFFF"/>
                <w:sz w:val="17"/>
                <w:szCs w:val="17"/>
              </w:rPr>
              <w:t xml:space="preserve">/intelligence-report</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Per-event report with</w:t>
            </w:r>
          </w:p>
          <w:p>
            <w:pPr>
              <w:spacing w:after="30" w:before="0"/>
              <w:jc w:val="center"/>
            </w:pPr>
            <w:r>
              <w:rPr>
                <w:b w:val="false"/>
                <w:bCs w:val="false"/>
                <w:color w:val="FFFFFF"/>
                <w:sz w:val="17"/>
                <w:szCs w:val="17"/>
              </w:rPr>
              <w:t xml:space="preserve">full summary, key moments</w:t>
            </w:r>
          </w:p>
          <w:p>
            <w:pPr>
              <w:spacing w:after="30" w:before="0"/>
              <w:jc w:val="center"/>
            </w:pPr>
            <w:r>
              <w:rPr>
                <w:b w:val="false"/>
                <w:bCs w:val="false"/>
                <w:color w:val="FFFFFF"/>
                <w:sz w:val="17"/>
                <w:szCs w:val="17"/>
              </w:rPr>
              <w:t xml:space="preserve">and sentiment breakdown</w:t>
            </w:r>
          </w:p>
        </w:tc>
        <w:tc>
          <w:tcPr>
            <w:tcW w:type="dxa" w:w="100"/>
            <w:tcBorders>
              <w:top w:val="none" w:color="FFFFFF" w:sz="0"/>
              <w:left w:val="none" w:color="FFFFFF" w:sz="0"/>
              <w:bottom w:val="none" w:color="FFFFFF" w:sz="0"/>
              <w:right w:val="none" w:color="FFFFFF" w:sz="0"/>
            </w:tcBorders>
          </w:tcPr>
          <w:p/>
        </w:tc>
        <w:tc>
          <w:tcPr>
            <w:tcW w:type="dxa" w:w="2900"/>
            <w:tcBorders>
              <w:top w:val="none" w:color="FFFFFF" w:sz="0"/>
              <w:left w:val="none" w:color="FFFFFF" w:sz="0"/>
              <w:bottom w:val="none" w:color="FFFFFF" w:sz="0"/>
              <w:right w:val="none" w:color="FFFFFF" w:sz="0"/>
            </w:tcBorders>
            <w:shd w:color="2563EB" w:val="solid"/>
            <w:tcMar>
              <w:top w:type="dxa" w:w="140"/>
              <w:left w:type="dxa" w:w="180"/>
              <w:bottom w:type="dxa" w:w="140"/>
              <w:right w:type="dxa" w:w="180"/>
            </w:tcMar>
            <w:vAlign w:val="center"/>
          </w:tcPr>
          <w:p>
            <w:pPr>
              <w:spacing w:after="30" w:before="0"/>
              <w:jc w:val="center"/>
            </w:pPr>
            <w:r>
              <w:rPr>
                <w:b/>
                <w:bCs/>
                <w:color w:val="FFFFFF"/>
                <w:sz w:val="21"/>
                <w:szCs w:val="21"/>
              </w:rPr>
              <w:t xml:space="preserve">🗒️  Transcript Page</w:t>
            </w:r>
          </w:p>
          <w:p>
            <w:pPr>
              <w:spacing w:after="30" w:before="0"/>
              <w:jc w:val="center"/>
            </w:pPr>
            <w:r>
              <w:rPr>
                <w:b w:val="false"/>
                <w:bCs w:val="false"/>
                <w:color w:val="FFFFFF"/>
                <w:sz w:val="17"/>
                <w:szCs w:val="17"/>
              </w:rPr>
              <w:t xml:space="preserve">/transcript</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Full word-for-word transcript</w:t>
            </w:r>
          </w:p>
          <w:p>
            <w:pPr>
              <w:spacing w:after="30" w:before="0"/>
              <w:jc w:val="center"/>
            </w:pPr>
            <w:r>
              <w:rPr>
                <w:b w:val="false"/>
                <w:bCs w:val="false"/>
                <w:color w:val="FFFFFF"/>
                <w:sz w:val="17"/>
                <w:szCs w:val="17"/>
              </w:rPr>
              <w:t xml:space="preserve">Searchable and editable</w:t>
            </w:r>
          </w:p>
          <w:p>
            <w:pPr>
              <w:spacing w:after="30" w:before="0"/>
              <w:jc w:val="center"/>
            </w:pPr>
            <w:r>
              <w:rPr>
                <w:b w:val="false"/>
                <w:bCs w:val="false"/>
                <w:color w:val="FFFFFF"/>
                <w:sz w:val="17"/>
                <w:szCs w:val="17"/>
              </w:rPr>
              <w:t xml:space="preserve">by operators</w:t>
            </w:r>
          </w:p>
        </w:tc>
      </w:tr>
    </w:tbl>
    <w:p>
      <w:pPr>
        <w:spacing w:after="0" w:before="80"/>
      </w:pPr>
    </w:p>
    <w:p>
      <w:pPr>
        <w:spacing w:after="100" w:before="300"/>
      </w:pPr>
      <w:r>
        <w:rPr>
          <w:b/>
          <w:bCs/>
          <w:color w:val="1E3A8A"/>
          <w:sz w:val="24"/>
          <w:szCs w:val="24"/>
        </w:rPr>
        <w:t xml:space="preserve">Intelligence Terminal — the big picture</w:t>
      </w:r>
    </w:p>
    <w:p>
      <w:pPr>
        <w:spacing w:after="120" w:before="120"/>
        <w:ind w:left="200"/>
      </w:pPr>
      <w:r>
        <w:rPr>
          <w:color w:val="374151"/>
          <w:sz w:val="21"/>
          <w:szCs w:val="21"/>
        </w:rPr>
        <w:t xml:space="preserve">This is the dashboard that shows patterns across all your events. It answers questions like: are investor concerns getting worse? Is sentiment trending down in a sector? What topics are coming up more often? This is where the anonymised benchmarking dataset lives — one of CuraLive’s most valuable assets for acquisition.</w:t>
      </w:r>
    </w:p>
    <w:p>
      <w:pPr>
        <w:spacing w:after="100" w:before="300"/>
      </w:pPr>
      <w:r>
        <w:rPr>
          <w:b/>
          <w:bCs/>
          <w:color w:val="1E3A8A"/>
          <w:sz w:val="24"/>
          <w:szCs w:val="24"/>
        </w:rPr>
        <w:t xml:space="preserve">Intelligence Report — per-event deep dive</w:t>
      </w:r>
    </w:p>
    <w:p>
      <w:pPr>
        <w:spacing w:after="120" w:before="120"/>
        <w:ind w:left="200"/>
      </w:pPr>
      <w:r>
        <w:rPr>
          <w:color w:val="374151"/>
          <w:sz w:val="21"/>
          <w:szCs w:val="21"/>
        </w:rPr>
        <w:t xml:space="preserve">After each event, this page shows the complete report: what was discussed, the key moments AI identified, how each speaker’s sentiment tracked, what the Q&amp;A revealed, and what was flagged for compliance. This is what would be sent to the client.</w:t>
      </w:r>
    </w:p>
    <w:p>
      <w:pPr>
        <w:spacing w:after="100" w:before="300"/>
      </w:pPr>
      <w:r>
        <w:rPr>
          <w:b/>
          <w:bCs/>
          <w:color w:val="1E3A8A"/>
          <w:sz w:val="24"/>
          <w:szCs w:val="24"/>
        </w:rPr>
        <w:t xml:space="preserve">Transcript Page — the raw record</w:t>
      </w:r>
    </w:p>
    <w:p>
      <w:pPr>
        <w:spacing w:after="120" w:before="120"/>
        <w:ind w:left="200"/>
      </w:pPr>
      <w:r>
        <w:rPr>
          <w:color w:val="374151"/>
          <w:sz w:val="21"/>
          <w:szCs w:val="21"/>
        </w:rPr>
        <w:t xml:space="preserve">The full word-for-word transcript, timestamped and attributed to each speaker. Operators can search it, edit errors, and add annotations. This is the evidence trail — it proves what was said and when.</w:t>
      </w:r>
    </w:p>
    <w:p>
      <w:pPr>
        <w:spacing w:after="0" w:before="2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374151" w:val="solid"/>
            <w:tcMar>
              <w:top w:type="dxa" w:w="160"/>
              <w:left w:type="dxa" w:w="280"/>
              <w:bottom w:type="dxa" w:w="160"/>
              <w:right w:type="dxa" w:w="280"/>
            </w:tcMar>
            <w:vAlign w:val="center"/>
          </w:tcPr>
          <w:p>
            <w:pPr>
              <w:spacing w:after="0" w:before="0"/>
              <w:jc w:val="center"/>
            </w:pPr>
            <w:r>
              <w:rPr>
                <w:b/>
                <w:bCs/>
                <w:color w:val="FFFFFF"/>
                <w:sz w:val="26"/>
                <w:szCs w:val="26"/>
              </w:rPr>
              <w:t xml:space="preserve">Automatic vs Manual  — What Runs by Itself</w:t>
            </w:r>
          </w:p>
        </w:tc>
      </w:tr>
    </w:tbl>
    <w:p>
      <w:pPr>
        <w:spacing w:after="0" w:before="8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4380"/>
            <w:tcBorders>
              <w:top w:val="none" w:color="FFFFFF" w:sz="0"/>
              <w:left w:val="none" w:color="FFFFFF" w:sz="0"/>
              <w:bottom w:val="none" w:color="FFFFFF" w:sz="0"/>
              <w:right w:val="none" w:color="FFFFFF" w:sz="0"/>
            </w:tcBorders>
            <w:shd w:color="065F46" w:val="solid"/>
            <w:tcMar>
              <w:top w:type="dxa" w:w="140"/>
              <w:left w:type="dxa" w:w="200"/>
              <w:bottom w:type="dxa" w:w="140"/>
              <w:right w:type="dxa" w:w="200"/>
            </w:tcMar>
            <w:vAlign w:val="center"/>
          </w:tcPr>
          <w:p>
            <w:pPr>
              <w:spacing w:after="30" w:before="0"/>
              <w:jc w:val="center"/>
            </w:pPr>
            <w:r>
              <w:rPr>
                <w:b/>
                <w:bCs/>
                <w:color w:val="FFFFFF"/>
                <w:sz w:val="21"/>
                <w:szCs w:val="21"/>
              </w:rPr>
              <w:t xml:space="preserve">✅  AUTOMATIC (built &amp; working)</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Live transcription during every call</w:t>
            </w:r>
          </w:p>
          <w:p>
            <w:pPr>
              <w:spacing w:after="30" w:before="0"/>
              <w:jc w:val="center"/>
            </w:pPr>
            <w:r>
              <w:rPr>
                <w:b w:val="false"/>
                <w:bCs w:val="false"/>
                <w:color w:val="FFFFFF"/>
                <w:sz w:val="17"/>
                <w:szCs w:val="17"/>
              </w:rPr>
              <w:t xml:space="preserve">Live sentiment scoring per speaker</w:t>
            </w:r>
          </w:p>
          <w:p>
            <w:pPr>
              <w:spacing w:after="30" w:before="0"/>
              <w:jc w:val="center"/>
            </w:pPr>
            <w:r>
              <w:rPr>
                <w:b w:val="false"/>
                <w:bCs w:val="false"/>
                <w:color w:val="FFFFFF"/>
                <w:sz w:val="17"/>
                <w:szCs w:val="17"/>
              </w:rPr>
              <w:t xml:space="preserve">Live compliance flag detection</w:t>
            </w:r>
          </w:p>
          <w:p>
            <w:pPr>
              <w:spacing w:after="30" w:before="0"/>
              <w:jc w:val="center"/>
            </w:pPr>
            <w:r>
              <w:rPr>
                <w:b w:val="false"/>
                <w:bCs w:val="false"/>
                <w:color w:val="FFFFFF"/>
                <w:sz w:val="17"/>
                <w:szCs w:val="17"/>
              </w:rPr>
              <w:t xml:space="preserve">AI report generated after call ends</w:t>
            </w:r>
          </w:p>
          <w:p>
            <w:pPr>
              <w:spacing w:after="30" w:before="0"/>
              <w:jc w:val="center"/>
            </w:pPr>
            <w:r>
              <w:rPr>
                <w:b w:val="false"/>
                <w:bCs w:val="false"/>
                <w:color w:val="FFFFFF"/>
                <w:sz w:val="17"/>
                <w:szCs w:val="17"/>
              </w:rPr>
              <w:t xml:space="preserve">Data stored to all tables automatically</w:t>
            </w:r>
          </w:p>
          <w:p>
            <w:pPr>
              <w:spacing w:after="30" w:before="0"/>
              <w:jc w:val="center"/>
            </w:pPr>
            <w:r>
              <w:rPr>
                <w:b w:val="false"/>
                <w:bCs w:val="false"/>
                <w:color w:val="FFFFFF"/>
                <w:sz w:val="17"/>
                <w:szCs w:val="17"/>
              </w:rPr>
              <w:t xml:space="preserve">Intelligence Terminal updates itself</w:t>
            </w:r>
          </w:p>
          <w:p>
            <w:pPr>
              <w:spacing w:after="30" w:before="0"/>
              <w:jc w:val="center"/>
            </w:pPr>
            <w:r>
              <w:rPr>
                <w:b w:val="false"/>
                <w:bCs w:val="false"/>
                <w:color w:val="FFFFFF"/>
                <w:sz w:val="17"/>
                <w:szCs w:val="17"/>
              </w:rPr>
              <w:t xml:space="preserve">Aggregate benchmarks recalculated</w:t>
            </w:r>
          </w:p>
        </w:tc>
        <w:tc>
          <w:tcPr>
            <w:tcW w:type="dxa" w:w="240"/>
            <w:tcBorders>
              <w:top w:val="none" w:color="FFFFFF" w:sz="0"/>
              <w:left w:val="none" w:color="FFFFFF" w:sz="0"/>
              <w:bottom w:val="none" w:color="FFFFFF" w:sz="0"/>
              <w:right w:val="none" w:color="FFFFFF" w:sz="0"/>
            </w:tcBorders>
          </w:tcPr>
          <w:p/>
        </w:tc>
        <w:tc>
          <w:tcPr>
            <w:tcW w:type="dxa" w:w="4380"/>
            <w:tcBorders>
              <w:top w:val="none" w:color="FFFFFF" w:sz="0"/>
              <w:left w:val="none" w:color="FFFFFF" w:sz="0"/>
              <w:bottom w:val="none" w:color="FFFFFF" w:sz="0"/>
              <w:right w:val="none" w:color="FFFFFF" w:sz="0"/>
            </w:tcBorders>
            <w:shd w:color="1E40AF" w:val="solid"/>
            <w:tcMar>
              <w:top w:type="dxa" w:w="140"/>
              <w:left w:type="dxa" w:w="200"/>
              <w:bottom w:type="dxa" w:w="140"/>
              <w:right w:type="dxa" w:w="200"/>
            </w:tcMar>
            <w:vAlign w:val="center"/>
          </w:tcPr>
          <w:p>
            <w:pPr>
              <w:spacing w:after="30" w:before="0"/>
              <w:jc w:val="center"/>
            </w:pPr>
            <w:r>
              <w:rPr>
                <w:b/>
                <w:bCs/>
                <w:color w:val="FFFFFF"/>
                <w:sz w:val="21"/>
                <w:szCs w:val="21"/>
              </w:rPr>
              <w:t xml:space="preserve">✏️  MANUAL (available to operators)</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Re-trigger AI report for any event</w:t>
            </w:r>
          </w:p>
          <w:p>
            <w:pPr>
              <w:spacing w:after="30" w:before="0"/>
              <w:jc w:val="center"/>
            </w:pPr>
            <w:r>
              <w:rPr>
                <w:b w:val="false"/>
                <w:bCs w:val="false"/>
                <w:color w:val="FFFFFF"/>
                <w:sz w:val="17"/>
                <w:szCs w:val="17"/>
              </w:rPr>
              <w:t xml:space="preserve">Edit transcript after the call</w:t>
            </w:r>
          </w:p>
          <w:p>
            <w:pPr>
              <w:spacing w:after="30" w:before="0"/>
              <w:jc w:val="center"/>
            </w:pPr>
            <w:r>
              <w:rPr>
                <w:b w:val="false"/>
                <w:bCs w:val="false"/>
                <w:color w:val="FFFFFF"/>
                <w:sz w:val="17"/>
                <w:szCs w:val="17"/>
              </w:rPr>
              <w:t xml:space="preserve">Add notes and annotations</w:t>
            </w:r>
          </w:p>
          <w:p>
            <w:pPr>
              <w:spacing w:after="30" w:before="0"/>
              <w:jc w:val="center"/>
            </w:pPr>
            <w:r>
              <w:rPr>
                <w:b w:val="false"/>
                <w:bCs w:val="false"/>
                <w:color w:val="FFFFFF"/>
                <w:sz w:val="17"/>
                <w:szCs w:val="17"/>
              </w:rPr>
              <w:t xml:space="preserve">Search across all transcripts</w:t>
            </w:r>
          </w:p>
          <w:p>
            <w:pPr>
              <w:spacing w:after="30" w:before="0"/>
              <w:jc w:val="center"/>
            </w:pPr>
            <w:r>
              <w:rPr>
                <w:b w:val="false"/>
                <w:bCs w:val="false"/>
                <w:color w:val="FFFFFF"/>
                <w:sz w:val="17"/>
                <w:szCs w:val="17"/>
              </w:rPr>
              <w:t xml:space="preserve">View historical reports at any time</w:t>
            </w:r>
          </w:p>
          <w:p>
            <w:pPr>
              <w:spacing w:after="30" w:before="0"/>
              <w:jc w:val="center"/>
            </w:pPr>
            <w:r>
              <w:rPr>
                <w:b w:val="false"/>
                <w:bCs w:val="false"/>
                <w:color w:val="FFFFFF"/>
                <w:sz w:val="17"/>
                <w:szCs w:val="17"/>
              </w:rPr>
              <w:t xml:space="preserve">Compare events side by side</w:t>
            </w:r>
          </w:p>
          <w:p>
            <w:pPr>
              <w:spacing w:after="30" w:before="0"/>
              <w:jc w:val="center"/>
            </w:pPr>
            <w:r>
              <w:rPr>
                <w:b w:val="false"/>
                <w:bCs w:val="false"/>
                <w:color w:val="FFFFFF"/>
                <w:sz w:val="17"/>
                <w:szCs w:val="17"/>
              </w:rPr>
              <w:t xml:space="preserve">in the Intelligence Terminal</w:t>
            </w:r>
          </w:p>
        </w:tc>
      </w:tr>
    </w:tbl>
    <w:p>
      <w:pPr>
        <w:spacing w:after="0" w:before="12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991B1B" w:val="solid"/>
            <w:tcMar>
              <w:top w:type="dxa" w:w="80"/>
              <w:left w:type="dxa" w:w="280"/>
              <w:bottom w:type="dxa" w:w="80"/>
              <w:right w:type="dxa" w:w="280"/>
            </w:tcMar>
          </w:tcPr>
          <w:p>
            <w:pPr>
              <w:jc w:val="center"/>
            </w:pPr>
            <w:r>
              <w:rPr>
                <w:b/>
                <w:bCs/>
                <w:color w:val="FFFFFF"/>
                <w:sz w:val="20"/>
                <w:szCs w:val="20"/>
              </w:rPr>
              <w:t xml:space="preserve">WHAT’S NOT YET BUILT  (delivery to the client)</w:t>
            </w:r>
          </w:p>
        </w:tc>
      </w:tr>
    </w:tbl>
    <w:p>
      <w:pPr>
        <w:spacing w:after="0" w:before="6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4380"/>
            <w:tcBorders>
              <w:top w:val="none" w:color="FFFFFF" w:sz="0"/>
              <w:left w:val="none" w:color="FFFFFF" w:sz="0"/>
              <w:bottom w:val="none" w:color="FFFFFF" w:sz="0"/>
              <w:right w:val="none" w:color="FFFFFF" w:sz="0"/>
            </w:tcBorders>
            <w:shd w:color="991B1B" w:val="solid"/>
            <w:tcMar>
              <w:top w:type="dxa" w:w="140"/>
              <w:left w:type="dxa" w:w="200"/>
              <w:bottom w:type="dxa" w:w="140"/>
              <w:right w:type="dxa" w:w="200"/>
            </w:tcMar>
            <w:vAlign w:val="center"/>
          </w:tcPr>
          <w:p>
            <w:pPr>
              <w:spacing w:after="30" w:before="0"/>
              <w:jc w:val="center"/>
            </w:pPr>
            <w:r>
              <w:rPr>
                <w:b/>
                <w:bCs/>
                <w:color w:val="FFFFFF"/>
                <w:sz w:val="21"/>
                <w:szCs w:val="21"/>
              </w:rPr>
              <w:t xml:space="preserve">🔲  PDF Export</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Operator generates a formatted PDF</w:t>
            </w:r>
          </w:p>
          <w:p>
            <w:pPr>
              <w:spacing w:after="30" w:before="0"/>
              <w:jc w:val="center"/>
            </w:pPr>
            <w:r>
              <w:rPr>
                <w:b w:val="false"/>
                <w:bCs w:val="false"/>
                <w:color w:val="FFFFFF"/>
                <w:sz w:val="17"/>
                <w:szCs w:val="17"/>
              </w:rPr>
              <w:t xml:space="preserve">of the Intelligence Report and</w:t>
            </w:r>
          </w:p>
          <w:p>
            <w:pPr>
              <w:spacing w:after="30" w:before="0"/>
              <w:jc w:val="center"/>
            </w:pPr>
            <w:r>
              <w:rPr>
                <w:b w:val="false"/>
                <w:bCs w:val="false"/>
                <w:color w:val="FFFFFF"/>
                <w:sz w:val="17"/>
                <w:szCs w:val="17"/>
              </w:rPr>
              <w:t xml:space="preserve">forwards it to the client by email</w:t>
            </w:r>
          </w:p>
        </w:tc>
        <w:tc>
          <w:tcPr>
            <w:tcW w:type="dxa" w:w="240"/>
            <w:tcBorders>
              <w:top w:val="none" w:color="FFFFFF" w:sz="0"/>
              <w:left w:val="none" w:color="FFFFFF" w:sz="0"/>
              <w:bottom w:val="none" w:color="FFFFFF" w:sz="0"/>
              <w:right w:val="none" w:color="FFFFFF" w:sz="0"/>
            </w:tcBorders>
          </w:tcPr>
          <w:p/>
        </w:tc>
        <w:tc>
          <w:tcPr>
            <w:tcW w:type="dxa" w:w="4380"/>
            <w:tcBorders>
              <w:top w:val="none" w:color="FFFFFF" w:sz="0"/>
              <w:left w:val="none" w:color="FFFFFF" w:sz="0"/>
              <w:bottom w:val="none" w:color="FFFFFF" w:sz="0"/>
              <w:right w:val="none" w:color="FFFFFF" w:sz="0"/>
            </w:tcBorders>
            <w:shd w:color="7F1D1D" w:val="solid"/>
            <w:tcMar>
              <w:top w:type="dxa" w:w="140"/>
              <w:left w:type="dxa" w:w="200"/>
              <w:bottom w:type="dxa" w:w="140"/>
              <w:right w:type="dxa" w:w="200"/>
            </w:tcMar>
            <w:vAlign w:val="center"/>
          </w:tcPr>
          <w:p>
            <w:pPr>
              <w:spacing w:after="30" w:before="0"/>
              <w:jc w:val="center"/>
            </w:pPr>
            <w:r>
              <w:rPr>
                <w:b/>
                <w:bCs/>
                <w:color w:val="FFFFFF"/>
                <w:sz w:val="21"/>
                <w:szCs w:val="21"/>
              </w:rPr>
              <w:t xml:space="preserve">🔲  Auto Email</w:t>
            </w:r>
          </w:p>
          <w:p>
            <w:pPr>
              <w:spacing w:after="30" w:before="0"/>
              <w:jc w:val="center"/>
            </w:pPr>
            <w:r>
              <w:rPr>
                <w:b w:val="false"/>
                <w:bCs w:val="false"/>
                <w:color w:val="FFFFFF"/>
                <w:sz w:val="17"/>
                <w:szCs w:val="17"/>
              </w:rPr>
              <w:t xml:space="preserve"/>
            </w:r>
          </w:p>
          <w:p>
            <w:pPr>
              <w:spacing w:after="30" w:before="0"/>
              <w:jc w:val="center"/>
            </w:pPr>
            <w:r>
              <w:rPr>
                <w:b w:val="false"/>
                <w:bCs w:val="false"/>
                <w:color w:val="FFFFFF"/>
                <w:sz w:val="17"/>
                <w:szCs w:val="17"/>
              </w:rPr>
              <w:t xml:space="preserve">The platform automatically emails</w:t>
            </w:r>
          </w:p>
          <w:p>
            <w:pPr>
              <w:spacing w:after="30" w:before="0"/>
              <w:jc w:val="center"/>
            </w:pPr>
            <w:r>
              <w:rPr>
                <w:b w:val="false"/>
                <w:bCs w:val="false"/>
                <w:color w:val="FFFFFF"/>
                <w:sz w:val="17"/>
                <w:szCs w:val="17"/>
              </w:rPr>
              <w:t xml:space="preserve">the completed report to the client</w:t>
            </w:r>
          </w:p>
          <w:p>
            <w:pPr>
              <w:spacing w:after="30" w:before="0"/>
              <w:jc w:val="center"/>
            </w:pPr>
            <w:r>
              <w:rPr>
                <w:b w:val="false"/>
                <w:bCs w:val="false"/>
                <w:color w:val="FFFFFF"/>
                <w:sz w:val="17"/>
                <w:szCs w:val="17"/>
              </w:rPr>
              <w:t xml:space="preserve">when the event ends — no operator needed</w:t>
            </w:r>
          </w:p>
        </w:tc>
      </w:tr>
    </w:tbl>
    <w:p>
      <w:pPr>
        <w:spacing w:after="0" w:before="60"/>
      </w:pPr>
    </w:p>
    <w:p>
      <w:pPr>
        <w:spacing w:after="120" w:before="120"/>
        <w:ind w:left="200"/>
      </w:pPr>
      <w:r>
        <w:rPr>
          <w:color w:val="374151"/>
          <w:sz w:val="21"/>
          <w:szCs w:val="21"/>
        </w:rPr>
        <w:t xml:space="preserve">Right now, clients must log into CuraLive to view their reports. PDF export and auto-email are the next two delivery features to build. Once these are in place, the full lifecycle is complete: capture → analyse → store → deliver.</w:t>
      </w:r>
    </w:p>
    <w:p>
      <w:pPr>
        <w:spacing w:after="0" w:before="2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E3A8A" w:val="solid"/>
            <w:tcMar>
              <w:top w:type="dxa" w:w="160"/>
              <w:left w:type="dxa" w:w="280"/>
              <w:bottom w:type="dxa" w:w="160"/>
              <w:right w:type="dxa" w:w="280"/>
            </w:tcMar>
            <w:vAlign w:val="center"/>
          </w:tcPr>
          <w:p>
            <w:pPr>
              <w:spacing w:after="0" w:before="0"/>
              <w:jc w:val="center"/>
            </w:pPr>
            <w:r>
              <w:rPr>
                <w:b/>
                <w:bCs/>
                <w:color w:val="FFFFFF"/>
                <w:sz w:val="26"/>
                <w:szCs w:val="26"/>
              </w:rPr>
              <w:t xml:space="preserve">Summary — The Full Lifecycle</w:t>
            </w:r>
          </w:p>
        </w:tc>
      </w:tr>
    </w:tbl>
    <w:p>
      <w:pPr>
        <w:spacing w:after="0" w:before="80"/>
      </w:pPr>
    </w:p>
    <w:p>
      <w:pPr>
        <w:spacing w:after="0" w:before="100"/>
        <w:ind w:left="360"/>
      </w:pPr>
      <w:r>
        <w:rPr>
          <w:b/>
          <w:bCs/>
          <w:color w:val="374151"/>
          <w:sz w:val="21"/>
          <w:szCs w:val="21"/>
        </w:rPr>
        <w:t xml:space="preserve">1.  </w:t>
      </w:r>
      <w:r>
        <w:rPr>
          <w:color w:val="1F2937"/>
          <w:sz w:val="21"/>
          <w:szCs w:val="21"/>
        </w:rPr>
        <w:t xml:space="preserve">Call begins → AI captures transcript, sentiment and compliance flags in real time</w:t>
      </w:r>
    </w:p>
    <w:p>
      <w:pPr>
        <w:spacing w:after="0" w:before="100"/>
        <w:ind w:left="360"/>
      </w:pPr>
      <w:r>
        <w:rPr>
          <w:b/>
          <w:bCs/>
          <w:color w:val="374151"/>
          <w:sz w:val="21"/>
          <w:szCs w:val="21"/>
        </w:rPr>
        <w:t xml:space="preserve">2.  </w:t>
      </w:r>
      <w:r>
        <w:rPr>
          <w:color w:val="1F2937"/>
          <w:sz w:val="21"/>
          <w:szCs w:val="21"/>
        </w:rPr>
        <w:t xml:space="preserve">Call ends → AI generates the full intelligence report automatically</w:t>
      </w:r>
    </w:p>
    <w:p>
      <w:pPr>
        <w:spacing w:after="0" w:before="100"/>
        <w:ind w:left="360"/>
      </w:pPr>
      <w:r>
        <w:rPr>
          <w:b/>
          <w:bCs/>
          <w:color w:val="374151"/>
          <w:sz w:val="21"/>
          <w:szCs w:val="21"/>
        </w:rPr>
        <w:t xml:space="preserve">3.  </w:t>
      </w:r>
      <w:r>
        <w:rPr>
          <w:color w:val="1F2937"/>
          <w:sz w:val="21"/>
          <w:szCs w:val="21"/>
        </w:rPr>
        <w:t xml:space="preserve">Report stored → linked to the event permanently in the database</w:t>
      </w:r>
    </w:p>
    <w:p>
      <w:pPr>
        <w:spacing w:after="0" w:before="100"/>
        <w:ind w:left="360"/>
      </w:pPr>
      <w:r>
        <w:rPr>
          <w:b/>
          <w:bCs/>
          <w:color w:val="374151"/>
          <w:sz w:val="21"/>
          <w:szCs w:val="21"/>
        </w:rPr>
        <w:t xml:space="preserve">4.  </w:t>
      </w:r>
      <w:r>
        <w:rPr>
          <w:color w:val="1F2937"/>
          <w:sz w:val="21"/>
          <w:szCs w:val="21"/>
        </w:rPr>
        <w:t xml:space="preserve">Operator and client access reports via Intelligence Terminal, Intelligence Report, or Transcript pages</w:t>
      </w:r>
    </w:p>
    <w:p>
      <w:pPr>
        <w:spacing w:after="0" w:before="100"/>
        <w:ind w:left="360"/>
      </w:pPr>
      <w:r>
        <w:rPr>
          <w:b/>
          <w:bCs/>
          <w:color w:val="374151"/>
          <w:sz w:val="21"/>
          <w:szCs w:val="21"/>
        </w:rPr>
        <w:t xml:space="preserve">5.  </w:t>
      </w:r>
      <w:r>
        <w:rPr>
          <w:color w:val="1F2937"/>
          <w:sz w:val="21"/>
          <w:szCs w:val="21"/>
        </w:rPr>
        <w:t xml:space="preserve">Aggregate data feeds the anonymised benchmarking dataset across all events</w:t>
      </w:r>
    </w:p>
    <w:p>
      <w:pPr>
        <w:spacing w:after="0" w:before="4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065F46" w:val="solid"/>
            <w:tcMar>
              <w:top w:type="dxa" w:w="160"/>
              <w:left w:type="dxa" w:w="280"/>
              <w:bottom w:type="dxa" w:w="160"/>
              <w:right w:type="dxa" w:w="280"/>
            </w:tcMar>
            <w:vAlign w:val="center"/>
          </w:tcPr>
          <w:p>
            <w:pPr>
              <w:spacing w:after="0" w:before="0"/>
              <w:jc w:val="center"/>
            </w:pPr>
            <w:r>
              <w:rPr>
                <w:b/>
                <w:bCs/>
                <w:color w:val="FFFFFF"/>
                <w:sz w:val="26"/>
                <w:szCs w:val="26"/>
              </w:rPr>
              <w:t xml:space="preserve">Everything from capture to storage is fully automatic.</w:t>
            </w:r>
          </w:p>
          <w:p>
            <w:pPr>
              <w:spacing w:after="0" w:before="50"/>
              <w:jc w:val="center"/>
            </w:pPr>
            <w:r>
              <w:rPr>
                <w:b w:val="false"/>
                <w:bCs w:val="false"/>
                <w:color w:val="FFFFFF"/>
                <w:sz w:val="20"/>
                <w:szCs w:val="20"/>
              </w:rPr>
              <w:t xml:space="preserve">The only gap is the final delivery step — getting the report out to the client via PDF or email.</w:t>
            </w:r>
          </w:p>
        </w:tc>
      </w:tr>
    </w:tbl>
    <w:p>
      <w:pPr>
        <w:spacing w:after="0" w:before="400"/>
      </w:pPr>
    </w:p>
    <w:p>
      <w:pPr>
        <w:jc w:val="center"/>
      </w:pPr>
      <w:r>
        <w:rPr>
          <w:i/>
          <w:iCs/>
          <w:color w:val="9CA3AF"/>
          <w:sz w:val="16"/>
          <w:szCs w:val="16"/>
        </w:rPr>
        <w:t xml:space="preserve">CuraLive  —  Confidential  |  2026/03/12</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CuraLive — AI Reports: Storage, Access &amp; Delivery</dc:title>
  <dc:creator>CuraLive</dc:creator>
  <cp:lastModifiedBy>Un-named</cp:lastModifiedBy>
  <cp:revision>1</cp:revision>
  <dcterms:created xsi:type="dcterms:W3CDTF">2026-03-12T13:08:10.019Z</dcterms:created>
  <dcterms:modified xsi:type="dcterms:W3CDTF">2026-03-12T13:08:10.019Z</dcterms:modified>
</cp:coreProperties>
</file>

<file path=docProps/custom.xml><?xml version="1.0" encoding="utf-8"?>
<Properties xmlns="http://schemas.openxmlformats.org/officeDocument/2006/custom-properties" xmlns:vt="http://schemas.openxmlformats.org/officeDocument/2006/docPropsVTypes"/>
</file>