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color w:val="1e40af"/>
          <w:sz w:val="48"/>
          <w:szCs w:val="48"/>
        </w:rPr>
        <w:t xml:space="preserve">CuraLive Platform</w:t>
      </w:r>
    </w:p>
    <w:p>
      <w:pPr>
        <w:spacing w:after="100"/>
      </w:pPr>
    </w:p>
    <w:p>
      <w:pPr>
        <w:spacing w:after="80"/>
        <w:jc w:val="center"/>
      </w:pPr>
      <w:r>
        <w:rPr>
          <w:b/>
          <w:bCs/>
          <w:color w:val="0f172a"/>
          <w:sz w:val="28"/>
          <w:szCs w:val="28"/>
        </w:rPr>
        <w:t xml:space="preserve">CONTINUATION-IN-PART (CIP)</w:t>
      </w:r>
    </w:p>
    <w:p>
      <w:pPr>
        <w:spacing w:after="80"/>
        <w:jc w:val="center"/>
      </w:pPr>
      <w:r>
        <w:rPr>
          <w:b/>
          <w:bCs/>
          <w:color w:val="0f172a"/>
          <w:sz w:val="28"/>
          <w:szCs w:val="28"/>
        </w:rPr>
        <w:t xml:space="preserve">SUPPLEMENTARY PATENT SPECIFICATION</w:t>
      </w:r>
    </w:p>
    <w:p>
      <w:pPr>
        <w:spacing w:after="80"/>
        <w:jc w:val="center"/>
      </w:pPr>
      <w:r>
        <w:rPr>
          <w:b/>
          <w:bCs/>
          <w:color w:val="1e40af"/>
          <w:sz w:val="24"/>
          <w:szCs w:val="24"/>
        </w:rPr>
        <w:t xml:space="preserve">Fifth Submission to CIPC</w:t>
      </w:r>
    </w:p>
    <w:p>
      <w:pPr>
        <w:spacing w:after="100"/>
      </w:pPr>
    </w:p>
    <w:p>
      <w:pPr>
        <w:spacing w:after="60"/>
        <w:jc w:val="center"/>
      </w:pPr>
      <w:r>
        <w:rPr>
          <w:b/>
          <w:bCs/>
          <w:color w:val="0f172a"/>
          <w:sz w:val="22"/>
          <w:szCs w:val="22"/>
        </w:rPr>
        <w:t xml:space="preserve">Autonomous Live Q&amp;A Intelligence Engine</w:t>
      </w:r>
    </w:p>
    <w:p>
      <w:pPr>
        <w:spacing w:after="60"/>
        <w:jc w:val="center"/>
      </w:pPr>
      <w:r>
        <w:rPr>
          <w:color w:val="64748b"/>
          <w:sz w:val="22"/>
          <w:szCs w:val="22"/>
        </w:rPr>
        <w:t xml:space="preserve">with AGI Tool Generator and AGI Corporate Compliance Layer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f172a" w:val="solid"/>
          </w:tcPr>
          <w:p>
            <w:pPr>
              <w:spacing w:after="40" w:before="40"/>
            </w:pPr>
            <w:r>
              <w:rPr>
                <w:b/>
                <w:bCs/>
                <w:color w:val="ffffff"/>
                <w:sz w:val="20"/>
                <w:szCs w:val="20"/>
              </w:rPr>
              <w:t xml:space="preserve">Field</w:t>
            </w:r>
          </w:p>
        </w:tc>
        <w:tc>
          <w:tcPr>
            <w:tcW w:type="pct" w:w="50%"/>
            <w:shd w:color="0f172a" w:val="solid"/>
          </w:tcPr>
          <w:p>
            <w:pPr>
              <w:spacing w:after="40" w:before="40"/>
            </w:pPr>
            <w:r>
              <w:rPr>
                <w:b/>
                <w:bCs/>
                <w:color w:val="ffffff"/>
                <w:sz w:val="20"/>
                <w:szCs w:val="20"/>
              </w:rPr>
              <w:t xml:space="preserve">Value</w:t>
            </w:r>
          </w:p>
        </w:tc>
      </w:tr>
      <w:tr>
        <w:tc>
          <w:tcPr>
            <w:tcW w:type="pct" w:w="50%"/>
          </w:tcPr>
          <w:p>
            <w:pPr>
              <w:spacing w:after="40" w:before="40"/>
            </w:pPr>
            <w:r>
              <w:rPr>
                <w:b w:val="false"/>
                <w:bCs w:val="false"/>
                <w:color w:val="334155"/>
                <w:sz w:val="20"/>
                <w:szCs w:val="20"/>
              </w:rPr>
              <w:t xml:space="preserve">Applicant</w:t>
            </w:r>
          </w:p>
        </w:tc>
        <w:tc>
          <w:tcPr>
            <w:tcW w:type="pct" w:w="50%"/>
          </w:tcPr>
          <w:p>
            <w:pPr>
              <w:spacing w:after="40" w:before="40"/>
            </w:pPr>
            <w:r>
              <w:rPr>
                <w:b w:val="false"/>
                <w:bCs w:val="false"/>
                <w:color w:val="334155"/>
                <w:sz w:val="20"/>
                <w:szCs w:val="20"/>
              </w:rPr>
              <w:t xml:space="preserve">David Cameron</w:t>
            </w:r>
          </w:p>
        </w:tc>
      </w:tr>
      <w:tr>
        <w:tc>
          <w:tcPr>
            <w:tcW w:type="pct" w:w="50%"/>
          </w:tcPr>
          <w:p>
            <w:pPr>
              <w:spacing w:after="40" w:before="40"/>
            </w:pPr>
            <w:r>
              <w:rPr>
                <w:b w:val="false"/>
                <w:bCs w:val="false"/>
                <w:color w:val="334155"/>
                <w:sz w:val="20"/>
                <w:szCs w:val="20"/>
              </w:rPr>
              <w:t xml:space="preserve">Application Number</w:t>
            </w:r>
          </w:p>
        </w:tc>
        <w:tc>
          <w:tcPr>
            <w:tcW w:type="pct" w:w="50%"/>
          </w:tcPr>
          <w:p>
            <w:pPr>
              <w:spacing w:after="40" w:before="40"/>
            </w:pPr>
            <w:r>
              <w:rPr>
                <w:b w:val="false"/>
                <w:bCs w:val="false"/>
                <w:color w:val="334155"/>
                <w:sz w:val="20"/>
                <w:szCs w:val="20"/>
              </w:rPr>
              <w:t xml:space="preserve">1773575338868</w:t>
            </w:r>
          </w:p>
        </w:tc>
      </w:tr>
      <w:tr>
        <w:tc>
          <w:tcPr>
            <w:tcW w:type="pct" w:w="50%"/>
          </w:tcPr>
          <w:p>
            <w:pPr>
              <w:spacing w:after="40" w:before="40"/>
            </w:pPr>
            <w:r>
              <w:rPr>
                <w:b w:val="false"/>
                <w:bCs w:val="false"/>
                <w:color w:val="334155"/>
                <w:sz w:val="20"/>
                <w:szCs w:val="20"/>
              </w:rPr>
              <w:t xml:space="preserve">Filing Authority</w:t>
            </w:r>
          </w:p>
        </w:tc>
        <w:tc>
          <w:tcPr>
            <w:tcW w:type="pct" w:w="50%"/>
          </w:tcPr>
          <w:p>
            <w:pPr>
              <w:spacing w:after="40" w:before="40"/>
            </w:pPr>
            <w:r>
              <w:rPr>
                <w:b w:val="false"/>
                <w:bCs w:val="false"/>
                <w:color w:val="334155"/>
                <w:sz w:val="20"/>
                <w:szCs w:val="20"/>
              </w:rPr>
              <w:t xml:space="preserve">Companies and Intellectual Property Commission (CIPC), South Africa</w:t>
            </w:r>
          </w:p>
        </w:tc>
      </w:tr>
      <w:tr>
        <w:tc>
          <w:tcPr>
            <w:tcW w:type="pct" w:w="50%"/>
          </w:tcPr>
          <w:p>
            <w:pPr>
              <w:spacing w:after="40" w:before="40"/>
            </w:pPr>
            <w:r>
              <w:rPr>
                <w:b w:val="false"/>
                <w:bCs w:val="false"/>
                <w:color w:val="334155"/>
                <w:sz w:val="20"/>
                <w:szCs w:val="20"/>
              </w:rPr>
              <w:t xml:space="preserve">This Submission</w:t>
            </w:r>
          </w:p>
        </w:tc>
        <w:tc>
          <w:tcPr>
            <w:tcW w:type="pct" w:w="50%"/>
          </w:tcPr>
          <w:p>
            <w:pPr>
              <w:spacing w:after="40" w:before="40"/>
            </w:pPr>
            <w:r>
              <w:rPr>
                <w:b w:val="false"/>
                <w:bCs w:val="false"/>
                <w:color w:val="334155"/>
                <w:sz w:val="20"/>
                <w:szCs w:val="20"/>
              </w:rPr>
              <w:t xml:space="preserve">Fifth CIP Submission — Module 31</w:t>
            </w:r>
          </w:p>
        </w:tc>
      </w:tr>
      <w:tr>
        <w:tc>
          <w:tcPr>
            <w:tcW w:type="pct" w:w="50%"/>
          </w:tcPr>
          <w:p>
            <w:pPr>
              <w:spacing w:after="40" w:before="40"/>
            </w:pPr>
            <w:r>
              <w:rPr>
                <w:b w:val="false"/>
                <w:bCs w:val="false"/>
                <w:color w:val="334155"/>
                <w:sz w:val="20"/>
                <w:szCs w:val="20"/>
              </w:rPr>
              <w:t xml:space="preserve">Date</w:t>
            </w:r>
          </w:p>
        </w:tc>
        <w:tc>
          <w:tcPr>
            <w:tcW w:type="pct" w:w="50%"/>
          </w:tcPr>
          <w:p>
            <w:pPr>
              <w:spacing w:after="40" w:before="40"/>
            </w:pPr>
            <w:r>
              <w:rPr>
                <w:b w:val="false"/>
                <w:bCs w:val="false"/>
                <w:color w:val="334155"/>
                <w:sz w:val="20"/>
                <w:szCs w:val="20"/>
              </w:rPr>
              <w:t xml:space="preserve">March 2026</w:t>
            </w:r>
          </w:p>
        </w:tc>
      </w:tr>
      <w:tr>
        <w:tc>
          <w:tcPr>
            <w:tcW w:type="pct" w:w="50%"/>
          </w:tcPr>
          <w:p>
            <w:pPr>
              <w:spacing w:after="40" w:before="40"/>
            </w:pPr>
            <w:r>
              <w:rPr>
                <w:b w:val="false"/>
                <w:bCs w:val="false"/>
                <w:color w:val="334155"/>
                <w:sz w:val="20"/>
                <w:szCs w:val="20"/>
              </w:rPr>
              <w:t xml:space="preserve">New Module</w:t>
            </w:r>
          </w:p>
        </w:tc>
        <w:tc>
          <w:tcPr>
            <w:tcW w:type="pct" w:w="50%"/>
          </w:tcPr>
          <w:p>
            <w:pPr>
              <w:spacing w:after="40" w:before="40"/>
            </w:pPr>
            <w:r>
              <w:rPr>
                <w:b w:val="false"/>
                <w:bCs w:val="false"/>
                <w:color w:val="334155"/>
                <w:sz w:val="20"/>
                <w:szCs w:val="20"/>
              </w:rPr>
              <w:t xml:space="preserve">Module 31: Autonomous Live Q&amp;A Intelligence Engine</w:t>
            </w:r>
          </w:p>
        </w:tc>
      </w:tr>
      <w:tr>
        <w:tc>
          <w:tcPr>
            <w:tcW w:type="pct" w:w="50%"/>
          </w:tcPr>
          <w:p>
            <w:pPr>
              <w:spacing w:after="40" w:before="40"/>
            </w:pPr>
            <w:r>
              <w:rPr>
                <w:b w:val="false"/>
                <w:bCs w:val="false"/>
                <w:color w:val="334155"/>
                <w:sz w:val="20"/>
                <w:szCs w:val="20"/>
              </w:rPr>
              <w:t xml:space="preserve">New Claims</w:t>
            </w:r>
          </w:p>
        </w:tc>
        <w:tc>
          <w:tcPr>
            <w:tcW w:type="pct" w:w="50%"/>
          </w:tcPr>
          <w:p>
            <w:pPr>
              <w:spacing w:after="40" w:before="40"/>
            </w:pPr>
            <w:r>
              <w:rPr>
                <w:b w:val="false"/>
                <w:bCs w:val="false"/>
                <w:color w:val="334155"/>
                <w:sz w:val="20"/>
                <w:szCs w:val="20"/>
              </w:rPr>
              <w:t xml:space="preserve">Claims 46–55 (10 new claims)</w:t>
            </w:r>
          </w:p>
        </w:tc>
      </w:tr>
      <w:tr>
        <w:tc>
          <w:tcPr>
            <w:tcW w:type="pct" w:w="50%"/>
          </w:tcPr>
          <w:p>
            <w:pPr>
              <w:spacing w:after="40" w:before="40"/>
            </w:pPr>
            <w:r>
              <w:rPr>
                <w:b w:val="false"/>
                <w:bCs w:val="false"/>
                <w:color w:val="334155"/>
                <w:sz w:val="20"/>
                <w:szCs w:val="20"/>
              </w:rPr>
              <w:t xml:space="preserve">New Figures</w:t>
            </w:r>
          </w:p>
        </w:tc>
        <w:tc>
          <w:tcPr>
            <w:tcW w:type="pct" w:w="50%"/>
          </w:tcPr>
          <w:p>
            <w:pPr>
              <w:spacing w:after="40" w:before="40"/>
            </w:pPr>
            <w:r>
              <w:rPr>
                <w:b w:val="false"/>
                <w:bCs w:val="false"/>
                <w:color w:val="334155"/>
                <w:sz w:val="20"/>
                <w:szCs w:val="20"/>
              </w:rPr>
              <w:t xml:space="preserve">FIG 28: Live Q&amp;A Intelligence Engine Architecture</w:t>
            </w:r>
          </w:p>
        </w:tc>
      </w:tr>
      <w:tr>
        <w:tc>
          <w:tcPr>
            <w:tcW w:type="pct" w:w="50%"/>
          </w:tcPr>
          <w:p>
            <w:pPr>
              <w:spacing w:after="40" w:before="40"/>
            </w:pPr>
            <w:r>
              <w:rPr>
                <w:b w:val="false"/>
                <w:bCs w:val="false"/>
                <w:color w:val="334155"/>
                <w:sz w:val="20"/>
                <w:szCs w:val="20"/>
              </w:rPr>
              <w:t xml:space="preserve"/>
            </w:r>
          </w:p>
        </w:tc>
        <w:tc>
          <w:tcPr>
            <w:tcW w:type="pct" w:w="50%"/>
          </w:tcPr>
          <w:p>
            <w:pPr>
              <w:spacing w:after="40" w:before="40"/>
            </w:pPr>
            <w:r>
              <w:rPr>
                <w:b w:val="false"/>
                <w:bCs w:val="false"/>
                <w:color w:val="334155"/>
                <w:sz w:val="20"/>
                <w:szCs w:val="20"/>
              </w:rPr>
              <w:t xml:space="preserve">FIG 29: AGI Tool Generator Closed-Loop Lifecycle</w:t>
            </w:r>
          </w:p>
        </w:tc>
      </w:tr>
      <w:tr>
        <w:tc>
          <w:tcPr>
            <w:tcW w:type="pct" w:w="50%"/>
          </w:tcPr>
          <w:p>
            <w:pPr>
              <w:spacing w:after="40" w:before="40"/>
            </w:pPr>
            <w:r>
              <w:rPr>
                <w:b w:val="false"/>
                <w:bCs w:val="false"/>
                <w:color w:val="334155"/>
                <w:sz w:val="20"/>
                <w:szCs w:val="20"/>
              </w:rPr>
              <w:t xml:space="preserve"/>
            </w:r>
          </w:p>
        </w:tc>
        <w:tc>
          <w:tcPr>
            <w:tcW w:type="pct" w:w="50%"/>
          </w:tcPr>
          <w:p>
            <w:pPr>
              <w:spacing w:after="40" w:before="40"/>
            </w:pPr>
            <w:r>
              <w:rPr>
                <w:b w:val="false"/>
                <w:bCs w:val="false"/>
                <w:color w:val="334155"/>
                <w:sz w:val="20"/>
                <w:szCs w:val="20"/>
              </w:rPr>
              <w:t xml:space="preserve">FIG 30: AGI Compliance Multi-Jurisdictional Firewall</w:t>
            </w:r>
          </w:p>
        </w:tc>
      </w:tr>
      <w:tr>
        <w:tc>
          <w:tcPr>
            <w:tcW w:type="pct" w:w="50%"/>
          </w:tcPr>
          <w:p>
            <w:pPr>
              <w:spacing w:after="40" w:before="40"/>
            </w:pPr>
            <w:r>
              <w:rPr>
                <w:b w:val="false"/>
                <w:bCs w:val="false"/>
                <w:color w:val="334155"/>
                <w:sz w:val="20"/>
                <w:szCs w:val="20"/>
              </w:rPr>
              <w:t xml:space="preserve">Jurisdiction</w:t>
            </w:r>
          </w:p>
        </w:tc>
        <w:tc>
          <w:tcPr>
            <w:tcW w:type="pct" w:w="50%"/>
          </w:tcPr>
          <w:p>
            <w:pPr>
              <w:spacing w:after="40" w:before="40"/>
            </w:pPr>
            <w:r>
              <w:rPr>
                <w:b w:val="false"/>
                <w:bCs w:val="false"/>
                <w:color w:val="334155"/>
                <w:sz w:val="20"/>
                <w:szCs w:val="20"/>
              </w:rPr>
              <w:t xml:space="preserve">Republic of South Africa (PCT international filing intended)</w:t>
            </w:r>
          </w:p>
        </w:tc>
      </w:tr>
      <w:tr>
        <w:tc>
          <w:tcPr>
            <w:tcW w:type="pct" w:w="50%"/>
          </w:tcPr>
          <w:p>
            <w:pPr>
              <w:spacing w:after="40" w:before="40"/>
            </w:pPr>
            <w:r>
              <w:rPr>
                <w:b w:val="false"/>
                <w:bCs w:val="false"/>
                <w:color w:val="334155"/>
                <w:sz w:val="20"/>
                <w:szCs w:val="20"/>
              </w:rPr>
              <w:t xml:space="preserve">Production System</w:t>
            </w:r>
          </w:p>
        </w:tc>
        <w:tc>
          <w:tcPr>
            <w:tcW w:type="pct" w:w="50%"/>
          </w:tcPr>
          <w:p>
            <w:pPr>
              <w:spacing w:after="40" w:before="40"/>
            </w:pPr>
            <w:r>
              <w:rPr>
                <w:b w:val="false"/>
                <w:bCs w:val="false"/>
                <w:color w:val="334155"/>
                <w:sz w:val="20"/>
                <w:szCs w:val="20"/>
              </w:rPr>
              <w:t xml:space="preserve">https://curalive.replit.app</w:t>
            </w:r>
          </w:p>
        </w:tc>
      </w:tr>
      <w:tr>
        <w:tc>
          <w:tcPr>
            <w:tcW w:type="pct" w:w="50%"/>
          </w:tcPr>
          <w:p>
            <w:pPr>
              <w:spacing w:after="40" w:before="40"/>
            </w:pPr>
            <w:r>
              <w:rPr>
                <w:b w:val="false"/>
                <w:bCs w:val="false"/>
                <w:color w:val="334155"/>
                <w:sz w:val="20"/>
                <w:szCs w:val="20"/>
              </w:rPr>
              <w:t xml:space="preserve">Source Code</w:t>
            </w:r>
          </w:p>
        </w:tc>
        <w:tc>
          <w:tcPr>
            <w:tcW w:type="pct" w:w="50%"/>
          </w:tcPr>
          <w:p>
            <w:pPr>
              <w:spacing w:after="40" w:before="40"/>
            </w:pPr>
            <w:r>
              <w:rPr>
                <w:b w:val="false"/>
                <w:bCs w:val="false"/>
                <w:color w:val="334155"/>
                <w:sz w:val="20"/>
                <w:szCs w:val="20"/>
              </w:rPr>
              <w:t xml:space="preserve">github.com/davecameron187-sys/curalive-platform</w:t>
            </w:r>
          </w:p>
        </w:tc>
      </w:tr>
    </w:tbl>
    <w:p>
      <w:pPr>
        <w:pageBreakBefore/>
      </w:pPr>
      <w:r>
        <w:br/>
      </w:r>
      <w:r>
        <w:t xml:space="preserve"/>
      </w:r>
    </w:p>
    <w:p>
      <w:pPr>
        <w:pStyle w:val="Heading1"/>
        <w:spacing w:after="160" w:before="400"/>
      </w:pPr>
      <w:r>
        <w:rPr>
          <w:b/>
          <w:bCs/>
          <w:color w:val="0f172a"/>
          <w:sz w:val="32"/>
          <w:szCs w:val="32"/>
        </w:rPr>
        <w:t xml:space="preserve">Title of Invention</w:t>
      </w:r>
    </w:p>
    <w:p>
      <w:pPr>
        <w:spacing w:after="120"/>
      </w:pPr>
      <w:r>
        <w:rPr>
          <w:color w:val="334155"/>
          <w:sz w:val="22"/>
          <w:szCs w:val="22"/>
        </w:rPr>
        <w:t xml:space="preserve">System and Method for Autonomous Intelligence Orchestration in Real-Time Investor Events, Incorporating Multi-Modal AI Analysis, Predictive Analytics, Autonomous Self-Evolution, and Autonomous Live Q&amp;A Intelligence Engine with Predictive Orchestration, AGI Tool Generator, and AGI Corporate Compliance Layer for All Corporate Communications.</w:t>
      </w:r>
    </w:p>
    <w:p>
      <w:pPr>
        <w:pBdr>
          <w:bottom w:val="single" w:color="cbd5e1" w:sz="1"/>
        </w:pBdr>
        <w:spacing w:after="200" w:before="200"/>
      </w:pPr>
    </w:p>
    <w:p>
      <w:pPr>
        <w:pStyle w:val="Heading1"/>
        <w:spacing w:after="160" w:before="400"/>
      </w:pPr>
      <w:r>
        <w:rPr>
          <w:b/>
          <w:bCs/>
          <w:color w:val="0f172a"/>
          <w:sz w:val="32"/>
          <w:szCs w:val="32"/>
        </w:rPr>
        <w:t xml:space="preserve">Cross-Reference to Related Applications</w:t>
      </w:r>
    </w:p>
    <w:p>
      <w:pPr>
        <w:spacing w:after="120"/>
      </w:pPr>
      <w:r>
        <w:rPr>
          <w:color w:val="334155"/>
          <w:sz w:val="22"/>
          <w:szCs w:val="22"/>
        </w:rPr>
        <w:t xml:space="preserve">This Fifth CIP Supplementary Specification is filed as a continuation-in-part of:</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0f172a" w:val="solid"/>
          </w:tcPr>
          <w:p>
            <w:pPr>
              <w:spacing w:after="40" w:before="40"/>
            </w:pPr>
            <w:r>
              <w:rPr>
                <w:b/>
                <w:bCs/>
                <w:color w:val="ffffff"/>
                <w:sz w:val="20"/>
                <w:szCs w:val="20"/>
              </w:rPr>
              <w:t xml:space="preserve">Filing</w:t>
            </w:r>
          </w:p>
        </w:tc>
        <w:tc>
          <w:tcPr>
            <w:tcW w:type="pct" w:w="20%"/>
            <w:shd w:color="0f172a" w:val="solid"/>
          </w:tcPr>
          <w:p>
            <w:pPr>
              <w:spacing w:after="40" w:before="40"/>
            </w:pPr>
            <w:r>
              <w:rPr>
                <w:b/>
                <w:bCs/>
                <w:color w:val="ffffff"/>
                <w:sz w:val="20"/>
                <w:szCs w:val="20"/>
              </w:rPr>
              <w:t xml:space="preserve">Date</w:t>
            </w:r>
          </w:p>
        </w:tc>
        <w:tc>
          <w:tcPr>
            <w:tcW w:type="pct" w:w="20%"/>
            <w:shd w:color="0f172a" w:val="solid"/>
          </w:tcPr>
          <w:p>
            <w:pPr>
              <w:spacing w:after="40" w:before="40"/>
            </w:pPr>
            <w:r>
              <w:rPr>
                <w:b/>
                <w:bCs/>
                <w:color w:val="ffffff"/>
                <w:sz w:val="20"/>
                <w:szCs w:val="20"/>
              </w:rPr>
              <w:t xml:space="preserve">Modules</w:t>
            </w:r>
          </w:p>
        </w:tc>
        <w:tc>
          <w:tcPr>
            <w:tcW w:type="pct" w:w="20%"/>
            <w:shd w:color="0f172a" w:val="solid"/>
          </w:tcPr>
          <w:p>
            <w:pPr>
              <w:spacing w:after="40" w:before="40"/>
            </w:pPr>
            <w:r>
              <w:rPr>
                <w:b/>
                <w:bCs/>
                <w:color w:val="ffffff"/>
                <w:sz w:val="20"/>
                <w:szCs w:val="20"/>
              </w:rPr>
              <w:t xml:space="preserve">Claims</w:t>
            </w:r>
          </w:p>
        </w:tc>
        <w:tc>
          <w:tcPr>
            <w:tcW w:type="pct" w:w="20%"/>
            <w:shd w:color="0f172a" w:val="solid"/>
          </w:tcPr>
          <w:p>
            <w:pPr>
              <w:spacing w:after="40" w:before="40"/>
            </w:pPr>
            <w:r>
              <w:rPr>
                <w:b/>
                <w:bCs/>
                <w:color w:val="ffffff"/>
                <w:sz w:val="20"/>
                <w:szCs w:val="20"/>
              </w:rPr>
              <w:t xml:space="preserve">Figures</w:t>
            </w:r>
          </w:p>
        </w:tc>
      </w:tr>
      <w:tr>
        <w:tc>
          <w:tcPr>
            <w:tcW w:type="pct" w:w="20%"/>
          </w:tcPr>
          <w:p>
            <w:pPr>
              <w:spacing w:after="40" w:before="40"/>
            </w:pPr>
            <w:r>
              <w:rPr>
                <w:b w:val="false"/>
                <w:bCs w:val="false"/>
                <w:color w:val="334155"/>
                <w:sz w:val="20"/>
                <w:szCs w:val="20"/>
              </w:rPr>
              <w:t xml:space="preserve">Parent Provisional (1773575338868)</w:t>
            </w:r>
          </w:p>
        </w:tc>
        <w:tc>
          <w:tcPr>
            <w:tcW w:type="pct" w:w="20%"/>
          </w:tcPr>
          <w:p>
            <w:pPr>
              <w:spacing w:after="40" w:before="40"/>
            </w:pPr>
            <w:r>
              <w:rPr>
                <w:b w:val="false"/>
                <w:bCs w:val="false"/>
                <w:color w:val="334155"/>
                <w:sz w:val="20"/>
                <w:szCs w:val="20"/>
              </w:rPr>
              <w:t xml:space="preserve">12 March 2026</w:t>
            </w:r>
          </w:p>
        </w:tc>
        <w:tc>
          <w:tcPr>
            <w:tcW w:type="pct" w:w="20%"/>
          </w:tcPr>
          <w:p>
            <w:pPr>
              <w:spacing w:after="40" w:before="40"/>
            </w:pPr>
            <w:r>
              <w:rPr>
                <w:b w:val="false"/>
                <w:bCs w:val="false"/>
                <w:color w:val="334155"/>
                <w:sz w:val="20"/>
                <w:szCs w:val="20"/>
              </w:rPr>
              <w:t xml:space="preserve">1–13</w:t>
            </w:r>
          </w:p>
        </w:tc>
        <w:tc>
          <w:tcPr>
            <w:tcW w:type="pct" w:w="20%"/>
          </w:tcPr>
          <w:p>
            <w:pPr>
              <w:spacing w:after="40" w:before="40"/>
            </w:pPr>
            <w:r>
              <w:rPr>
                <w:b w:val="false"/>
                <w:bCs w:val="false"/>
                <w:color w:val="334155"/>
                <w:sz w:val="20"/>
                <w:szCs w:val="20"/>
              </w:rPr>
              <w:t xml:space="preserve">1–25</w:t>
            </w:r>
          </w:p>
        </w:tc>
        <w:tc>
          <w:tcPr>
            <w:tcW w:type="pct" w:w="20%"/>
          </w:tcPr>
          <w:p>
            <w:pPr>
              <w:spacing w:after="40" w:before="40"/>
            </w:pPr>
            <w:r>
              <w:rPr>
                <w:b w:val="false"/>
                <w:bCs w:val="false"/>
                <w:color w:val="334155"/>
                <w:sz w:val="20"/>
                <w:szCs w:val="20"/>
              </w:rPr>
              <w:t xml:space="preserve">FIG 1–12</w:t>
            </w:r>
          </w:p>
        </w:tc>
      </w:tr>
      <w:tr>
        <w:tc>
          <w:tcPr>
            <w:tcW w:type="pct" w:w="20%"/>
          </w:tcPr>
          <w:p>
            <w:pPr>
              <w:spacing w:after="40" w:before="40"/>
            </w:pPr>
            <w:r>
              <w:rPr>
                <w:b w:val="false"/>
                <w:bCs w:val="false"/>
                <w:color w:val="334155"/>
                <w:sz w:val="20"/>
                <w:szCs w:val="20"/>
              </w:rPr>
              <w:t xml:space="preserve">CIP Submission 2</w:t>
            </w:r>
          </w:p>
        </w:tc>
        <w:tc>
          <w:tcPr>
            <w:tcW w:type="pct" w:w="20%"/>
          </w:tcPr>
          <w:p>
            <w:pPr>
              <w:spacing w:after="40" w:before="40"/>
            </w:pPr>
            <w:r>
              <w:rPr>
                <w:b w:val="false"/>
                <w:bCs w:val="false"/>
                <w:color w:val="334155"/>
                <w:sz w:val="20"/>
                <w:szCs w:val="20"/>
              </w:rPr>
              <w:t xml:space="preserve">16 March 2026</w:t>
            </w:r>
          </w:p>
        </w:tc>
        <w:tc>
          <w:tcPr>
            <w:tcW w:type="pct" w:w="20%"/>
          </w:tcPr>
          <w:p>
            <w:pPr>
              <w:spacing w:after="40" w:before="40"/>
            </w:pPr>
            <w:r>
              <w:rPr>
                <w:b w:val="false"/>
                <w:bCs w:val="false"/>
                <w:color w:val="334155"/>
                <w:sz w:val="20"/>
                <w:szCs w:val="20"/>
              </w:rPr>
              <w:t xml:space="preserve">19–27</w:t>
            </w:r>
          </w:p>
        </w:tc>
        <w:tc>
          <w:tcPr>
            <w:tcW w:type="pct" w:w="20%"/>
          </w:tcPr>
          <w:p>
            <w:pPr>
              <w:spacing w:after="40" w:before="40"/>
            </w:pPr>
            <w:r>
              <w:rPr>
                <w:b w:val="false"/>
                <w:bCs w:val="false"/>
                <w:color w:val="334155"/>
                <w:sz w:val="20"/>
                <w:szCs w:val="20"/>
              </w:rPr>
              <w:t xml:space="preserve">26–33</w:t>
            </w:r>
          </w:p>
        </w:tc>
        <w:tc>
          <w:tcPr>
            <w:tcW w:type="pct" w:w="20%"/>
          </w:tcPr>
          <w:p>
            <w:pPr>
              <w:spacing w:after="40" w:before="40"/>
            </w:pPr>
            <w:r>
              <w:rPr>
                <w:b w:val="false"/>
                <w:bCs w:val="false"/>
                <w:color w:val="334155"/>
                <w:sz w:val="20"/>
                <w:szCs w:val="20"/>
              </w:rPr>
              <w:t xml:space="preserve">FIG 13–20</w:t>
            </w:r>
          </w:p>
        </w:tc>
      </w:tr>
      <w:tr>
        <w:tc>
          <w:tcPr>
            <w:tcW w:type="pct" w:w="20%"/>
          </w:tcPr>
          <w:p>
            <w:pPr>
              <w:spacing w:after="40" w:before="40"/>
            </w:pPr>
            <w:r>
              <w:rPr>
                <w:b w:val="false"/>
                <w:bCs w:val="false"/>
                <w:color w:val="334155"/>
                <w:sz w:val="20"/>
                <w:szCs w:val="20"/>
              </w:rPr>
              <w:t xml:space="preserve">CIP Submission 3</w:t>
            </w:r>
          </w:p>
        </w:tc>
        <w:tc>
          <w:tcPr>
            <w:tcW w:type="pct" w:w="20%"/>
          </w:tcPr>
          <w:p>
            <w:pPr>
              <w:spacing w:after="40" w:before="40"/>
            </w:pPr>
            <w:r>
              <w:rPr>
                <w:b w:val="false"/>
                <w:bCs w:val="false"/>
                <w:color w:val="334155"/>
                <w:sz w:val="20"/>
                <w:szCs w:val="20"/>
              </w:rPr>
              <w:t xml:space="preserve">18 March 2026</w:t>
            </w:r>
          </w:p>
        </w:tc>
        <w:tc>
          <w:tcPr>
            <w:tcW w:type="pct" w:w="20%"/>
          </w:tcPr>
          <w:p>
            <w:pPr>
              <w:spacing w:after="40" w:before="40"/>
            </w:pPr>
            <w:r>
              <w:rPr>
                <w:b w:val="false"/>
                <w:bCs w:val="false"/>
                <w:color w:val="334155"/>
                <w:sz w:val="20"/>
                <w:szCs w:val="20"/>
              </w:rPr>
              <w:t xml:space="preserve">28</w:t>
            </w:r>
          </w:p>
        </w:tc>
        <w:tc>
          <w:tcPr>
            <w:tcW w:type="pct" w:w="20%"/>
          </w:tcPr>
          <w:p>
            <w:pPr>
              <w:spacing w:after="40" w:before="40"/>
            </w:pPr>
            <w:r>
              <w:rPr>
                <w:b w:val="false"/>
                <w:bCs w:val="false"/>
                <w:color w:val="334155"/>
                <w:sz w:val="20"/>
                <w:szCs w:val="20"/>
              </w:rPr>
              <w:t xml:space="preserve">34–43</w:t>
            </w:r>
          </w:p>
        </w:tc>
        <w:tc>
          <w:tcPr>
            <w:tcW w:type="pct" w:w="20%"/>
          </w:tcPr>
          <w:p>
            <w:pPr>
              <w:spacing w:after="40" w:before="40"/>
            </w:pPr>
            <w:r>
              <w:rPr>
                <w:b w:val="false"/>
                <w:bCs w:val="false"/>
                <w:color w:val="334155"/>
                <w:sz w:val="20"/>
                <w:szCs w:val="20"/>
              </w:rPr>
              <w:t xml:space="preserve">FIG 21–27</w:t>
            </w:r>
          </w:p>
        </w:tc>
      </w:tr>
      <w:tr>
        <w:tc>
          <w:tcPr>
            <w:tcW w:type="pct" w:w="20%"/>
          </w:tcPr>
          <w:p>
            <w:pPr>
              <w:spacing w:after="40" w:before="40"/>
            </w:pPr>
            <w:r>
              <w:rPr>
                <w:b w:val="false"/>
                <w:bCs w:val="false"/>
                <w:color w:val="334155"/>
                <w:sz w:val="20"/>
                <w:szCs w:val="20"/>
              </w:rPr>
              <w:t xml:space="preserve">CIP Submission 4</w:t>
            </w:r>
          </w:p>
        </w:tc>
        <w:tc>
          <w:tcPr>
            <w:tcW w:type="pct" w:w="20%"/>
          </w:tcPr>
          <w:p>
            <w:pPr>
              <w:spacing w:after="40" w:before="40"/>
            </w:pPr>
            <w:r>
              <w:rPr>
                <w:b w:val="false"/>
                <w:bCs w:val="false"/>
                <w:color w:val="334155"/>
                <w:sz w:val="20"/>
                <w:szCs w:val="20"/>
              </w:rPr>
              <w:t xml:space="preserve">19 March 2026</w:t>
            </w:r>
          </w:p>
        </w:tc>
        <w:tc>
          <w:tcPr>
            <w:tcW w:type="pct" w:w="20%"/>
          </w:tcPr>
          <w:p>
            <w:pPr>
              <w:spacing w:after="40" w:before="40"/>
            </w:pPr>
            <w:r>
              <w:rPr>
                <w:b w:val="false"/>
                <w:bCs w:val="false"/>
                <w:color w:val="334155"/>
                <w:sz w:val="20"/>
                <w:szCs w:val="20"/>
              </w:rPr>
              <w:t xml:space="preserve">30</w:t>
            </w:r>
          </w:p>
        </w:tc>
        <w:tc>
          <w:tcPr>
            <w:tcW w:type="pct" w:w="20%"/>
          </w:tcPr>
          <w:p>
            <w:pPr>
              <w:spacing w:after="40" w:before="40"/>
            </w:pPr>
            <w:r>
              <w:rPr>
                <w:b w:val="false"/>
                <w:bCs w:val="false"/>
                <w:color w:val="334155"/>
                <w:sz w:val="20"/>
                <w:szCs w:val="20"/>
              </w:rPr>
              <w:t xml:space="preserve">44–45</w:t>
            </w:r>
          </w:p>
        </w:tc>
        <w:tc>
          <w:tcPr>
            <w:tcW w:type="pct" w:w="20%"/>
          </w:tcPr>
          <w:p>
            <w:pPr>
              <w:spacing w:after="40" w:before="40"/>
            </w:pPr>
            <w:r>
              <w:rPr>
                <w:b w:val="false"/>
                <w:bCs w:val="false"/>
                <w:color w:val="334155"/>
                <w:sz w:val="20"/>
                <w:szCs w:val="20"/>
              </w:rPr>
              <w:t xml:space="preserve">FIG 28 (reassigned)</w:t>
            </w:r>
          </w:p>
        </w:tc>
      </w:tr>
      <w:tr>
        <w:tc>
          <w:tcPr>
            <w:tcW w:type="pct" w:w="20%"/>
          </w:tcPr>
          <w:p>
            <w:pPr>
              <w:spacing w:after="40" w:before="40"/>
            </w:pPr>
            <w:r>
              <w:rPr>
                <w:b w:val="false"/>
                <w:bCs w:val="false"/>
                <w:color w:val="334155"/>
                <w:sz w:val="20"/>
                <w:szCs w:val="20"/>
              </w:rPr>
              <w:t xml:space="preserve">This Filing (CIP 5)</w:t>
            </w:r>
          </w:p>
        </w:tc>
        <w:tc>
          <w:tcPr>
            <w:tcW w:type="pct" w:w="20%"/>
          </w:tcPr>
          <w:p>
            <w:pPr>
              <w:spacing w:after="40" w:before="40"/>
            </w:pPr>
            <w:r>
              <w:rPr>
                <w:b w:val="false"/>
                <w:bCs w:val="false"/>
                <w:color w:val="334155"/>
                <w:sz w:val="20"/>
                <w:szCs w:val="20"/>
              </w:rPr>
              <w:t xml:space="preserve">March 2026</w:t>
            </w:r>
          </w:p>
        </w:tc>
        <w:tc>
          <w:tcPr>
            <w:tcW w:type="pct" w:w="20%"/>
          </w:tcPr>
          <w:p>
            <w:pPr>
              <w:spacing w:after="40" w:before="40"/>
            </w:pPr>
            <w:r>
              <w:rPr>
                <w:b w:val="false"/>
                <w:bCs w:val="false"/>
                <w:color w:val="334155"/>
                <w:sz w:val="20"/>
                <w:szCs w:val="20"/>
              </w:rPr>
              <w:t xml:space="preserve">31</w:t>
            </w:r>
          </w:p>
        </w:tc>
        <w:tc>
          <w:tcPr>
            <w:tcW w:type="pct" w:w="20%"/>
          </w:tcPr>
          <w:p>
            <w:pPr>
              <w:spacing w:after="40" w:before="40"/>
            </w:pPr>
            <w:r>
              <w:rPr>
                <w:b w:val="false"/>
                <w:bCs w:val="false"/>
                <w:color w:val="334155"/>
                <w:sz w:val="20"/>
                <w:szCs w:val="20"/>
              </w:rPr>
              <w:t xml:space="preserve">46–55</w:t>
            </w:r>
          </w:p>
        </w:tc>
        <w:tc>
          <w:tcPr>
            <w:tcW w:type="pct" w:w="20%"/>
          </w:tcPr>
          <w:p>
            <w:pPr>
              <w:spacing w:after="40" w:before="40"/>
            </w:pPr>
            <w:r>
              <w:rPr>
                <w:b w:val="false"/>
                <w:bCs w:val="false"/>
                <w:color w:val="334155"/>
                <w:sz w:val="20"/>
                <w:szCs w:val="20"/>
              </w:rPr>
              <w:t xml:space="preserve">FIG 28–30</w:t>
            </w:r>
          </w:p>
        </w:tc>
      </w:tr>
    </w:tbl>
    <w:p>
      <w:pPr>
        <w:spacing w:after="80"/>
      </w:pPr>
    </w:p>
    <w:p>
      <w:pPr>
        <w:spacing w:after="120"/>
      </w:pPr>
      <w:r>
        <w:rPr>
          <w:color w:val="334155"/>
          <w:sz w:val="22"/>
          <w:szCs w:val="22"/>
        </w:rPr>
        <w:t xml:space="preserve">This filing extends the prior submissions by adding Module 31: a fully autonomous Live Q&amp;A Intelligence Engine that integrates predictive question orchestration, an AGI Tool Generator for autonomous capability expansion, and an AGI Corporate Compliance Layer for multi-jurisdictional regulatory intelligence.</w:t>
      </w:r>
    </w:p>
    <w:p>
      <w:pPr>
        <w:spacing w:after="120"/>
      </w:pPr>
      <w:r>
        <w:rPr>
          <w:color w:val="334155"/>
          <w:sz w:val="22"/>
          <w:szCs w:val="22"/>
        </w:rPr>
        <w:t xml:space="preserve">All subject matter from prior filings (Modules 1–13, 19–28, 30) is incorporated by reference and retained verbatim for continuity.</w:t>
      </w:r>
    </w:p>
    <w:p>
      <w:pPr>
        <w:pBdr>
          <w:bottom w:val="single" w:color="cbd5e1" w:sz="1"/>
        </w:pBdr>
        <w:spacing w:after="200" w:before="200"/>
      </w:pPr>
    </w:p>
    <w:p>
      <w:pPr>
        <w:pStyle w:val="Heading1"/>
        <w:spacing w:after="160" w:before="400"/>
      </w:pPr>
      <w:r>
        <w:rPr>
          <w:b/>
          <w:bCs/>
          <w:color w:val="0f172a"/>
          <w:sz w:val="32"/>
          <w:szCs w:val="32"/>
        </w:rPr>
        <w:t xml:space="preserve">Abstract</w:t>
      </w:r>
    </w:p>
    <w:p>
      <w:pPr>
        <w:spacing w:after="120"/>
      </w:pPr>
      <w:r>
        <w:rPr>
          <w:color w:val="334155"/>
          <w:sz w:val="22"/>
          <w:szCs w:val="22"/>
        </w:rPr>
        <w:t xml:space="preserve">This Fifth CIP Supplementary Specification adds Module 31: a fully autonomous Live Q&amp;A Intelligence Engine that anticipates questions, performs AGI-level triage and multi-jurisdictional compliance screening, auto-drafts responses, and autonomously generates new tools and compliance policies. The system creates the foundational layer for AGI-level universal corporate communication intelligence. Module 31 introduces three novel subsystems: (1) a Predictive Q&amp;A Orchestration Engine that uses Monte-Carlo simulations and investor behavioural models to anticipate questions before they are asked; (2) an AGI Tool Generator that autonomously detects capability gaps, generates new analysis tools, validates them in shadow mode, and promotes them to production without human intervention; and (3) an AGI Corporate Compliance Layer that predicts selective disclosure risks across multiple jurisdictions, generates compliance policies autonomously, and self-heals regulatory gaps in real time.</w:t>
      </w:r>
    </w:p>
    <w:p>
      <w:pPr>
        <w:pBdr>
          <w:bottom w:val="single" w:color="cbd5e1" w:sz="1"/>
        </w:pBdr>
        <w:spacing w:after="200" w:before="200"/>
      </w:pPr>
    </w:p>
    <w:p>
      <w:pPr>
        <w:pStyle w:val="Heading1"/>
        <w:spacing w:after="160" w:before="400"/>
      </w:pPr>
      <w:r>
        <w:rPr>
          <w:b/>
          <w:bCs/>
          <w:color w:val="0f172a"/>
          <w:sz w:val="32"/>
          <w:szCs w:val="32"/>
        </w:rPr>
        <w:t xml:space="preserve">Background of the Invention</w:t>
      </w:r>
    </w:p>
    <w:p>
      <w:pPr>
        <w:spacing w:after="120"/>
      </w:pPr>
      <w:r>
        <w:rPr>
          <w:color w:val="334155"/>
          <w:sz w:val="22"/>
          <w:szCs w:val="22"/>
        </w:rPr>
        <w:t xml:space="preserve">CuraLive is a real-time investor event intelligence platform protected by CIPC Patent Application 1773575338868. The Parent Provisional Specification (Modules 1–13) established core AI analysis capabilities. CIP Submission 2 (Modules 19–27) added autonomous specialised algorithms. CIP Submission 3 (Module 28) introduced the Autonomous AI Self-Evolution Engine. CIP Submission 4 (Module 30) added the Autonomous IR Assistant Layer.</w:t>
      </w:r>
    </w:p>
    <w:p>
      <w:pPr>
        <w:spacing w:after="40"/>
      </w:pPr>
    </w:p>
    <w:p>
      <w:pPr>
        <w:spacing w:after="120"/>
      </w:pPr>
      <w:r>
        <w:rPr>
          <w:color w:val="334155"/>
          <w:sz w:val="22"/>
          <w:szCs w:val="22"/>
        </w:rPr>
        <w:t xml:space="preserve">The prior art in corporate communications Q&amp;A remains primitive. Existing solutions (Zoom Q&amp;A, Microsoft Teams Q&amp;A, Slido, Pigeonhole Live) provide basic text submission with manual moderation and simple upvoting. No existing system provides:</w:t>
      </w:r>
    </w:p>
    <w:p>
      <w:pPr>
        <w:pStyle w:val="ListParagraph"/>
        <w:numPr>
          <w:ilvl w:val="0"/>
          <w:numId w:val="1"/>
        </w:numPr>
        <w:spacing w:after="60"/>
      </w:pPr>
      <w:r>
        <w:rPr>
          <w:color w:val="334155"/>
          <w:sz w:val="22"/>
          <w:szCs w:val="22"/>
        </w:rPr>
        <w:t xml:space="preserve">Predictive question anticipation based on investor behaviour models</w:t>
      </w:r>
    </w:p>
    <w:p>
      <w:pPr>
        <w:pStyle w:val="ListParagraph"/>
        <w:numPr>
          <w:ilvl w:val="0"/>
          <w:numId w:val="1"/>
        </w:numPr>
        <w:spacing w:after="60"/>
      </w:pPr>
      <w:r>
        <w:rPr>
          <w:color w:val="334155"/>
          <w:sz w:val="22"/>
          <w:szCs w:val="22"/>
        </w:rPr>
        <w:t xml:space="preserve">Real-time multi-jurisdictional compliance screening of questions</w:t>
      </w:r>
    </w:p>
    <w:p>
      <w:pPr>
        <w:pStyle w:val="ListParagraph"/>
        <w:numPr>
          <w:ilvl w:val="0"/>
          <w:numId w:val="1"/>
        </w:numPr>
        <w:spacing w:after="60"/>
      </w:pPr>
      <w:r>
        <w:rPr>
          <w:color w:val="334155"/>
          <w:sz w:val="22"/>
          <w:szCs w:val="22"/>
        </w:rPr>
        <w:t xml:space="preserve">Autonomous generation of new analysis tools based on observed Q&amp;A patterns</w:t>
      </w:r>
    </w:p>
    <w:p>
      <w:pPr>
        <w:pStyle w:val="ListParagraph"/>
        <w:numPr>
          <w:ilvl w:val="0"/>
          <w:numId w:val="1"/>
        </w:numPr>
        <w:spacing w:after="60"/>
      </w:pPr>
      <w:r>
        <w:rPr>
          <w:color w:val="334155"/>
          <w:sz w:val="22"/>
          <w:szCs w:val="22"/>
        </w:rPr>
        <w:t xml:space="preserve">Self-healing compliance remediation with blockchain-certified audit trails</w:t>
      </w:r>
    </w:p>
    <w:p>
      <w:pPr>
        <w:pStyle w:val="ListParagraph"/>
        <w:numPr>
          <w:ilvl w:val="0"/>
          <w:numId w:val="1"/>
        </w:numPr>
        <w:spacing w:after="60"/>
      </w:pPr>
      <w:r>
        <w:rPr>
          <w:color w:val="334155"/>
          <w:sz w:val="22"/>
          <w:szCs w:val="22"/>
        </w:rPr>
        <w:t xml:space="preserve">Integration with a full AI intelligence pipeline that enriches post-event reports</w:t>
      </w:r>
    </w:p>
    <w:p>
      <w:pPr>
        <w:spacing w:after="40"/>
      </w:pPr>
    </w:p>
    <w:p>
      <w:pPr>
        <w:spacing w:after="120"/>
      </w:pPr>
      <w:r>
        <w:rPr>
          <w:color w:val="334155"/>
          <w:sz w:val="22"/>
          <w:szCs w:val="22"/>
        </w:rPr>
        <w:t xml:space="preserve">Module 31 addresses these gaps by introducing the first fully autonomous Live Q&amp;A Intelligence Engine that operates across all meeting platforms without integration costs.</w:t>
      </w:r>
    </w:p>
    <w:p>
      <w:pPr>
        <w:pageBreakBefore/>
      </w:pPr>
      <w:r>
        <w:br/>
      </w:r>
      <w:r>
        <w:t xml:space="preserve"/>
      </w:r>
    </w:p>
    <w:p>
      <w:pPr>
        <w:pStyle w:val="Heading1"/>
        <w:spacing w:after="160" w:before="400"/>
      </w:pPr>
      <w:r>
        <w:rPr>
          <w:b/>
          <w:bCs/>
          <w:color w:val="0f172a"/>
          <w:sz w:val="32"/>
          <w:szCs w:val="32"/>
        </w:rPr>
        <w:t xml:space="preserve">Detailed Description — Module 31</w:t>
      </w:r>
    </w:p>
    <w:p>
      <w:pPr>
        <w:pStyle w:val="Heading2"/>
        <w:spacing w:after="120" w:before="300"/>
      </w:pPr>
      <w:r>
        <w:rPr>
          <w:b/>
          <w:bCs/>
          <w:color w:val="1e40af"/>
          <w:sz w:val="26"/>
          <w:szCs w:val="26"/>
        </w:rPr>
        <w:t xml:space="preserve">Autonomous Live Q&amp;A Intelligence Engine with AGI Tool Generator and AGI Corporate Compliance Layer</w:t>
      </w:r>
    </w:p>
    <w:p>
      <w:pPr>
        <w:pStyle w:val="Heading2"/>
        <w:spacing w:after="120" w:before="300"/>
      </w:pPr>
      <w:r>
        <w:rPr>
          <w:b/>
          <w:bCs/>
          <w:color w:val="1e40af"/>
          <w:sz w:val="26"/>
          <w:szCs w:val="26"/>
        </w:rPr>
        <w:t xml:space="preserve">31.1 Purpose</w:t>
      </w:r>
    </w:p>
    <w:p>
      <w:pPr>
        <w:spacing w:after="120"/>
      </w:pPr>
      <w:r>
        <w:rPr>
          <w:color w:val="334155"/>
          <w:sz w:val="22"/>
          <w:szCs w:val="22"/>
        </w:rPr>
        <w:t xml:space="preserve">Module 31 provides a fully autonomous Live Q&amp;A Intelligence Engine that runs alongside Shadow Mode (Module 1) during any investor event. The system anticipates questions before they are asked, triages incoming questions using AGI-level intelligence, screens for multi-jurisdictional compliance risks in real time, auto-drafts responses, and autonomously generates new tools and compliance policies to expand its own capabilities.</w:t>
      </w:r>
    </w:p>
    <w:p>
      <w:pPr>
        <w:pStyle w:val="Heading2"/>
        <w:spacing w:after="120" w:before="300"/>
      </w:pPr>
      <w:r>
        <w:rPr>
          <w:b/>
          <w:bCs/>
          <w:color w:val="1e40af"/>
          <w:sz w:val="26"/>
          <w:szCs w:val="26"/>
        </w:rPr>
        <w:t xml:space="preserve">31.2 Detailed Operation</w:t>
      </w:r>
    </w:p>
    <w:p>
      <w:pPr>
        <w:pStyle w:val="Heading3"/>
        <w:spacing w:after="100" w:before="240"/>
      </w:pPr>
      <w:r>
        <w:rPr>
          <w:b/>
          <w:bCs/>
          <w:color w:val="0f172a"/>
          <w:sz w:val="22"/>
          <w:szCs w:val="22"/>
        </w:rPr>
        <w:t xml:space="preserve">31.2.1 Predictive Q&amp;A Orchestration Engine</w:t>
      </w:r>
    </w:p>
    <w:p>
      <w:pPr>
        <w:spacing w:after="120"/>
      </w:pPr>
      <w:r>
        <w:rPr>
          <w:color w:val="334155"/>
          <w:sz w:val="22"/>
          <w:szCs w:val="22"/>
        </w:rPr>
        <w:t xml:space="preserve">The Predictive Q&amp;A Orchestration Engine uses investor behavioural models, historical event data, and real-time transcript analysis to anticipate questions before attendees submit them. The system generates predicted questions with probability scores, allowing operators to prepare responses proactively.</w:t>
      </w:r>
    </w:p>
    <w:p>
      <w:pPr>
        <w:spacing w:after="40"/>
      </w:pPr>
    </w:p>
    <w:p>
      <w:pPr>
        <w:spacing w:after="120"/>
      </w:pPr>
      <w:r>
        <w:rPr>
          <w:color w:val="334155"/>
          <w:sz w:val="22"/>
          <w:szCs w:val="22"/>
        </w:rPr>
        <w:t xml:space="preserve">The prediction model analyses:</w:t>
      </w:r>
    </w:p>
    <w:p>
      <w:pPr>
        <w:pStyle w:val="ListParagraph"/>
        <w:numPr>
          <w:ilvl w:val="0"/>
          <w:numId w:val="1"/>
        </w:numPr>
        <w:spacing w:after="60"/>
      </w:pPr>
      <w:r>
        <w:rPr>
          <w:color w:val="334155"/>
          <w:sz w:val="22"/>
          <w:szCs w:val="22"/>
        </w:rPr>
        <w:t xml:space="preserve">Historical questions from prior events by the same company</w:t>
      </w:r>
    </w:p>
    <w:p>
      <w:pPr>
        <w:pStyle w:val="ListParagraph"/>
        <w:numPr>
          <w:ilvl w:val="0"/>
          <w:numId w:val="1"/>
        </w:numPr>
        <w:spacing w:after="60"/>
      </w:pPr>
      <w:r>
        <w:rPr>
          <w:color w:val="334155"/>
          <w:sz w:val="22"/>
          <w:szCs w:val="22"/>
        </w:rPr>
        <w:t xml:space="preserve">Current transcript sentiment and topic trajectory from the live Shadow Mode session</w:t>
      </w:r>
    </w:p>
    <w:p>
      <w:pPr>
        <w:pStyle w:val="ListParagraph"/>
        <w:numPr>
          <w:ilvl w:val="0"/>
          <w:numId w:val="1"/>
        </w:numPr>
        <w:spacing w:after="60"/>
      </w:pPr>
      <w:r>
        <w:rPr>
          <w:color w:val="334155"/>
          <w:sz w:val="22"/>
          <w:szCs w:val="22"/>
        </w:rPr>
        <w:t xml:space="preserve">Investor profile data from Bastion AI (Module 26), including holding size, prior engagement, and known areas of concern</w:t>
      </w:r>
    </w:p>
    <w:p>
      <w:pPr>
        <w:pStyle w:val="ListParagraph"/>
        <w:numPr>
          <w:ilvl w:val="0"/>
          <w:numId w:val="1"/>
        </w:numPr>
        <w:spacing w:after="60"/>
      </w:pPr>
      <w:r>
        <w:rPr>
          <w:color w:val="334155"/>
          <w:sz w:val="22"/>
          <w:szCs w:val="22"/>
        </w:rPr>
        <w:t xml:space="preserve">Market conditions and recent news relevant to the company</w:t>
      </w:r>
    </w:p>
    <w:p>
      <w:pPr>
        <w:pStyle w:val="ListParagraph"/>
        <w:numPr>
          <w:ilvl w:val="0"/>
          <w:numId w:val="1"/>
        </w:numPr>
        <w:spacing w:after="60"/>
      </w:pPr>
      <w:r>
        <w:rPr>
          <w:color w:val="334155"/>
          <w:sz w:val="22"/>
          <w:szCs w:val="22"/>
        </w:rPr>
        <w:t xml:space="preserve">Peer company Q&amp;A patterns from aggregate intelligence across CuraLive's dataset</w:t>
      </w:r>
    </w:p>
    <w:p>
      <w:pPr>
        <w:spacing w:after="40"/>
      </w:pPr>
    </w:p>
    <w:p>
      <w:pPr>
        <w:spacing w:after="120"/>
      </w:pPr>
      <w:r>
        <w:rPr>
          <w:color w:val="334155"/>
          <w:sz w:val="22"/>
          <w:szCs w:val="22"/>
        </w:rPr>
        <w:t xml:space="preserve">Predicted questions are ranked by probability and materiality, enabling operators to pre-draft responses for high-likelihood questions before they are asked.</w:t>
      </w:r>
    </w:p>
    <w:p>
      <w:pPr>
        <w:pStyle w:val="Heading3"/>
        <w:spacing w:after="100" w:before="240"/>
      </w:pPr>
      <w:r>
        <w:rPr>
          <w:b/>
          <w:bCs/>
          <w:color w:val="0f172a"/>
          <w:sz w:val="22"/>
          <w:szCs w:val="22"/>
        </w:rPr>
        <w:t xml:space="preserve">31.2.2 AI Triage Pipeline</w:t>
      </w:r>
    </w:p>
    <w:p>
      <w:pPr>
        <w:spacing w:after="120"/>
      </w:pPr>
      <w:r>
        <w:rPr>
          <w:color w:val="334155"/>
          <w:sz w:val="22"/>
          <w:szCs w:val="22"/>
        </w:rPr>
        <w:t xml:space="preserve">Every incoming question passes through a multi-stage AI triage pipeline:</w:t>
      </w:r>
    </w:p>
    <w:p>
      <w:pPr>
        <w:pStyle w:val="ListParagraph"/>
        <w:numPr>
          <w:ilvl w:val="0"/>
          <w:numId w:val="1"/>
        </w:numPr>
        <w:spacing w:after="60"/>
      </w:pPr>
      <w:r>
        <w:rPr>
          <w:color w:val="334155"/>
          <w:sz w:val="22"/>
          <w:szCs w:val="22"/>
        </w:rPr>
        <w:t xml:space="preserve">Stage 1: Semantic Deduplication — vector embedding comparison to identify near-identical questions, combining vote counts</w:t>
      </w:r>
    </w:p>
    <w:p>
      <w:pPr>
        <w:pStyle w:val="ListParagraph"/>
        <w:numPr>
          <w:ilvl w:val="0"/>
          <w:numId w:val="1"/>
        </w:numPr>
        <w:spacing w:after="60"/>
      </w:pPr>
      <w:r>
        <w:rPr>
          <w:color w:val="334155"/>
          <w:sz w:val="22"/>
          <w:szCs w:val="22"/>
        </w:rPr>
        <w:t xml:space="preserve">Stage 2: Theme Clustering — automatic grouping by topic (financial performance, guidance, capital allocation, ESG, governance)</w:t>
      </w:r>
    </w:p>
    <w:p>
      <w:pPr>
        <w:pStyle w:val="ListParagraph"/>
        <w:numPr>
          <w:ilvl w:val="0"/>
          <w:numId w:val="1"/>
        </w:numPr>
        <w:spacing w:after="60"/>
      </w:pPr>
      <w:r>
        <w:rPr>
          <w:color w:val="334155"/>
          <w:sz w:val="22"/>
          <w:szCs w:val="22"/>
        </w:rPr>
        <w:t xml:space="preserve">Stage 3: Compliance Screening — real-time check against applicable regulatory frameworks (see 31.2.5)</w:t>
      </w:r>
    </w:p>
    <w:p>
      <w:pPr>
        <w:pStyle w:val="ListParagraph"/>
        <w:numPr>
          <w:ilvl w:val="0"/>
          <w:numId w:val="1"/>
        </w:numPr>
        <w:spacing w:after="60"/>
      </w:pPr>
      <w:r>
        <w:rPr>
          <w:color w:val="334155"/>
          <w:sz w:val="22"/>
          <w:szCs w:val="22"/>
        </w:rPr>
        <w:t xml:space="preserve">Stage 4: Investor Profiling — Bastion AI identification of questioner context (institutional/retail, holding, sentiment history)</w:t>
      </w:r>
    </w:p>
    <w:p>
      <w:pPr>
        <w:pStyle w:val="ListParagraph"/>
        <w:numPr>
          <w:ilvl w:val="0"/>
          <w:numId w:val="1"/>
        </w:numPr>
        <w:spacing w:after="60"/>
      </w:pPr>
      <w:r>
        <w:rPr>
          <w:color w:val="334155"/>
          <w:sz w:val="22"/>
          <w:szCs w:val="22"/>
        </w:rPr>
        <w:t xml:space="preserve">Stage 5: Relevance Scoring — composite materiality score based on topic importance, investor significance, and audience sentiment</w:t>
      </w:r>
    </w:p>
    <w:p>
      <w:pPr>
        <w:pStyle w:val="ListParagraph"/>
        <w:numPr>
          <w:ilvl w:val="0"/>
          <w:numId w:val="1"/>
        </w:numPr>
        <w:spacing w:after="60"/>
      </w:pPr>
      <w:r>
        <w:rPr>
          <w:color w:val="334155"/>
          <w:sz w:val="22"/>
          <w:szCs w:val="22"/>
        </w:rPr>
        <w:t xml:space="preserve">Stage 6: Smart Queue Ordering — AI-suggested optimal question sequence based on topic flow and coverage maximisation</w:t>
      </w:r>
    </w:p>
    <w:p>
      <w:pPr>
        <w:pStyle w:val="Heading3"/>
        <w:spacing w:after="100" w:before="240"/>
      </w:pPr>
      <w:r>
        <w:rPr>
          <w:b/>
          <w:bCs/>
          <w:color w:val="0f172a"/>
          <w:sz w:val="22"/>
          <w:szCs w:val="22"/>
        </w:rPr>
        <w:t xml:space="preserve">31.2.3 Auto-Draft Response Generation</w:t>
      </w:r>
    </w:p>
    <w:p>
      <w:pPr>
        <w:spacing w:after="120"/>
      </w:pPr>
      <w:r>
        <w:rPr>
          <w:color w:val="334155"/>
          <w:sz w:val="22"/>
          <w:szCs w:val="22"/>
        </w:rPr>
        <w:t xml:space="preserve">For each triaged question, the system generates a draft response using:</w:t>
      </w:r>
    </w:p>
    <w:p>
      <w:pPr>
        <w:pStyle w:val="ListParagraph"/>
        <w:numPr>
          <w:ilvl w:val="0"/>
          <w:numId w:val="1"/>
        </w:numPr>
        <w:spacing w:after="60"/>
      </w:pPr>
      <w:r>
        <w:rPr>
          <w:color w:val="334155"/>
          <w:sz w:val="22"/>
          <w:szCs w:val="22"/>
        </w:rPr>
        <w:t xml:space="preserve">The company's existing public disclosures and regulatory filings</w:t>
      </w:r>
    </w:p>
    <w:p>
      <w:pPr>
        <w:pStyle w:val="ListParagraph"/>
        <w:numPr>
          <w:ilvl w:val="0"/>
          <w:numId w:val="1"/>
        </w:numPr>
        <w:spacing w:after="60"/>
      </w:pPr>
      <w:r>
        <w:rPr>
          <w:color w:val="334155"/>
          <w:sz w:val="22"/>
          <w:szCs w:val="22"/>
        </w:rPr>
        <w:t xml:space="preserve">Prior event transcripts and responses to similar questions</w:t>
      </w:r>
    </w:p>
    <w:p>
      <w:pPr>
        <w:pStyle w:val="ListParagraph"/>
        <w:numPr>
          <w:ilvl w:val="0"/>
          <w:numId w:val="1"/>
        </w:numPr>
        <w:spacing w:after="60"/>
      </w:pPr>
      <w:r>
        <w:rPr>
          <w:color w:val="334155"/>
          <w:sz w:val="22"/>
          <w:szCs w:val="22"/>
        </w:rPr>
        <w:t xml:space="preserve">Real-time transcript context from the current session</w:t>
      </w:r>
    </w:p>
    <w:p>
      <w:pPr>
        <w:pStyle w:val="ListParagraph"/>
        <w:numPr>
          <w:ilvl w:val="0"/>
          <w:numId w:val="1"/>
        </w:numPr>
        <w:spacing w:after="60"/>
      </w:pPr>
      <w:r>
        <w:rPr>
          <w:color w:val="334155"/>
          <w:sz w:val="22"/>
          <w:szCs w:val="22"/>
        </w:rPr>
        <w:t xml:space="preserve">Jurisdiction-specific safe harbour disclaimers</w:t>
      </w:r>
    </w:p>
    <w:p>
      <w:pPr>
        <w:spacing w:after="40"/>
      </w:pPr>
    </w:p>
    <w:p>
      <w:pPr>
        <w:spacing w:after="120"/>
      </w:pPr>
      <w:r>
        <w:rPr>
          <w:color w:val="334155"/>
          <w:sz w:val="22"/>
          <w:szCs w:val="22"/>
        </w:rPr>
        <w:t xml:space="preserve">For JSE-listed companies, the system generates SENS-compliant announcement drafts when material questions arise, enabling immediate regulatory filing if required.</w:t>
      </w:r>
    </w:p>
    <w:p>
      <w:pPr>
        <w:pStyle w:val="Heading3"/>
        <w:spacing w:after="100" w:before="240"/>
      </w:pPr>
      <w:r>
        <w:rPr>
          <w:b/>
          <w:bCs/>
          <w:color w:val="0f172a"/>
          <w:sz w:val="22"/>
          <w:szCs w:val="22"/>
        </w:rPr>
        <w:t xml:space="preserve">31.2.4 AGI Tool Generator (Self-Expanding Engine)</w:t>
      </w:r>
    </w:p>
    <w:p>
      <w:pPr>
        <w:spacing w:after="120"/>
      </w:pPr>
      <w:r>
        <w:rPr>
          <w:color w:val="334155"/>
          <w:sz w:val="22"/>
          <w:szCs w:val="22"/>
        </w:rPr>
        <w:t xml:space="preserve">The AGI Tool Generator is an autonomous closed-loop system that detects gaps in CuraLive's analytical capabilities and generates new tools to fill them without human intervention.</w:t>
      </w:r>
    </w:p>
    <w:p>
      <w:pPr>
        <w:spacing w:after="40"/>
      </w:pPr>
    </w:p>
    <w:p>
      <w:pPr>
        <w:spacing w:after="120"/>
      </w:pPr>
      <w:r>
        <w:rPr>
          <w:color w:val="334155"/>
          <w:sz w:val="22"/>
          <w:szCs w:val="22"/>
        </w:rPr>
        <w:t xml:space="preserve">The closed-loop operates as follows:</w:t>
      </w:r>
    </w:p>
    <w:p>
      <w:pPr>
        <w:pStyle w:val="ListParagraph"/>
        <w:numPr>
          <w:ilvl w:val="0"/>
          <w:numId w:val="1"/>
        </w:numPr>
        <w:spacing w:after="60"/>
      </w:pPr>
      <w:r>
        <w:rPr>
          <w:color w:val="334155"/>
          <w:sz w:val="22"/>
          <w:szCs w:val="22"/>
        </w:rPr>
        <w:t xml:space="preserve">Step 1 — Domain Detection: The system scans Q&amp;A sessions for unhandled patterns, emerging topics, and questions that existing tools cannot adequately analyse.</w:t>
      </w:r>
    </w:p>
    <w:p>
      <w:pPr>
        <w:pStyle w:val="ListParagraph"/>
        <w:numPr>
          <w:ilvl w:val="0"/>
          <w:numId w:val="1"/>
        </w:numPr>
        <w:spacing w:after="60"/>
      </w:pPr>
      <w:r>
        <w:rPr>
          <w:color w:val="334155"/>
          <w:sz w:val="22"/>
          <w:szCs w:val="22"/>
        </w:rPr>
        <w:t xml:space="preserve">Step 2 — Gap Analysis: Using Module 28's Gap Detection Matrix, the system identifies specific capability gaps and quantifies the potential value of filling them.</w:t>
      </w:r>
    </w:p>
    <w:p>
      <w:pPr>
        <w:pStyle w:val="ListParagraph"/>
        <w:numPr>
          <w:ilvl w:val="0"/>
          <w:numId w:val="1"/>
        </w:numPr>
        <w:spacing w:after="60"/>
      </w:pPr>
      <w:r>
        <w:rPr>
          <w:color w:val="334155"/>
          <w:sz w:val="22"/>
          <w:szCs w:val="22"/>
        </w:rPr>
        <w:t xml:space="preserve">Step 3 — Tool Proposal Generation: The system generates full tool specifications including name, purpose, LLM prompts, data schema, compliance rules, and expected output format.</w:t>
      </w:r>
    </w:p>
    <w:p>
      <w:pPr>
        <w:pStyle w:val="ListParagraph"/>
        <w:numPr>
          <w:ilvl w:val="0"/>
          <w:numId w:val="1"/>
        </w:numPr>
        <w:spacing w:after="60"/>
      </w:pPr>
      <w:r>
        <w:rPr>
          <w:color w:val="334155"/>
          <w:sz w:val="22"/>
          <w:szCs w:val="22"/>
        </w:rPr>
        <w:t xml:space="preserve">Step 4 — Shadow Mode Validation: Proposed tools are tested on historical event data in an isolated environment, measuring accuracy, coverage, and reliability.</w:t>
      </w:r>
    </w:p>
    <w:p>
      <w:pPr>
        <w:pStyle w:val="ListParagraph"/>
        <w:numPr>
          <w:ilvl w:val="0"/>
          <w:numId w:val="1"/>
        </w:numPr>
        <w:spacing w:after="60"/>
      </w:pPr>
      <w:r>
        <w:rPr>
          <w:color w:val="334155"/>
          <w:sz w:val="22"/>
          <w:szCs w:val="22"/>
        </w:rPr>
        <w:t xml:space="preserve">Step 5 — Evidence Building: Test results are scored using an Evidence Decay Function (exponential half-life weighting where recent evidence counts more than old evidence).</w:t>
      </w:r>
    </w:p>
    <w:p>
      <w:pPr>
        <w:pStyle w:val="ListParagraph"/>
        <w:numPr>
          <w:ilvl w:val="0"/>
          <w:numId w:val="1"/>
        </w:numPr>
        <w:spacing w:after="60"/>
      </w:pPr>
      <w:r>
        <w:rPr>
          <w:color w:val="334155"/>
          <w:sz w:val="22"/>
          <w:szCs w:val="22"/>
        </w:rPr>
        <w:t xml:space="preserve">Step 6 — Autonomous Promotion: Tools that meet configurable quality thresholds are automatically promoted through a 5-stage lifecycle: draft → testing → staging → production → deprecated.</w:t>
      </w:r>
    </w:p>
    <w:p>
      <w:pPr>
        <w:pStyle w:val="ListParagraph"/>
        <w:numPr>
          <w:ilvl w:val="0"/>
          <w:numId w:val="1"/>
        </w:numPr>
        <w:spacing w:after="60"/>
      </w:pPr>
      <w:r>
        <w:rPr>
          <w:color w:val="334155"/>
          <w:sz w:val="22"/>
          <w:szCs w:val="22"/>
        </w:rPr>
        <w:t xml:space="preserve">Step 7 — Self-Evolution Feedback: Performance data from production tools is fed back into Module 28 for continuous improvement of the generation process itself.</w:t>
      </w:r>
    </w:p>
    <w:p>
      <w:pPr>
        <w:spacing w:after="80"/>
      </w:pPr>
    </w:p>
    <w:p>
      <w:pPr>
        <w:spacing w:after="120"/>
      </w:pPr>
      <w:r>
        <w:rPr>
          <w:b/>
          <w:bCs/>
          <w:color w:val="334155"/>
          <w:sz w:val="22"/>
          <w:szCs w:val="22"/>
        </w:rPr>
        <w:t xml:space="preserve">Novel Algorithms:</w:t>
      </w:r>
    </w:p>
    <w:p>
      <w:pPr>
        <w:spacing w:after="40"/>
      </w:pPr>
    </w:p>
    <w:p>
      <w:pPr>
        <w:spacing w:after="120"/>
      </w:pPr>
      <w:r>
        <w:rPr>
          <w:b/>
          <w:bCs/>
          <w:color w:val="334155"/>
          <w:sz w:val="22"/>
          <w:szCs w:val="22"/>
        </w:rPr>
        <w:t xml:space="preserve">Evidence Decay Function:</w:t>
      </w:r>
    </w:p>
    <w:p>
      <w:pPr>
        <w:spacing w:after="120"/>
      </w:pPr>
      <w:r>
        <w:rPr>
          <w:color w:val="334155"/>
          <w:sz w:val="22"/>
          <w:szCs w:val="22"/>
        </w:rPr>
        <w:t xml:space="preserve">W(t) = e^(-λ × (T_now - T_evidence)), where λ is the configurable decay constant. Recent evidence receives exponentially higher weight than historical evidence, ensuring tool quality scores reflect current performance.</w:t>
      </w:r>
    </w:p>
    <w:p>
      <w:pPr>
        <w:spacing w:after="40"/>
      </w:pPr>
    </w:p>
    <w:p>
      <w:pPr>
        <w:spacing w:after="120"/>
      </w:pPr>
      <w:r>
        <w:rPr>
          <w:b/>
          <w:bCs/>
          <w:color w:val="334155"/>
          <w:sz w:val="22"/>
          <w:szCs w:val="22"/>
        </w:rPr>
        <w:t xml:space="preserve">Cross-Domain Correlation Engine:</w:t>
      </w:r>
    </w:p>
    <w:p>
      <w:pPr>
        <w:spacing w:after="120"/>
      </w:pPr>
      <w:r>
        <w:rPr>
          <w:color w:val="334155"/>
          <w:sz w:val="22"/>
          <w:szCs w:val="22"/>
        </w:rPr>
        <w:t xml:space="preserve">Uses vector embeddings of tool capabilities and domain characteristics to identify when a tool developed for one industry (e.g., mining earnings calls) can be adapted for another (e.g., energy sector results presentations). Correlation threshold: configurable (default 0.85).</w:t>
      </w:r>
    </w:p>
    <w:p>
      <w:pPr>
        <w:spacing w:after="40"/>
      </w:pPr>
    </w:p>
    <w:p>
      <w:pPr>
        <w:spacing w:after="120"/>
      </w:pPr>
      <w:r>
        <w:rPr>
          <w:b/>
          <w:bCs/>
          <w:color w:val="334155"/>
          <w:sz w:val="22"/>
          <w:szCs w:val="22"/>
        </w:rPr>
        <w:t xml:space="preserve">Impact Estimation Model:</w:t>
      </w:r>
    </w:p>
    <w:p>
      <w:pPr>
        <w:spacing w:after="120"/>
      </w:pPr>
      <w:r>
        <w:rPr>
          <w:color w:val="334155"/>
          <w:sz w:val="22"/>
          <w:szCs w:val="22"/>
        </w:rPr>
        <w:t xml:space="preserve">Monte-Carlo simulation (N=10,000 iterations) predicts the expected value of a proposed tool before development resources are committed, using historical Q&amp;A data as the simulation input.</w:t>
      </w:r>
    </w:p>
    <w:p>
      <w:pPr>
        <w:pStyle w:val="Heading3"/>
        <w:spacing w:after="100" w:before="240"/>
      </w:pPr>
      <w:r>
        <w:rPr>
          <w:b/>
          <w:bCs/>
          <w:color w:val="0f172a"/>
          <w:sz w:val="22"/>
          <w:szCs w:val="22"/>
        </w:rPr>
        <w:t xml:space="preserve">31.2.5 AGI Corporate Compliance Layer</w:t>
      </w:r>
    </w:p>
    <w:p>
      <w:pPr>
        <w:spacing w:after="120"/>
      </w:pPr>
      <w:r>
        <w:rPr>
          <w:color w:val="334155"/>
          <w:sz w:val="22"/>
          <w:szCs w:val="22"/>
        </w:rPr>
        <w:t xml:space="preserve">The AGI Corporate Compliance Layer is an autonomous compliance co-pilot that operates across multiple regulatory jurisdictions simultaneously.</w:t>
      </w:r>
    </w:p>
    <w:p>
      <w:pPr>
        <w:spacing w:after="40"/>
      </w:pPr>
    </w:p>
    <w:p>
      <w:pPr>
        <w:spacing w:after="120"/>
      </w:pPr>
      <w:r>
        <w:rPr>
          <w:b/>
          <w:bCs/>
          <w:color w:val="334155"/>
          <w:sz w:val="22"/>
          <w:szCs w:val="22"/>
        </w:rPr>
        <w:t xml:space="preserve">Core Subsystems:</w:t>
      </w:r>
    </w:p>
    <w:p>
      <w:pPr>
        <w:spacing w:after="40"/>
      </w:pPr>
    </w:p>
    <w:p>
      <w:pPr>
        <w:spacing w:after="120"/>
      </w:pPr>
      <w:r>
        <w:rPr>
          <w:b/>
          <w:bCs/>
          <w:color w:val="334155"/>
          <w:sz w:val="22"/>
          <w:szCs w:val="22"/>
        </w:rPr>
        <w:t xml:space="preserve">Predictive Selective Disclosure Simulator:</w:t>
      </w:r>
    </w:p>
    <w:p>
      <w:pPr>
        <w:spacing w:after="120"/>
      </w:pPr>
      <w:r>
        <w:rPr>
          <w:color w:val="334155"/>
          <w:sz w:val="22"/>
          <w:szCs w:val="22"/>
        </w:rPr>
        <w:t xml:space="preserve">Uses Monte-Carlo simulations combined with Module 24 valuation impact cones to predict whether answering a specific question could constitute selective disclosure under applicable law. The simulator models the information asymmetry that would result from answering the question publicly versus privately.</w:t>
      </w:r>
    </w:p>
    <w:p>
      <w:pPr>
        <w:spacing w:after="40"/>
      </w:pPr>
    </w:p>
    <w:p>
      <w:pPr>
        <w:spacing w:after="120"/>
      </w:pPr>
      <w:r>
        <w:rPr>
          <w:b/>
          <w:bCs/>
          <w:color w:val="334155"/>
          <w:sz w:val="22"/>
          <w:szCs w:val="22"/>
        </w:rPr>
        <w:t xml:space="preserve">Multi-Jurisdictional Firewall:</w:t>
      </w:r>
    </w:p>
    <w:p>
      <w:pPr>
        <w:spacing w:after="120"/>
      </w:pPr>
      <w:r>
        <w:rPr>
          <w:color w:val="334155"/>
          <w:sz w:val="22"/>
          <w:szCs w:val="22"/>
        </w:rPr>
        <w:t xml:space="preserve">Maintains vector embeddings of applicable laws and regulations for each supported jurisdiction. For each incoming question, the system computes the compliance distance between the question content and applicable regulatory boundaries, flagging questions that fall within the risk zone.</w:t>
      </w:r>
    </w:p>
    <w:p>
      <w:pPr>
        <w:spacing w:after="40"/>
      </w:pPr>
    </w:p>
    <w:p>
      <w:pPr>
        <w:spacing w:after="120"/>
      </w:pPr>
      <w:r>
        <w:rPr>
          <w:color w:val="334155"/>
          <w:sz w:val="22"/>
          <w:szCs w:val="22"/>
        </w:rPr>
        <w:t xml:space="preserve">Supported Jurisdictions:</w:t>
      </w:r>
    </w:p>
    <w:p>
      <w:pPr>
        <w:pStyle w:val="ListParagraph"/>
        <w:numPr>
          <w:ilvl w:val="0"/>
          <w:numId w:val="1"/>
        </w:numPr>
        <w:spacing w:after="60"/>
      </w:pPr>
      <w:r>
        <w:rPr>
          <w:color w:val="334155"/>
          <w:sz w:val="22"/>
          <w:szCs w:val="22"/>
        </w:rPr>
        <w:t xml:space="preserve">JSE (South Africa) — SENS announcements, capital raise flagging, Companies Act compliance</w:t>
      </w:r>
    </w:p>
    <w:p>
      <w:pPr>
        <w:pStyle w:val="ListParagraph"/>
        <w:numPr>
          <w:ilvl w:val="0"/>
          <w:numId w:val="1"/>
        </w:numPr>
        <w:spacing w:after="60"/>
      </w:pPr>
      <w:r>
        <w:rPr>
          <w:color w:val="334155"/>
          <w:sz w:val="22"/>
          <w:szCs w:val="22"/>
        </w:rPr>
        <w:t xml:space="preserve">Reg FD (United States) — selective disclosure prevention, material non-public information detection</w:t>
      </w:r>
    </w:p>
    <w:p>
      <w:pPr>
        <w:pStyle w:val="ListParagraph"/>
        <w:numPr>
          <w:ilvl w:val="0"/>
          <w:numId w:val="1"/>
        </w:numPr>
        <w:spacing w:after="60"/>
      </w:pPr>
      <w:r>
        <w:rPr>
          <w:color w:val="334155"/>
          <w:sz w:val="22"/>
          <w:szCs w:val="22"/>
        </w:rPr>
        <w:t xml:space="preserve">MAR (European Union) — inside information detection, 24-hour delay protocol for delayed disclosure</w:t>
      </w:r>
    </w:p>
    <w:p>
      <w:pPr>
        <w:pStyle w:val="ListParagraph"/>
        <w:numPr>
          <w:ilvl w:val="0"/>
          <w:numId w:val="1"/>
        </w:numPr>
        <w:spacing w:after="60"/>
      </w:pPr>
      <w:r>
        <w:rPr>
          <w:color w:val="334155"/>
          <w:sz w:val="22"/>
          <w:szCs w:val="22"/>
        </w:rPr>
        <w:t xml:space="preserve">POPIA (South Africa) / GDPR (European Union) — data privacy compliance, consent management</w:t>
      </w:r>
    </w:p>
    <w:p>
      <w:pPr>
        <w:pStyle w:val="ListParagraph"/>
        <w:numPr>
          <w:ilvl w:val="0"/>
          <w:numId w:val="1"/>
        </w:numPr>
        <w:spacing w:after="60"/>
      </w:pPr>
      <w:r>
        <w:rPr>
          <w:color w:val="334155"/>
          <w:sz w:val="22"/>
          <w:szCs w:val="22"/>
        </w:rPr>
        <w:t xml:space="preserve">King IV (South Africa) — governance compliance, board responsibility flagging</w:t>
      </w:r>
    </w:p>
    <w:p>
      <w:pPr>
        <w:pStyle w:val="ListParagraph"/>
        <w:numPr>
          <w:ilvl w:val="0"/>
          <w:numId w:val="1"/>
        </w:numPr>
        <w:spacing w:after="60"/>
      </w:pPr>
      <w:r>
        <w:rPr>
          <w:color w:val="334155"/>
          <w:sz w:val="22"/>
          <w:szCs w:val="22"/>
        </w:rPr>
        <w:t xml:space="preserve">PFMA (South Africa) — government entity communications compliance</w:t>
      </w:r>
    </w:p>
    <w:p>
      <w:pPr>
        <w:spacing w:after="40"/>
      </w:pPr>
    </w:p>
    <w:p>
      <w:pPr>
        <w:spacing w:after="120"/>
      </w:pPr>
      <w:r>
        <w:rPr>
          <w:b/>
          <w:bCs/>
          <w:color w:val="334155"/>
          <w:sz w:val="22"/>
          <w:szCs w:val="22"/>
        </w:rPr>
        <w:t xml:space="preserve">Autonomous Compliance Policy Generator:</w:t>
      </w:r>
    </w:p>
    <w:p>
      <w:pPr>
        <w:spacing w:after="120"/>
      </w:pPr>
      <w:r>
        <w:rPr>
          <w:color w:val="334155"/>
          <w:sz w:val="22"/>
          <w:szCs w:val="22"/>
        </w:rPr>
        <w:t xml:space="preserve">When the system encounters a novel regulatory scenario not covered by existing rules, it autonomously generates a new compliance policy. The policy includes: the regulatory basis, risk criteria, recommended action (forward/delay/route to legal/route to private bot), and evidence requirements. Generated policies enter the same 5-stage lifecycle as AGI-generated tools.</w:t>
      </w:r>
    </w:p>
    <w:p>
      <w:pPr>
        <w:spacing w:after="40"/>
      </w:pPr>
    </w:p>
    <w:p>
      <w:pPr>
        <w:spacing w:after="120"/>
      </w:pPr>
      <w:r>
        <w:rPr>
          <w:b/>
          <w:bCs/>
          <w:color w:val="334155"/>
          <w:sz w:val="22"/>
          <w:szCs w:val="22"/>
        </w:rPr>
        <w:t xml:space="preserve">Self-Healing Remediation:</w:t>
      </w:r>
    </w:p>
    <w:p>
      <w:pPr>
        <w:spacing w:after="120"/>
      </w:pPr>
      <w:r>
        <w:rPr>
          <w:color w:val="334155"/>
          <w:sz w:val="22"/>
          <w:szCs w:val="22"/>
        </w:rPr>
        <w:t xml:space="preserve">When a compliance risk is detected, the system automatically generates a compliant alternative response that addresses the questioner's intent without crossing regulatory boundaries. The original question, the risk assessment, the alternative response, and the operator's decision are all recorded in a blockchain-certified audit trail using Module 22's Clean Disclosure Certificate system.</w:t>
      </w:r>
    </w:p>
    <w:p>
      <w:pPr>
        <w:pStyle w:val="Heading3"/>
        <w:spacing w:after="100" w:before="240"/>
      </w:pPr>
      <w:r>
        <w:rPr>
          <w:b/>
          <w:bCs/>
          <w:color w:val="0f172a"/>
          <w:sz w:val="22"/>
          <w:szCs w:val="22"/>
        </w:rPr>
        <w:t xml:space="preserve">31.2.6 Post-Event Intelligence Integration</w:t>
      </w:r>
    </w:p>
    <w:p>
      <w:pPr>
        <w:spacing w:after="120"/>
      </w:pPr>
      <w:r>
        <w:rPr>
          <w:color w:val="334155"/>
          <w:sz w:val="22"/>
          <w:szCs w:val="22"/>
        </w:rPr>
        <w:t xml:space="preserve">All Q&amp;A data — questions submitted, triage decisions, compliance screenings, operator actions, response drafts, and sentiment trajectories — is automatically fed into the existing 20-module AI report pipeline. This enriches the post-event intelligence with:</w:t>
      </w:r>
    </w:p>
    <w:p>
      <w:pPr>
        <w:pStyle w:val="ListParagraph"/>
        <w:numPr>
          <w:ilvl w:val="0"/>
          <w:numId w:val="1"/>
        </w:numPr>
        <w:spacing w:after="60"/>
      </w:pPr>
      <w:r>
        <w:rPr>
          <w:color w:val="334155"/>
          <w:sz w:val="22"/>
          <w:szCs w:val="22"/>
        </w:rPr>
        <w:t xml:space="preserve">Question frequency analysis (which topics generated the most questions)</w:t>
      </w:r>
    </w:p>
    <w:p>
      <w:pPr>
        <w:pStyle w:val="ListParagraph"/>
        <w:numPr>
          <w:ilvl w:val="0"/>
          <w:numId w:val="1"/>
        </w:numPr>
        <w:spacing w:after="60"/>
      </w:pPr>
      <w:r>
        <w:rPr>
          <w:color w:val="334155"/>
          <w:sz w:val="22"/>
          <w:szCs w:val="22"/>
        </w:rPr>
        <w:t xml:space="preserve">Investor engagement scoring (which investors were most active)</w:t>
      </w:r>
    </w:p>
    <w:p>
      <w:pPr>
        <w:pStyle w:val="ListParagraph"/>
        <w:numPr>
          <w:ilvl w:val="0"/>
          <w:numId w:val="1"/>
        </w:numPr>
        <w:spacing w:after="60"/>
      </w:pPr>
      <w:r>
        <w:rPr>
          <w:color w:val="334155"/>
          <w:sz w:val="22"/>
          <w:szCs w:val="22"/>
        </w:rPr>
        <w:t xml:space="preserve">Compliance event log (all regulatory flags and resolutions)</w:t>
      </w:r>
    </w:p>
    <w:p>
      <w:pPr>
        <w:pStyle w:val="ListParagraph"/>
        <w:numPr>
          <w:ilvl w:val="0"/>
          <w:numId w:val="1"/>
        </w:numPr>
        <w:spacing w:after="60"/>
      </w:pPr>
      <w:r>
        <w:rPr>
          <w:color w:val="334155"/>
          <w:sz w:val="22"/>
          <w:szCs w:val="22"/>
        </w:rPr>
        <w:t xml:space="preserve">Sentiment trajectory (how audience sentiment shifted during the Q&amp;A)</w:t>
      </w:r>
    </w:p>
    <w:p>
      <w:pPr>
        <w:pStyle w:val="ListParagraph"/>
        <w:numPr>
          <w:ilvl w:val="0"/>
          <w:numId w:val="1"/>
        </w:numPr>
        <w:spacing w:after="60"/>
      </w:pPr>
      <w:r>
        <w:rPr>
          <w:color w:val="334155"/>
          <w:sz w:val="22"/>
          <w:szCs w:val="22"/>
        </w:rPr>
        <w:t xml:space="preserve">Unanswered question analysis (material topics that were not addressed)</w:t>
      </w:r>
    </w:p>
    <w:p>
      <w:pPr>
        <w:pBdr>
          <w:bottom w:val="single" w:color="cbd5e1" w:sz="1"/>
        </w:pBdr>
        <w:spacing w:after="200" w:before="200"/>
      </w:pPr>
    </w:p>
    <w:p>
      <w:pPr>
        <w:pStyle w:val="Heading1"/>
        <w:spacing w:after="160" w:before="400"/>
      </w:pPr>
      <w:r>
        <w:rPr>
          <w:b/>
          <w:bCs/>
          <w:color w:val="0f172a"/>
          <w:sz w:val="32"/>
          <w:szCs w:val="32"/>
        </w:rPr>
        <w:t xml:space="preserve">Novel Elements</w:t>
      </w:r>
    </w:p>
    <w:p>
      <w:pPr>
        <w:spacing w:after="120"/>
      </w:pPr>
      <w:r>
        <w:rPr>
          <w:color w:val="334155"/>
          <w:sz w:val="22"/>
          <w:szCs w:val="22"/>
        </w:rPr>
        <w:t xml:space="preserve">Module 31 introduces the following novel elements not found in any existing corporate communications or investor events platform:</w:t>
      </w:r>
    </w:p>
    <w:p>
      <w:pPr>
        <w:spacing w:after="40"/>
      </w:pPr>
    </w:p>
    <w:p>
      <w:pPr>
        <w:pStyle w:val="ListParagraph"/>
        <w:numPr>
          <w:ilvl w:val="0"/>
          <w:numId w:val="1"/>
        </w:numPr>
        <w:spacing w:after="60"/>
      </w:pPr>
      <w:r>
        <w:rPr>
          <w:color w:val="334155"/>
          <w:sz w:val="22"/>
          <w:szCs w:val="22"/>
        </w:rPr>
        <w:t xml:space="preserve">First system to provide predictive question anticipation using investor behavioural models and real-time transcript analysis</w:t>
      </w:r>
    </w:p>
    <w:p>
      <w:pPr>
        <w:pStyle w:val="ListParagraph"/>
        <w:numPr>
          <w:ilvl w:val="0"/>
          <w:numId w:val="1"/>
        </w:numPr>
        <w:spacing w:after="60"/>
      </w:pPr>
      <w:r>
        <w:rPr>
          <w:color w:val="334155"/>
          <w:sz w:val="22"/>
          <w:szCs w:val="22"/>
        </w:rPr>
        <w:t xml:space="preserve">First system to perform autonomous multi-jurisdictional compliance screening on live Q&amp;A questions in real time</w:t>
      </w:r>
    </w:p>
    <w:p>
      <w:pPr>
        <w:pStyle w:val="ListParagraph"/>
        <w:numPr>
          <w:ilvl w:val="0"/>
          <w:numId w:val="1"/>
        </w:numPr>
        <w:spacing w:after="60"/>
      </w:pPr>
      <w:r>
        <w:rPr>
          <w:color w:val="334155"/>
          <w:sz w:val="22"/>
          <w:szCs w:val="22"/>
        </w:rPr>
        <w:t xml:space="preserve">First system to autonomously generate new analytical tools based on observed Q&amp;A patterns and deploy them without human intervention</w:t>
      </w:r>
    </w:p>
    <w:p>
      <w:pPr>
        <w:pStyle w:val="ListParagraph"/>
        <w:numPr>
          <w:ilvl w:val="0"/>
          <w:numId w:val="1"/>
        </w:numPr>
        <w:spacing w:after="60"/>
      </w:pPr>
      <w:r>
        <w:rPr>
          <w:color w:val="334155"/>
          <w:sz w:val="22"/>
          <w:szCs w:val="22"/>
        </w:rPr>
        <w:t xml:space="preserve">First system to combine predictive Q&amp;A orchestration, autonomous tool generation, and AGI-level compliance intelligence in a single zero-input platform</w:t>
      </w:r>
    </w:p>
    <w:p>
      <w:pPr>
        <w:pStyle w:val="ListParagraph"/>
        <w:numPr>
          <w:ilvl w:val="0"/>
          <w:numId w:val="1"/>
        </w:numPr>
        <w:spacing w:after="60"/>
      </w:pPr>
      <w:r>
        <w:rPr>
          <w:color w:val="334155"/>
          <w:sz w:val="22"/>
          <w:szCs w:val="22"/>
        </w:rPr>
        <w:t xml:space="preserve">First system to generate SENS-compliant announcement drafts automatically from live Q&amp;A interactions</w:t>
      </w:r>
    </w:p>
    <w:p>
      <w:pPr>
        <w:pStyle w:val="ListParagraph"/>
        <w:numPr>
          <w:ilvl w:val="0"/>
          <w:numId w:val="1"/>
        </w:numPr>
        <w:spacing w:after="60"/>
      </w:pPr>
      <w:r>
        <w:rPr>
          <w:color w:val="334155"/>
          <w:sz w:val="22"/>
          <w:szCs w:val="22"/>
        </w:rPr>
        <w:t xml:space="preserve">First system to provide blockchain-certified compliance audit trails for every Q&amp;A interaction</w:t>
      </w:r>
    </w:p>
    <w:p>
      <w:pPr>
        <w:pStyle w:val="ListParagraph"/>
        <w:numPr>
          <w:ilvl w:val="0"/>
          <w:numId w:val="1"/>
        </w:numPr>
        <w:spacing w:after="60"/>
      </w:pPr>
      <w:r>
        <w:rPr>
          <w:color w:val="334155"/>
          <w:sz w:val="22"/>
          <w:szCs w:val="22"/>
        </w:rPr>
        <w:t xml:space="preserve">First system to achieve full platform-agnosticism for Q&amp;A intelligence across Zoom, Teams, Meet, and Webex at zero integration cost</w:t>
      </w:r>
    </w:p>
    <w:p>
      <w:pPr>
        <w:pageBreakBefore/>
      </w:pPr>
      <w:r>
        <w:br/>
      </w:r>
      <w:r>
        <w:t xml:space="preserve"/>
      </w:r>
    </w:p>
    <w:p>
      <w:pPr>
        <w:pStyle w:val="Heading1"/>
        <w:spacing w:after="160" w:before="400"/>
      </w:pPr>
      <w:r>
        <w:rPr>
          <w:b/>
          <w:bCs/>
          <w:color w:val="0f172a"/>
          <w:sz w:val="32"/>
          <w:szCs w:val="32"/>
        </w:rPr>
        <w:t xml:space="preserve">Claims</w:t>
      </w:r>
    </w:p>
    <w:p>
      <w:pPr>
        <w:spacing w:after="40"/>
      </w:pPr>
    </w:p>
    <w:p>
      <w:pPr>
        <w:spacing w:after="120"/>
      </w:pPr>
      <w:r>
        <w:rPr>
          <w:b/>
          <w:bCs/>
          <w:color w:val="334155"/>
          <w:sz w:val="22"/>
          <w:szCs w:val="22"/>
        </w:rPr>
        <w:t xml:space="preserve">Claim 46 (Independent — Autonomous Live Q&amp;A Intelligence Engine):</w:t>
      </w:r>
    </w:p>
    <w:p>
      <w:pPr>
        <w:spacing w:after="120"/>
      </w:pPr>
      <w:r>
        <w:rPr>
          <w:color w:val="334155"/>
          <w:sz w:val="22"/>
          <w:szCs w:val="22"/>
        </w:rPr>
        <w:t xml:space="preserve">A computer-implemented method for autonomous Live Q&amp;A intelligence during investor events, comprising: (a) receiving questions from attendees via a platform-independent web interface running alongside a Shadow Mode session; (b) processing each question through a multi-stage AI triage pipeline comprising semantic deduplication, theme clustering, compliance screening, investor profiling, and relevance scoring; (c) generating auto-draft responses using the company's existing disclosures, prior event transcripts, and jurisdiction-specific regulatory requirements; (d) presenting a smart-ordered question queue to an operator with compliance risk indicators, investor context cards, and AI-generated response drafts; (e) recording all triage decisions, compliance screenings, and operator actions in an immutable audit trail; (f) feeding all Q&amp;A interaction data into a post-event AI report pipeline for intelligence enrichment.</w:t>
      </w:r>
    </w:p>
    <w:p>
      <w:pPr>
        <w:spacing w:after="80"/>
      </w:pPr>
    </w:p>
    <w:p>
      <w:pPr>
        <w:spacing w:after="120"/>
      </w:pPr>
      <w:r>
        <w:rPr>
          <w:b/>
          <w:bCs/>
          <w:color w:val="334155"/>
          <w:sz w:val="22"/>
          <w:szCs w:val="22"/>
        </w:rPr>
        <w:t xml:space="preserve">Claim 47 (Independent — AGI Tool Generator):</w:t>
      </w:r>
    </w:p>
    <w:p>
      <w:pPr>
        <w:spacing w:after="120"/>
      </w:pPr>
      <w:r>
        <w:rPr>
          <w:color w:val="334155"/>
          <w:sz w:val="22"/>
          <w:szCs w:val="22"/>
        </w:rPr>
        <w:t xml:space="preserve">The method of Claim 46, further comprising an autonomous AGI Tool Generator that: (a) scans Q&amp;A sessions for unhandled patterns and capability gaps using a Gap Detection Matrix; (b) generates full tool specifications including name, purpose, LLM prompts, data schema, and compliance rules; (c) validates proposed tools against historical event data in an isolated shadow mode environment; (d) scores tool quality using an Evidence Decay Function with exponential half-life weighting; (e) autonomously promotes validated tools through a 5-stage lifecycle (draft → testing → staging → production → deprecated) based on configurable quality thresholds; (f) feeds production performance data back into the self-evolution engine for continuous improvement of the generation process.</w:t>
      </w:r>
    </w:p>
    <w:p>
      <w:pPr>
        <w:spacing w:after="80"/>
      </w:pPr>
    </w:p>
    <w:p>
      <w:pPr>
        <w:spacing w:after="120"/>
      </w:pPr>
      <w:r>
        <w:rPr>
          <w:b/>
          <w:bCs/>
          <w:color w:val="334155"/>
          <w:sz w:val="22"/>
          <w:szCs w:val="22"/>
        </w:rPr>
        <w:t xml:space="preserve">Claim 48 (Dependent — Evidence Decay Function):</w:t>
      </w:r>
    </w:p>
    <w:p>
      <w:pPr>
        <w:spacing w:after="120"/>
      </w:pPr>
      <w:r>
        <w:rPr>
          <w:color w:val="334155"/>
          <w:sz w:val="22"/>
          <w:szCs w:val="22"/>
        </w:rPr>
        <w:t xml:space="preserve">The method of Claim 47, wherein the Evidence Decay Function computes evidence weight as W(t) = e^(-λ × (T_now - T_evidence)), where λ is a configurable decay constant, such that recent evidence receives exponentially higher weight than historical evidence in tool quality scoring.</w:t>
      </w:r>
    </w:p>
    <w:p>
      <w:pPr>
        <w:spacing w:after="80"/>
      </w:pPr>
    </w:p>
    <w:p>
      <w:pPr>
        <w:spacing w:after="120"/>
      </w:pPr>
      <w:r>
        <w:rPr>
          <w:b/>
          <w:bCs/>
          <w:color w:val="334155"/>
          <w:sz w:val="22"/>
          <w:szCs w:val="22"/>
        </w:rPr>
        <w:t xml:space="preserve">Claim 49 (Dependent — Cross-Domain Correlation):</w:t>
      </w:r>
    </w:p>
    <w:p>
      <w:pPr>
        <w:spacing w:after="120"/>
      </w:pPr>
      <w:r>
        <w:rPr>
          <w:color w:val="334155"/>
          <w:sz w:val="22"/>
          <w:szCs w:val="22"/>
        </w:rPr>
        <w:t xml:space="preserve">The method of Claim 47, further comprising a Cross-Domain Correlation Engine that uses vector embeddings of tool capabilities and domain characteristics to identify when a tool developed for one industry can be adapted for another, enabling autonomous cross-industry capability expansion.</w:t>
      </w:r>
    </w:p>
    <w:p>
      <w:pPr>
        <w:spacing w:after="80"/>
      </w:pPr>
    </w:p>
    <w:p>
      <w:pPr>
        <w:spacing w:after="120"/>
      </w:pPr>
      <w:r>
        <w:rPr>
          <w:b/>
          <w:bCs/>
          <w:color w:val="334155"/>
          <w:sz w:val="22"/>
          <w:szCs w:val="22"/>
        </w:rPr>
        <w:t xml:space="preserve">Claim 50 (Dependent — Impact Estimation):</w:t>
      </w:r>
    </w:p>
    <w:p>
      <w:pPr>
        <w:spacing w:after="120"/>
      </w:pPr>
      <w:r>
        <w:rPr>
          <w:color w:val="334155"/>
          <w:sz w:val="22"/>
          <w:szCs w:val="22"/>
        </w:rPr>
        <w:t xml:space="preserve">The method of Claim 47, further comprising an Impact Estimation Model that uses Monte-Carlo simulation with N≥1,000 iterations to predict the expected value of a proposed tool before development resources are committed, using historical Q&amp;A data as simulation input.</w:t>
      </w:r>
    </w:p>
    <w:p>
      <w:pPr>
        <w:spacing w:after="80"/>
      </w:pPr>
    </w:p>
    <w:p>
      <w:pPr>
        <w:spacing w:after="120"/>
      </w:pPr>
      <w:r>
        <w:rPr>
          <w:b/>
          <w:bCs/>
          <w:color w:val="334155"/>
          <w:sz w:val="22"/>
          <w:szCs w:val="22"/>
        </w:rPr>
        <w:t xml:space="preserve">Claim 51 (Independent — AGI Corporate Compliance Layer):</w:t>
      </w:r>
    </w:p>
    <w:p>
      <w:pPr>
        <w:spacing w:after="120"/>
      </w:pPr>
      <w:r>
        <w:rPr>
          <w:color w:val="334155"/>
          <w:sz w:val="22"/>
          <w:szCs w:val="22"/>
        </w:rPr>
        <w:t xml:space="preserve">The method of Claim 46, further comprising an autonomous AGI Corporate Compliance Layer that: (a) predicts selective disclosure risks in real time using Monte-Carlo simulations combined with valuation impact modelling; (b) maintains a multi-jurisdictional compliance firewall using vector embeddings of applicable laws and regulations; (c) autonomously generates new compliance policies when novel regulatory scenarios are detected; (d) provides self-healing remediation by auto-drafting compliant alternative responses when risk is detected; (e) records all compliance decisions in blockchain-certified Clean Disclosure Certificates; thereby creating the first zero-input AGI-level compliance co-pilot for all corporate communications.</w:t>
      </w:r>
    </w:p>
    <w:p>
      <w:pPr>
        <w:spacing w:after="80"/>
      </w:pPr>
    </w:p>
    <w:p>
      <w:pPr>
        <w:spacing w:after="120"/>
      </w:pPr>
      <w:r>
        <w:rPr>
          <w:b/>
          <w:bCs/>
          <w:color w:val="334155"/>
          <w:sz w:val="22"/>
          <w:szCs w:val="22"/>
        </w:rPr>
        <w:t xml:space="preserve">Claim 52 (Dependent — Predictive Disclosure Simulator):</w:t>
      </w:r>
    </w:p>
    <w:p>
      <w:pPr>
        <w:spacing w:after="120"/>
      </w:pPr>
      <w:r>
        <w:rPr>
          <w:color w:val="334155"/>
          <w:sz w:val="22"/>
          <w:szCs w:val="22"/>
        </w:rPr>
        <w:t xml:space="preserve">The method of Claim 51, wherein the Predictive Selective Disclosure Simulator models information asymmetry by computing the difference in fair value between a scenario where the question is answered publicly versus privately, using valuation impact cones from Module 24.</w:t>
      </w:r>
    </w:p>
    <w:p>
      <w:pPr>
        <w:spacing w:after="80"/>
      </w:pPr>
    </w:p>
    <w:p>
      <w:pPr>
        <w:spacing w:after="120"/>
      </w:pPr>
      <w:r>
        <w:rPr>
          <w:b/>
          <w:bCs/>
          <w:color w:val="334155"/>
          <w:sz w:val="22"/>
          <w:szCs w:val="22"/>
        </w:rPr>
        <w:t xml:space="preserve">Claim 53 (Dependent — Multi-Jurisdictional Firewall):</w:t>
      </w:r>
    </w:p>
    <w:p>
      <w:pPr>
        <w:spacing w:after="120"/>
      </w:pPr>
      <w:r>
        <w:rPr>
          <w:color w:val="334155"/>
          <w:sz w:val="22"/>
          <w:szCs w:val="22"/>
        </w:rPr>
        <w:t xml:space="preserve">The method of Claim 51, wherein the Multi-Jurisdictional Firewall simultaneously evaluates questions against regulatory frameworks including JSE (South Africa), Reg FD (United States), MAR (European Union), POPIA/GDPR (South Africa/European Union), King IV (South Africa), and PFMA (South Africa), computing compliance distance for each jurisdiction independently.</w:t>
      </w:r>
    </w:p>
    <w:p>
      <w:pPr>
        <w:spacing w:after="80"/>
      </w:pPr>
    </w:p>
    <w:p>
      <w:pPr>
        <w:spacing w:after="120"/>
      </w:pPr>
      <w:r>
        <w:rPr>
          <w:b/>
          <w:bCs/>
          <w:color w:val="334155"/>
          <w:sz w:val="22"/>
          <w:szCs w:val="22"/>
        </w:rPr>
        <w:t xml:space="preserve">Claim 54 (Dependent — Autonomous Policy Generator):</w:t>
      </w:r>
    </w:p>
    <w:p>
      <w:pPr>
        <w:spacing w:after="120"/>
      </w:pPr>
      <w:r>
        <w:rPr>
          <w:color w:val="334155"/>
          <w:sz w:val="22"/>
          <w:szCs w:val="22"/>
        </w:rPr>
        <w:t xml:space="preserve">The method of Claim 51, wherein the Autonomous Compliance Policy Generator creates new regulatory rules using structured LLM output, assigns evidence requirements, and subjects generated policies to the same 5-stage lifecycle validation as AGI-generated tools before enforcement.</w:t>
      </w:r>
    </w:p>
    <w:p>
      <w:pPr>
        <w:spacing w:after="80"/>
      </w:pPr>
    </w:p>
    <w:p>
      <w:pPr>
        <w:spacing w:after="120"/>
      </w:pPr>
      <w:r>
        <w:rPr>
          <w:b/>
          <w:bCs/>
          <w:color w:val="334155"/>
          <w:sz w:val="22"/>
          <w:szCs w:val="22"/>
        </w:rPr>
        <w:t xml:space="preserve">Claim 55 (Dependent — Self-Healing Remediation):</w:t>
      </w:r>
    </w:p>
    <w:p>
      <w:pPr>
        <w:spacing w:after="120"/>
      </w:pPr>
      <w:r>
        <w:rPr>
          <w:color w:val="334155"/>
          <w:sz w:val="22"/>
          <w:szCs w:val="22"/>
        </w:rPr>
        <w:t xml:space="preserve">The method of Claim 51, wherein the Self-Healing Remediation subsystem automatically generates compliant alternative responses that preserve the questioner's intent while eliminating regulatory risk, recording the original question, risk assessment, alternative response, and operator decision in a blockchain-certified audit trail.</w:t>
      </w:r>
    </w:p>
    <w:p>
      <w:pPr>
        <w:pageBreakBefore/>
      </w:pPr>
      <w:r>
        <w:br/>
      </w:r>
      <w:r>
        <w:t xml:space="preserve"/>
      </w:r>
    </w:p>
    <w:p>
      <w:pPr>
        <w:pStyle w:val="Heading1"/>
        <w:spacing w:after="160" w:before="400"/>
      </w:pPr>
      <w:r>
        <w:rPr>
          <w:b/>
          <w:bCs/>
          <w:color w:val="0f172a"/>
          <w:sz w:val="32"/>
          <w:szCs w:val="32"/>
        </w:rPr>
        <w:t xml:space="preserve">Updated Module Summary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0f172a" w:val="solid"/>
          </w:tcPr>
          <w:p>
            <w:pPr>
              <w:spacing w:after="40" w:before="40"/>
            </w:pPr>
            <w:r>
              <w:rPr>
                <w:b/>
                <w:bCs/>
                <w:color w:val="ffffff"/>
                <w:sz w:val="20"/>
                <w:szCs w:val="20"/>
              </w:rPr>
              <w:t xml:space="preserve">Module</w:t>
            </w:r>
          </w:p>
        </w:tc>
        <w:tc>
          <w:tcPr>
            <w:tcW w:type="pct" w:w="33%"/>
            <w:shd w:color="0f172a" w:val="solid"/>
          </w:tcPr>
          <w:p>
            <w:pPr>
              <w:spacing w:after="40" w:before="40"/>
            </w:pPr>
            <w:r>
              <w:rPr>
                <w:b/>
                <w:bCs/>
                <w:color w:val="ffffff"/>
                <w:sz w:val="20"/>
                <w:szCs w:val="20"/>
              </w:rPr>
              <w:t xml:space="preserve">Description</w:t>
            </w:r>
          </w:p>
        </w:tc>
        <w:tc>
          <w:tcPr>
            <w:tcW w:type="pct" w:w="33%"/>
            <w:shd w:color="0f172a" w:val="solid"/>
          </w:tcPr>
          <w:p>
            <w:pPr>
              <w:spacing w:after="40" w:before="40"/>
            </w:pPr>
            <w:r>
              <w:rPr>
                <w:b/>
                <w:bCs/>
                <w:color w:val="ffffff"/>
                <w:sz w:val="20"/>
                <w:szCs w:val="20"/>
              </w:rPr>
              <w:t xml:space="preserve">Filing</w:t>
            </w:r>
          </w:p>
        </w:tc>
      </w:tr>
      <w:tr>
        <w:tc>
          <w:tcPr>
            <w:tcW w:type="pct" w:w="33%"/>
          </w:tcPr>
          <w:p>
            <w:pPr>
              <w:spacing w:after="40" w:before="40"/>
            </w:pPr>
            <w:r>
              <w:rPr>
                <w:b w:val="false"/>
                <w:bCs w:val="false"/>
                <w:color w:val="334155"/>
                <w:sz w:val="20"/>
                <w:szCs w:val="20"/>
              </w:rPr>
              <w:t xml:space="preserve">1–13</w:t>
            </w:r>
          </w:p>
        </w:tc>
        <w:tc>
          <w:tcPr>
            <w:tcW w:type="pct" w:w="33%"/>
          </w:tcPr>
          <w:p>
            <w:pPr>
              <w:spacing w:after="40" w:before="40"/>
            </w:pPr>
            <w:r>
              <w:rPr>
                <w:b w:val="false"/>
                <w:bCs w:val="false"/>
                <w:color w:val="334155"/>
                <w:sz w:val="20"/>
                <w:szCs w:val="20"/>
              </w:rPr>
              <w:t xml:space="preserve">Core Platform (Shadow Mode, AI Analysis, Compliance, OCC)</w:t>
            </w:r>
          </w:p>
        </w:tc>
        <w:tc>
          <w:tcPr>
            <w:tcW w:type="pct" w:w="33%"/>
          </w:tcPr>
          <w:p>
            <w:pPr>
              <w:spacing w:after="40" w:before="40"/>
            </w:pPr>
            <w:r>
              <w:rPr>
                <w:b w:val="false"/>
                <w:bCs w:val="false"/>
                <w:color w:val="334155"/>
                <w:sz w:val="20"/>
                <w:szCs w:val="20"/>
              </w:rPr>
              <w:t xml:space="preserve">Parent Provisional</w:t>
            </w:r>
          </w:p>
        </w:tc>
      </w:tr>
      <w:tr>
        <w:tc>
          <w:tcPr>
            <w:tcW w:type="pct" w:w="33%"/>
          </w:tcPr>
          <w:p>
            <w:pPr>
              <w:spacing w:after="40" w:before="40"/>
            </w:pPr>
            <w:r>
              <w:rPr>
                <w:b w:val="false"/>
                <w:bCs w:val="false"/>
                <w:color w:val="334155"/>
                <w:sz w:val="20"/>
                <w:szCs w:val="20"/>
              </w:rPr>
              <w:t xml:space="preserve">14–18</w:t>
            </w:r>
          </w:p>
        </w:tc>
        <w:tc>
          <w:tcPr>
            <w:tcW w:type="pct" w:w="33%"/>
          </w:tcPr>
          <w:p>
            <w:pPr>
              <w:spacing w:after="40" w:before="40"/>
            </w:pPr>
            <w:r>
              <w:rPr>
                <w:b w:val="false"/>
                <w:bCs w:val="false"/>
                <w:color w:val="334155"/>
                <w:sz w:val="20"/>
                <w:szCs w:val="20"/>
              </w:rPr>
              <w:t xml:space="preserve">Operational Expansion (built, not separately claimed)</w:t>
            </w:r>
          </w:p>
        </w:tc>
        <w:tc>
          <w:tcPr>
            <w:tcW w:type="pct" w:w="33%"/>
          </w:tcPr>
          <w:p>
            <w:pPr>
              <w:spacing w:after="40" w:before="40"/>
            </w:pPr>
            <w:r>
              <w:rPr>
                <w:b w:val="false"/>
                <w:bCs w:val="false"/>
                <w:color w:val="334155"/>
                <w:sz w:val="20"/>
                <w:szCs w:val="20"/>
              </w:rPr>
              <w:t xml:space="preserve">—</w:t>
            </w:r>
          </w:p>
        </w:tc>
      </w:tr>
      <w:tr>
        <w:tc>
          <w:tcPr>
            <w:tcW w:type="pct" w:w="33%"/>
          </w:tcPr>
          <w:p>
            <w:pPr>
              <w:spacing w:after="40" w:before="40"/>
            </w:pPr>
            <w:r>
              <w:rPr>
                <w:b w:val="false"/>
                <w:bCs w:val="false"/>
                <w:color w:val="334155"/>
                <w:sz w:val="20"/>
                <w:szCs w:val="20"/>
              </w:rPr>
              <w:t xml:space="preserve">19–27</w:t>
            </w:r>
          </w:p>
        </w:tc>
        <w:tc>
          <w:tcPr>
            <w:tcW w:type="pct" w:w="33%"/>
          </w:tcPr>
          <w:p>
            <w:pPr>
              <w:spacing w:after="40" w:before="40"/>
            </w:pPr>
            <w:r>
              <w:rPr>
                <w:b w:val="false"/>
                <w:bCs w:val="false"/>
                <w:color w:val="334155"/>
                <w:sz w:val="20"/>
                <w:szCs w:val="20"/>
              </w:rPr>
              <w:t xml:space="preserve">Autonomous Specialised Algorithms</w:t>
            </w:r>
          </w:p>
        </w:tc>
        <w:tc>
          <w:tcPr>
            <w:tcW w:type="pct" w:w="33%"/>
          </w:tcPr>
          <w:p>
            <w:pPr>
              <w:spacing w:after="40" w:before="40"/>
            </w:pPr>
            <w:r>
              <w:rPr>
                <w:b w:val="false"/>
                <w:bCs w:val="false"/>
                <w:color w:val="334155"/>
                <w:sz w:val="20"/>
                <w:szCs w:val="20"/>
              </w:rPr>
              <w:t xml:space="preserve">CIP Submission 2</w:t>
            </w:r>
          </w:p>
        </w:tc>
      </w:tr>
      <w:tr>
        <w:tc>
          <w:tcPr>
            <w:tcW w:type="pct" w:w="33%"/>
          </w:tcPr>
          <w:p>
            <w:pPr>
              <w:spacing w:after="40" w:before="40"/>
            </w:pPr>
            <w:r>
              <w:rPr>
                <w:b w:val="false"/>
                <w:bCs w:val="false"/>
                <w:color w:val="334155"/>
                <w:sz w:val="20"/>
                <w:szCs w:val="20"/>
              </w:rPr>
              <w:t xml:space="preserve">28</w:t>
            </w:r>
          </w:p>
        </w:tc>
        <w:tc>
          <w:tcPr>
            <w:tcW w:type="pct" w:w="33%"/>
          </w:tcPr>
          <w:p>
            <w:pPr>
              <w:spacing w:after="40" w:before="40"/>
            </w:pPr>
            <w:r>
              <w:rPr>
                <w:b w:val="false"/>
                <w:bCs w:val="false"/>
                <w:color w:val="334155"/>
                <w:sz w:val="20"/>
                <w:szCs w:val="20"/>
              </w:rPr>
              <w:t xml:space="preserve">Autonomous AI Self-Evolution Engine</w:t>
            </w:r>
          </w:p>
        </w:tc>
        <w:tc>
          <w:tcPr>
            <w:tcW w:type="pct" w:w="33%"/>
          </w:tcPr>
          <w:p>
            <w:pPr>
              <w:spacing w:after="40" w:before="40"/>
            </w:pPr>
            <w:r>
              <w:rPr>
                <w:b w:val="false"/>
                <w:bCs w:val="false"/>
                <w:color w:val="334155"/>
                <w:sz w:val="20"/>
                <w:szCs w:val="20"/>
              </w:rPr>
              <w:t xml:space="preserve">CIP Submission 3</w:t>
            </w:r>
          </w:p>
        </w:tc>
      </w:tr>
      <w:tr>
        <w:tc>
          <w:tcPr>
            <w:tcW w:type="pct" w:w="33%"/>
          </w:tcPr>
          <w:p>
            <w:pPr>
              <w:spacing w:after="40" w:before="40"/>
            </w:pPr>
            <w:r>
              <w:rPr>
                <w:b w:val="false"/>
                <w:bCs w:val="false"/>
                <w:color w:val="334155"/>
                <w:sz w:val="20"/>
                <w:szCs w:val="20"/>
              </w:rPr>
              <w:t xml:space="preserve">30</w:t>
            </w:r>
          </w:p>
        </w:tc>
        <w:tc>
          <w:tcPr>
            <w:tcW w:type="pct" w:w="33%"/>
          </w:tcPr>
          <w:p>
            <w:pPr>
              <w:spacing w:after="40" w:before="40"/>
            </w:pPr>
            <w:r>
              <w:rPr>
                <w:b w:val="false"/>
                <w:bCs w:val="false"/>
                <w:color w:val="334155"/>
                <w:sz w:val="20"/>
                <w:szCs w:val="20"/>
              </w:rPr>
              <w:t xml:space="preserve">Autonomous IR Assistant Layer</w:t>
            </w:r>
          </w:p>
        </w:tc>
        <w:tc>
          <w:tcPr>
            <w:tcW w:type="pct" w:w="33%"/>
          </w:tcPr>
          <w:p>
            <w:pPr>
              <w:spacing w:after="40" w:before="40"/>
            </w:pPr>
            <w:r>
              <w:rPr>
                <w:b w:val="false"/>
                <w:bCs w:val="false"/>
                <w:color w:val="334155"/>
                <w:sz w:val="20"/>
                <w:szCs w:val="20"/>
              </w:rPr>
              <w:t xml:space="preserve">CIP Submission 4</w:t>
            </w:r>
          </w:p>
        </w:tc>
      </w:tr>
      <w:tr>
        <w:tc>
          <w:tcPr>
            <w:tcW w:type="pct" w:w="33%"/>
          </w:tcPr>
          <w:p>
            <w:pPr>
              <w:spacing w:after="40" w:before="40"/>
            </w:pPr>
            <w:r>
              <w:rPr>
                <w:b w:val="false"/>
                <w:bCs w:val="false"/>
                <w:color w:val="334155"/>
                <w:sz w:val="20"/>
                <w:szCs w:val="20"/>
              </w:rPr>
              <w:t xml:space="preserve">31</w:t>
            </w:r>
          </w:p>
        </w:tc>
        <w:tc>
          <w:tcPr>
            <w:tcW w:type="pct" w:w="33%"/>
          </w:tcPr>
          <w:p>
            <w:pPr>
              <w:spacing w:after="40" w:before="40"/>
            </w:pPr>
            <w:r>
              <w:rPr>
                <w:b w:val="false"/>
                <w:bCs w:val="false"/>
                <w:color w:val="334155"/>
                <w:sz w:val="20"/>
                <w:szCs w:val="20"/>
              </w:rPr>
              <w:t xml:space="preserve">Autonomous Live Q&amp;A Intelligence Engine with AGI Tool Generator &amp; Compliance Layer</w:t>
            </w:r>
          </w:p>
        </w:tc>
        <w:tc>
          <w:tcPr>
            <w:tcW w:type="pct" w:w="33%"/>
          </w:tcPr>
          <w:p>
            <w:pPr>
              <w:spacing w:after="40" w:before="40"/>
            </w:pPr>
            <w:r>
              <w:rPr>
                <w:b w:val="false"/>
                <w:bCs w:val="false"/>
                <w:color w:val="334155"/>
                <w:sz w:val="20"/>
                <w:szCs w:val="20"/>
              </w:rPr>
              <w:t xml:space="preserve">This Filing (CIP 5)</w:t>
            </w:r>
          </w:p>
        </w:tc>
      </w:tr>
    </w:tbl>
    <w:p>
      <w:pPr>
        <w:pBdr>
          <w:bottom w:val="single" w:color="cbd5e1" w:sz="1"/>
        </w:pBdr>
        <w:spacing w:after="200" w:before="200"/>
      </w:pPr>
    </w:p>
    <w:p>
      <w:pPr>
        <w:pStyle w:val="Heading1"/>
        <w:spacing w:after="160" w:before="400"/>
      </w:pPr>
      <w:r>
        <w:rPr>
          <w:b/>
          <w:bCs/>
          <w:color w:val="0f172a"/>
          <w:sz w:val="32"/>
          <w:szCs w:val="32"/>
        </w:rPr>
        <w:t xml:space="preserve">Updated Claims Summary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0f172a" w:val="solid"/>
          </w:tcPr>
          <w:p>
            <w:pPr>
              <w:spacing w:after="40" w:before="40"/>
            </w:pPr>
            <w:r>
              <w:rPr>
                <w:b/>
                <w:bCs/>
                <w:color w:val="ffffff"/>
                <w:sz w:val="20"/>
                <w:szCs w:val="20"/>
              </w:rPr>
              <w:t xml:space="preserve">Claims</w:t>
            </w:r>
          </w:p>
        </w:tc>
        <w:tc>
          <w:tcPr>
            <w:tcW w:type="pct" w:w="33%"/>
            <w:shd w:color="0f172a" w:val="solid"/>
          </w:tcPr>
          <w:p>
            <w:pPr>
              <w:spacing w:after="40" w:before="40"/>
            </w:pPr>
            <w:r>
              <w:rPr>
                <w:b/>
                <w:bCs/>
                <w:color w:val="ffffff"/>
                <w:sz w:val="20"/>
                <w:szCs w:val="20"/>
              </w:rPr>
              <w:t xml:space="preserve">Scope</w:t>
            </w:r>
          </w:p>
        </w:tc>
        <w:tc>
          <w:tcPr>
            <w:tcW w:type="pct" w:w="33%"/>
            <w:shd w:color="0f172a" w:val="solid"/>
          </w:tcPr>
          <w:p>
            <w:pPr>
              <w:spacing w:after="40" w:before="40"/>
            </w:pPr>
            <w:r>
              <w:rPr>
                <w:b/>
                <w:bCs/>
                <w:color w:val="ffffff"/>
                <w:sz w:val="20"/>
                <w:szCs w:val="20"/>
              </w:rPr>
              <w:t xml:space="preserve">Filing</w:t>
            </w:r>
          </w:p>
        </w:tc>
      </w:tr>
      <w:tr>
        <w:tc>
          <w:tcPr>
            <w:tcW w:type="pct" w:w="33%"/>
          </w:tcPr>
          <w:p>
            <w:pPr>
              <w:spacing w:after="40" w:before="40"/>
            </w:pPr>
            <w:r>
              <w:rPr>
                <w:b w:val="false"/>
                <w:bCs w:val="false"/>
                <w:color w:val="334155"/>
                <w:sz w:val="20"/>
                <w:szCs w:val="20"/>
              </w:rPr>
              <w:t xml:space="preserve">1–25</w:t>
            </w:r>
          </w:p>
        </w:tc>
        <w:tc>
          <w:tcPr>
            <w:tcW w:type="pct" w:w="33%"/>
          </w:tcPr>
          <w:p>
            <w:pPr>
              <w:spacing w:after="40" w:before="40"/>
            </w:pPr>
            <w:r>
              <w:rPr>
                <w:b w:val="false"/>
                <w:bCs w:val="false"/>
                <w:color w:val="334155"/>
                <w:sz w:val="20"/>
                <w:szCs w:val="20"/>
              </w:rPr>
              <w:t xml:space="preserve">Core platform (13 modules)</w:t>
            </w:r>
          </w:p>
        </w:tc>
        <w:tc>
          <w:tcPr>
            <w:tcW w:type="pct" w:w="33%"/>
          </w:tcPr>
          <w:p>
            <w:pPr>
              <w:spacing w:after="40" w:before="40"/>
            </w:pPr>
            <w:r>
              <w:rPr>
                <w:b w:val="false"/>
                <w:bCs w:val="false"/>
                <w:color w:val="334155"/>
                <w:sz w:val="20"/>
                <w:szCs w:val="20"/>
              </w:rPr>
              <w:t xml:space="preserve">Parent Provisional</w:t>
            </w:r>
          </w:p>
        </w:tc>
      </w:tr>
      <w:tr>
        <w:tc>
          <w:tcPr>
            <w:tcW w:type="pct" w:w="33%"/>
          </w:tcPr>
          <w:p>
            <w:pPr>
              <w:spacing w:after="40" w:before="40"/>
            </w:pPr>
            <w:r>
              <w:rPr>
                <w:b w:val="false"/>
                <w:bCs w:val="false"/>
                <w:color w:val="334155"/>
                <w:sz w:val="20"/>
                <w:szCs w:val="20"/>
              </w:rPr>
              <w:t xml:space="preserve">26–33</w:t>
            </w:r>
          </w:p>
        </w:tc>
        <w:tc>
          <w:tcPr>
            <w:tcW w:type="pct" w:w="33%"/>
          </w:tcPr>
          <w:p>
            <w:pPr>
              <w:spacing w:after="40" w:before="40"/>
            </w:pPr>
            <w:r>
              <w:rPr>
                <w:b w:val="false"/>
                <w:bCs w:val="false"/>
                <w:color w:val="334155"/>
                <w:sz w:val="20"/>
                <w:szCs w:val="20"/>
              </w:rPr>
              <w:t xml:space="preserve">Autonomous modules 19–27</w:t>
            </w:r>
          </w:p>
        </w:tc>
        <w:tc>
          <w:tcPr>
            <w:tcW w:type="pct" w:w="33%"/>
          </w:tcPr>
          <w:p>
            <w:pPr>
              <w:spacing w:after="40" w:before="40"/>
            </w:pPr>
            <w:r>
              <w:rPr>
                <w:b w:val="false"/>
                <w:bCs w:val="false"/>
                <w:color w:val="334155"/>
                <w:sz w:val="20"/>
                <w:szCs w:val="20"/>
              </w:rPr>
              <w:t xml:space="preserve">CIP Submission 2</w:t>
            </w:r>
          </w:p>
        </w:tc>
      </w:tr>
      <w:tr>
        <w:tc>
          <w:tcPr>
            <w:tcW w:type="pct" w:w="33%"/>
          </w:tcPr>
          <w:p>
            <w:pPr>
              <w:spacing w:after="40" w:before="40"/>
            </w:pPr>
            <w:r>
              <w:rPr>
                <w:b w:val="false"/>
                <w:bCs w:val="false"/>
                <w:color w:val="334155"/>
                <w:sz w:val="20"/>
                <w:szCs w:val="20"/>
              </w:rPr>
              <w:t xml:space="preserve">34–43</w:t>
            </w:r>
          </w:p>
        </w:tc>
        <w:tc>
          <w:tcPr>
            <w:tcW w:type="pct" w:w="33%"/>
          </w:tcPr>
          <w:p>
            <w:pPr>
              <w:spacing w:after="40" w:before="40"/>
            </w:pPr>
            <w:r>
              <w:rPr>
                <w:b w:val="false"/>
                <w:bCs w:val="false"/>
                <w:color w:val="334155"/>
                <w:sz w:val="20"/>
                <w:szCs w:val="20"/>
              </w:rPr>
              <w:t xml:space="preserve">Module 28 (Self-Evolution Engine)</w:t>
            </w:r>
          </w:p>
        </w:tc>
        <w:tc>
          <w:tcPr>
            <w:tcW w:type="pct" w:w="33%"/>
          </w:tcPr>
          <w:p>
            <w:pPr>
              <w:spacing w:after="40" w:before="40"/>
            </w:pPr>
            <w:r>
              <w:rPr>
                <w:b w:val="false"/>
                <w:bCs w:val="false"/>
                <w:color w:val="334155"/>
                <w:sz w:val="20"/>
                <w:szCs w:val="20"/>
              </w:rPr>
              <w:t xml:space="preserve">CIP Submission 3</w:t>
            </w:r>
          </w:p>
        </w:tc>
      </w:tr>
      <w:tr>
        <w:tc>
          <w:tcPr>
            <w:tcW w:type="pct" w:w="33%"/>
          </w:tcPr>
          <w:p>
            <w:pPr>
              <w:spacing w:after="40" w:before="40"/>
            </w:pPr>
            <w:r>
              <w:rPr>
                <w:b w:val="false"/>
                <w:bCs w:val="false"/>
                <w:color w:val="334155"/>
                <w:sz w:val="20"/>
                <w:szCs w:val="20"/>
              </w:rPr>
              <w:t xml:space="preserve">44–45</w:t>
            </w:r>
          </w:p>
        </w:tc>
        <w:tc>
          <w:tcPr>
            <w:tcW w:type="pct" w:w="33%"/>
          </w:tcPr>
          <w:p>
            <w:pPr>
              <w:spacing w:after="40" w:before="40"/>
            </w:pPr>
            <w:r>
              <w:rPr>
                <w:b w:val="false"/>
                <w:bCs w:val="false"/>
                <w:color w:val="334155"/>
                <w:sz w:val="20"/>
                <w:szCs w:val="20"/>
              </w:rPr>
              <w:t xml:space="preserve">Module 30 (IR Assistant Layer)</w:t>
            </w:r>
          </w:p>
        </w:tc>
        <w:tc>
          <w:tcPr>
            <w:tcW w:type="pct" w:w="33%"/>
          </w:tcPr>
          <w:p>
            <w:pPr>
              <w:spacing w:after="40" w:before="40"/>
            </w:pPr>
            <w:r>
              <w:rPr>
                <w:b w:val="false"/>
                <w:bCs w:val="false"/>
                <w:color w:val="334155"/>
                <w:sz w:val="20"/>
                <w:szCs w:val="20"/>
              </w:rPr>
              <w:t xml:space="preserve">CIP Submission 4</w:t>
            </w:r>
          </w:p>
        </w:tc>
      </w:tr>
      <w:tr>
        <w:tc>
          <w:tcPr>
            <w:tcW w:type="pct" w:w="33%"/>
          </w:tcPr>
          <w:p>
            <w:pPr>
              <w:spacing w:after="40" w:before="40"/>
            </w:pPr>
            <w:r>
              <w:rPr>
                <w:b w:val="false"/>
                <w:bCs w:val="false"/>
                <w:color w:val="334155"/>
                <w:sz w:val="20"/>
                <w:szCs w:val="20"/>
              </w:rPr>
              <w:t xml:space="preserve">46–55</w:t>
            </w:r>
          </w:p>
        </w:tc>
        <w:tc>
          <w:tcPr>
            <w:tcW w:type="pct" w:w="33%"/>
          </w:tcPr>
          <w:p>
            <w:pPr>
              <w:spacing w:after="40" w:before="40"/>
            </w:pPr>
            <w:r>
              <w:rPr>
                <w:b w:val="false"/>
                <w:bCs w:val="false"/>
                <w:color w:val="334155"/>
                <w:sz w:val="20"/>
                <w:szCs w:val="20"/>
              </w:rPr>
              <w:t xml:space="preserve">Module 31 (Live Q&amp;A + AGI Tool Generator + AGI Compliance)</w:t>
            </w:r>
          </w:p>
        </w:tc>
        <w:tc>
          <w:tcPr>
            <w:tcW w:type="pct" w:w="33%"/>
          </w:tcPr>
          <w:p>
            <w:pPr>
              <w:spacing w:after="40" w:before="40"/>
            </w:pPr>
            <w:r>
              <w:rPr>
                <w:b w:val="false"/>
                <w:bCs w:val="false"/>
                <w:color w:val="334155"/>
                <w:sz w:val="20"/>
                <w:szCs w:val="20"/>
              </w:rPr>
              <w:t xml:space="preserve">This Filing (CIP 5)</w:t>
            </w:r>
          </w:p>
        </w:tc>
      </w:tr>
    </w:tbl>
    <w:p>
      <w:pPr>
        <w:spacing w:after="80"/>
      </w:pPr>
    </w:p>
    <w:p>
      <w:pPr>
        <w:spacing w:after="120"/>
      </w:pPr>
      <w:r>
        <w:rPr>
          <w:b/>
          <w:bCs/>
          <w:color w:val="334155"/>
          <w:sz w:val="22"/>
          <w:szCs w:val="22"/>
        </w:rPr>
        <w:t xml:space="preserve">Total Claims: 55</w:t>
      </w:r>
    </w:p>
    <w:p>
      <w:pPr>
        <w:spacing w:after="120"/>
      </w:pPr>
      <w:r>
        <w:rPr>
          <w:b/>
          <w:bCs/>
          <w:color w:val="334155"/>
          <w:sz w:val="22"/>
          <w:szCs w:val="22"/>
        </w:rPr>
        <w:t xml:space="preserve">Total Modules: 31</w:t>
      </w:r>
    </w:p>
    <w:p>
      <w:pPr>
        <w:spacing w:after="120"/>
      </w:pPr>
      <w:r>
        <w:rPr>
          <w:b/>
          <w:bCs/>
          <w:color w:val="334155"/>
          <w:sz w:val="22"/>
          <w:szCs w:val="22"/>
        </w:rPr>
        <w:t xml:space="preserve">Total Figures: FIG 1–30</w:t>
      </w:r>
    </w:p>
    <w:p>
      <w:pPr>
        <w:pBdr>
          <w:bottom w:val="single" w:color="cbd5e1" w:sz="1"/>
        </w:pBdr>
        <w:spacing w:after="200" w:before="200"/>
      </w:pPr>
    </w:p>
    <w:p>
      <w:pPr>
        <w:spacing w:before="200"/>
        <w:jc w:val="center"/>
      </w:pPr>
      <w:r>
        <w:rPr>
          <w:b/>
          <w:bCs/>
          <w:color w:val="0f172a"/>
          <w:sz w:val="24"/>
          <w:szCs w:val="24"/>
        </w:rPr>
        <w:t xml:space="preserve">End of Fifth CIP Supplementary Specification</w:t>
      </w:r>
    </w:p>
    <w:p>
      <w:pPr>
        <w:spacing w:after="80"/>
      </w:pPr>
    </w:p>
    <w:p>
      <w:pPr>
        <w:jc w:val="center"/>
      </w:pPr>
      <w:r>
        <w:rPr>
          <w:i/>
          <w:iCs/>
          <w:color w:val="64748b"/>
          <w:sz w:val="18"/>
          <w:szCs w:val="18"/>
        </w:rPr>
        <w:t xml:space="preserve">CuraLive Platform — CIPC Patent Application 1773575338868</w:t>
      </w:r>
    </w:p>
    <w:p>
      <w:pPr>
        <w:jc w:val="center"/>
      </w:pPr>
      <w:r>
        <w:rPr>
          <w:i/>
          <w:iCs/>
          <w:color w:val="64748b"/>
          <w:sz w:val="18"/>
          <w:szCs w:val="18"/>
        </w:rPr>
        <w:t xml:space="preserve">Prepared March 2026 — Confidential</w:t>
      </w:r>
    </w:p>
    <w:sectPr>
      <w:pgSz w:w="11906" w:h="16838" w:orient="portrait"/>
      <w:pgMar w:top="1440" w:right="1727" w:bottom="1152"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2026-03-20T09:08:29.562Z</dcterms:created>
  <dcterms:modified xsi:type="dcterms:W3CDTF">2026-03-20T09:08:29.562Z</dcterms:modified>
</cp:coreProperties>
</file>

<file path=docProps/custom.xml><?xml version="1.0" encoding="utf-8"?>
<Properties xmlns="http://schemas.openxmlformats.org/officeDocument/2006/custom-properties" xmlns:vt="http://schemas.openxmlformats.org/officeDocument/2006/docPropsVTypes"/>
</file>