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CE22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TITLE: INTEGRATED SYSTEM AND METHOD FOR AUTONOMOUS MULTI-JURISDICTIONAL COMPLIANCE, SELF-EVOLVING AI AGENTS, AND CROSS-PLATFORM EVENT ORCHESTRATION</w:t>
      </w:r>
    </w:p>
    <w:p w14:paraId="147BB383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1. TECHNICAL FIELD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This invention relates to the field of automated regulatory compliance, generative artificial intelligence, and telecommunications. Specifically, it relates to an autonomous system for the real-time monitoring and active orchestration of communication bridges using programmatic telephony, self-correcting algorithmic logic, and cross-platform API synchronization.</w:t>
      </w:r>
    </w:p>
    <w:p w14:paraId="68A2752A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 DETAILED TECHNICAL DESCRIPTION</w:t>
      </w:r>
    </w:p>
    <w:p w14:paraId="3B75BE86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2.1 Programmatic Telephony and Silent Agent Protocol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 xml:space="preserve">The system establishes a persistent monitoring state via an outbound telephony interface. Unlike standard API-based integrations, this system utilizes a Programmatic DTMF Handshake Protocol. Upon </w:t>
      </w:r>
      <w:proofErr w:type="spellStart"/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dialing</w:t>
      </w:r>
      <w:proofErr w:type="spellEnd"/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 into a third-party bridge (PSTN, VoIP, or WebRTC), the system autonomously executes a pre-defined sequence of dual-tone multi-frequency (DTMF) signals to bypass participant prompts and enter a "Silent Listener" state. This enables platform-agnostic audio capture without requiring host-side software installation or native API permissions.</w:t>
      </w:r>
    </w:p>
    <w:p w14:paraId="2F1AF498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2.2 Deterministic Quality Scoring for Autonomous Evolution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To facilitate autonomous self-evolution of AI tools, the system applies a multi-dimensional scoring algorithm to every system-generated output. The quality score (Q) is calculated as a weighted sum of three deterministic dimensions:</w:t>
      </w:r>
    </w:p>
    <w:p w14:paraId="382643DC" w14:textId="77777777" w:rsidR="00006522" w:rsidRPr="00006522" w:rsidRDefault="00006522" w:rsidP="0000652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Depth (D):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A numerical count of unique technical entities and financial identifiers.</w:t>
      </w:r>
    </w:p>
    <w:p w14:paraId="2F062431" w14:textId="77777777" w:rsidR="00006522" w:rsidRPr="00006522" w:rsidRDefault="00006522" w:rsidP="0000652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Breadth (B):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The ratio of distinct jurisdictional frameworks (e.g., JSE, SEC, FCA, EU MAR) successfully cross-referenced.</w:t>
      </w:r>
    </w:p>
    <w:p w14:paraId="19A73A67" w14:textId="77777777" w:rsidR="00006522" w:rsidRPr="00006522" w:rsidRDefault="00006522" w:rsidP="0000652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Specificity (S):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The inverse ratio of generic boilerplate phrases (filtered against a proprietary "Noise Library") to technical disclosures.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final score is expressed as: </w:t>
      </w: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Q = (w1 * D) + (w2 * B) + (w3 * S)</w:t>
      </w:r>
    </w:p>
    <w:p w14:paraId="3F7849A6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2.3 Temporal Evidence Decay Function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To ensure regulatory relevance and prevent model drift, all observations in the self-evolution engine are subjected to a temporal decay. The weight (W) of any observation at time (t) is governed by an exponential decay formula: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</w: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W(t) = 0.5 ^ (</w:t>
      </w:r>
      <w:proofErr w:type="spellStart"/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age_in_days</w:t>
      </w:r>
      <w:proofErr w:type="spellEnd"/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 xml:space="preserve"> / 14)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This 14-day half-life ensures the system prioritizes current market and regulatory conditions over stale historical data.</w:t>
      </w:r>
    </w:p>
    <w:p w14:paraId="04AE430B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lastRenderedPageBreak/>
        <w:t>2.4 Cross-Platform Control Orchestration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includes a Control Translation Layer that interfaces with third-party conferencing APIs (including but not limited to Microsoft Graph, Zoom REST, and Webex SDKs). This layer performs a real-time Identity Mapping between an external Q&amp;A database and the active participant roster of a third-party platform. This allows a non-native interface to execute state changes (Mute, Unmute, Spotlight) on the host platform.</w:t>
      </w:r>
    </w:p>
    <w:p w14:paraId="2C4EB964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2.5 Metadata-Triggered State Authorization</w:t>
      </w: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executes audio state changes on third-party platforms based on threshold-based triggers derived from AI metadata. A "Go Live" command for a participant is only authorized if their associated Q&amp;A submission passes a real-time Multi-Jurisdictional Compliance Screen and achieves a minimum "Triage Score" defined by the operator.</w:t>
      </w:r>
    </w:p>
    <w:p w14:paraId="632AF43D" w14:textId="77777777" w:rsidR="00006522" w:rsidRPr="00006522" w:rsidRDefault="00006522" w:rsidP="0000652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3. NEW CLAIMS (56–63)</w:t>
      </w:r>
    </w:p>
    <w:p w14:paraId="01E8A9DF" w14:textId="77777777" w:rsidR="00006522" w:rsidRPr="00006522" w:rsidRDefault="00006522" w:rsidP="0000652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method for autonomous bridge entry comprising the programmatic execution of DTMF sequences to achieve a persistent audio capture state on a remote telephony bridge without manual user intervention.</w:t>
      </w:r>
    </w:p>
    <w:p w14:paraId="55C97E17" w14:textId="77777777" w:rsidR="00006522" w:rsidRPr="00006522" w:rsidRDefault="00006522" w:rsidP="0000652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deterministic scoring system for AI-generated tools using mathematical ratios of technical specificity measured against a pre-defined library of generic noise phrases.</w:t>
      </w:r>
    </w:p>
    <w:p w14:paraId="2DF72D66" w14:textId="77777777" w:rsidR="00006522" w:rsidRPr="00006522" w:rsidRDefault="00006522" w:rsidP="00006522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temporal decay mechanism for autonomous machine learning that applies an exponential half-life to historical observation weights to mitigate model drift.</w:t>
      </w:r>
    </w:p>
    <w:p w14:paraId="7E9561E4" w14:textId="77777777" w:rsidR="00006522" w:rsidRPr="00006522" w:rsidRDefault="00006522" w:rsidP="00006522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An AGI-based compliance co-pilot that executes real-time auto-remediation of live speech signals against a consolidated database of multi-jurisdictional regulatory frameworks.</w:t>
      </w:r>
    </w:p>
    <w:p w14:paraId="43D95EBD" w14:textId="77777777" w:rsidR="00006522" w:rsidRPr="00006522" w:rsidRDefault="00006522" w:rsidP="00006522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The use of SHA-256 hash-chained blockchain certificates to verify the integrity, timing, and content of compliance remediations performed during a live event.</w:t>
      </w:r>
    </w:p>
    <w:p w14:paraId="05145CB1" w14:textId="77777777" w:rsidR="00006522" w:rsidRPr="00006522" w:rsidRDefault="00006522" w:rsidP="0000652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system for cross-platform event orchestration comprising a synchronization engine that maps external attendee identifiers to native conferencing participant IDs to enable remote audio control.</w:t>
      </w:r>
    </w:p>
    <w:p w14:paraId="7934B895" w14:textId="77777777" w:rsidR="00006522" w:rsidRPr="00006522" w:rsidRDefault="00006522" w:rsidP="00006522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A method for unmuting participants in a live session where the trigger for the command is a numerical "Triage Score" generated by an AI model </w:t>
      </w:r>
      <w:proofErr w:type="spellStart"/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analyzing</w:t>
      </w:r>
      <w:proofErr w:type="spellEnd"/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 the participant's text submission.</w:t>
      </w:r>
    </w:p>
    <w:p w14:paraId="769A1480" w14:textId="77777777" w:rsidR="00006522" w:rsidRPr="00006522" w:rsidRDefault="00006522" w:rsidP="00006522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006522">
        <w:rPr>
          <w:rFonts w:ascii="Arial" w:eastAsia="Times New Roman" w:hAnsi="Arial" w:cs="Arial"/>
          <w:color w:val="0A0A0A"/>
          <w:sz w:val="24"/>
          <w:szCs w:val="24"/>
          <w:lang w:eastAsia="en-ZA"/>
        </w:rPr>
        <w:lastRenderedPageBreak/>
        <w:t>A platform-agnostic "Wrapper Architecture" that embeds third-party communication SDKs within a proprietary compliance dashboard to enable centralized event management.</w:t>
      </w:r>
    </w:p>
    <w:p w14:paraId="101173C1" w14:textId="77777777" w:rsidR="00006522" w:rsidRPr="00006522" w:rsidRDefault="00006522" w:rsidP="00006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06522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D9F5EE2">
          <v:rect id="_x0000_i1042" style="width:0;height:.75pt" o:hralign="center" o:hrstd="t" o:hr="t" fillcolor="#a0a0a0" stroked="f"/>
        </w:pict>
      </w:r>
    </w:p>
    <w:p w14:paraId="11A93E1E" w14:textId="77777777" w:rsidR="008D0B1C" w:rsidRPr="00006522" w:rsidRDefault="008D0B1C" w:rsidP="00006522"/>
    <w:sectPr w:rsidR="008D0B1C" w:rsidRPr="00006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45BC"/>
    <w:multiLevelType w:val="multilevel"/>
    <w:tmpl w:val="071296B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8356B"/>
    <w:multiLevelType w:val="multilevel"/>
    <w:tmpl w:val="0AC8DEC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4588E"/>
    <w:multiLevelType w:val="multilevel"/>
    <w:tmpl w:val="309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3D31"/>
    <w:multiLevelType w:val="multilevel"/>
    <w:tmpl w:val="827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24614">
    <w:abstractNumId w:val="3"/>
  </w:num>
  <w:num w:numId="2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696036164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792098772">
    <w:abstractNumId w:val="2"/>
  </w:num>
  <w:num w:numId="11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4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7" w16cid:durableId="977690356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977690356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22"/>
    <w:rsid w:val="00006522"/>
    <w:rsid w:val="008D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FFE11"/>
  <w15:chartTrackingRefBased/>
  <w15:docId w15:val="{AF4B85D8-3143-449A-A559-FECBA76C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6522"/>
    <w:rPr>
      <w:b/>
      <w:bCs/>
    </w:rPr>
  </w:style>
  <w:style w:type="character" w:customStyle="1" w:styleId="dtet0b">
    <w:name w:val="dtet0b"/>
    <w:basedOn w:val="DefaultParagraphFont"/>
    <w:rsid w:val="00006522"/>
  </w:style>
  <w:style w:type="paragraph" w:customStyle="1" w:styleId="df3vjf">
    <w:name w:val="df3vjf"/>
    <w:basedOn w:val="Normal"/>
    <w:rsid w:val="00006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t286pc">
    <w:name w:val="t286pc"/>
    <w:basedOn w:val="DefaultParagraphFont"/>
    <w:rsid w:val="00006522"/>
  </w:style>
  <w:style w:type="paragraph" w:styleId="ListParagraph">
    <w:name w:val="List Paragraph"/>
    <w:basedOn w:val="Normal"/>
    <w:uiPriority w:val="34"/>
    <w:qFormat/>
    <w:rsid w:val="00006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2026-03-20T21:12:00Z</dcterms:created>
  <dcterms:modified xsi:type="dcterms:W3CDTF">2026-03-20T21:17:00Z</dcterms:modified>
</cp:coreProperties>
</file>