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pPr>
      <w:r>
        <w:rPr>
          <w:rFonts w:ascii="Arial" w:cs="Arial" w:eastAsia="Arial" w:hAnsi="Arial"/>
        </w:rPr>
        <w:t xml:space="preserve"> </w:t>
      </w:r>
    </w:p>
    <w:p>
      <w:pPr>
        <w:spacing w:after="60" w:before="0"/>
        <w:jc w:val="center"/>
      </w:pPr>
      <w:r>
        <w:rPr>
          <w:rFonts w:ascii="Arial" w:cs="Arial" w:eastAsia="Arial" w:hAnsi="Arial"/>
          <w:b/>
          <w:bCs/>
          <w:caps/>
          <w:color w:val="0A2540"/>
          <w:sz w:val="64"/>
          <w:szCs w:val="64"/>
        </w:rPr>
        <w:t xml:space="preserve">CURALIVE</w:t>
      </w:r>
    </w:p>
    <w:p>
      <w:pPr>
        <w:spacing w:after="40" w:before="0"/>
        <w:jc w:val="center"/>
      </w:pPr>
      <w:r>
        <w:rPr>
          <w:rFonts w:ascii="Arial" w:cs="Arial" w:eastAsia="Arial" w:hAnsi="Arial"/>
          <w:color w:val="1D9E75"/>
          <w:sz w:val="34"/>
          <w:szCs w:val="34"/>
        </w:rPr>
        <w:t xml:space="preserve">Rollout Roadmap &amp; Demo Guide</w:t>
      </w:r>
    </w:p>
    <w:p>
      <w:pPr>
        <w:spacing w:after="180" w:before="0"/>
        <w:jc w:val="center"/>
      </w:pPr>
      <w:r>
        <w:rPr>
          <w:rFonts w:ascii="Arial" w:cs="Arial" w:eastAsia="Arial" w:hAnsi="Arial"/>
          <w:color w:val="6b7280"/>
          <w:sz w:val="22"/>
          <w:szCs w:val="22"/>
        </w:rPr>
        <w:t xml:space="preserve">One complete reference · How everything works · April 2026</w:t>
      </w:r>
    </w:p>
    <w:p>
      <w:pPr>
        <w:pBdr>
          <w:bottom w:val="single" w:color="1D9E75" w:sz="10" w:space="1"/>
        </w:pBdr>
        <w:spacing w:after="60" w:before="60"/>
      </w:pPr>
      <w:r>
        <w:rPr>
          <w:rFonts w:ascii="Arial" w:cs="Arial" w:eastAsia="Arial" w:hAnsi="Arial"/>
        </w:rPr>
        <w:t xml:space="preserve"/>
      </w:r>
    </w:p>
    <w:p>
      <w:pPr>
        <w:spacing w:after="4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color w:val="0A2540"/>
                <w:sz w:val="18"/>
                <w:szCs w:val="18"/>
              </w:rPr>
              <w:t xml:space="preserve">Purpose</w:t>
            </w:r>
          </w:p>
        </w:tc>
        <w:tc>
          <w:tcPr>
            <w:tcW w:type="dxa" w:w="67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Your complete reference for how the platform works, what every screen does, how to demo it, and what to do next.</w:t>
            </w:r>
          </w:p>
        </w:tc>
      </w:tr>
      <w:tr>
        <w:tc>
          <w:tcPr>
            <w:tcW w:type="dxa" w:w="2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color w:val="0A2540"/>
                <w:sz w:val="18"/>
                <w:szCs w:val="18"/>
              </w:rPr>
              <w:t xml:space="preserve">Audience</w:t>
            </w:r>
          </w:p>
        </w:tc>
        <w:tc>
          <w:tcPr>
            <w:tcW w:type="dxa" w:w="67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Dave Cameron — founder, operator, demo lead</w:t>
            </w:r>
          </w:p>
        </w:tc>
      </w:tr>
      <w:tr>
        <w:tc>
          <w:tcPr>
            <w:tcW w:type="dxa" w:w="2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color w:val="0A2540"/>
                <w:sz w:val="18"/>
                <w:szCs w:val="18"/>
              </w:rPr>
              <w:t xml:space="preserve">Platform</w:t>
            </w:r>
          </w:p>
        </w:tc>
        <w:tc>
          <w:tcPr>
            <w:tcW w:type="dxa" w:w="67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CuraLive on Replit · 110 routers · 208 tables · 211 pages · Health 100%</w:t>
            </w:r>
          </w:p>
        </w:tc>
      </w:tr>
      <w:tr>
        <w:tc>
          <w:tcPr>
            <w:tcW w:type="dxa" w:w="2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color w:val="0A2540"/>
                <w:sz w:val="18"/>
                <w:szCs w:val="18"/>
              </w:rPr>
              <w:t xml:space="preserve">Demo target</w:t>
            </w:r>
          </w:p>
        </w:tc>
        <w:tc>
          <w:tcPr>
            <w:tcW w:type="dxa" w:w="67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Lumi Global partner meeting — week of 7 April 2026</w:t>
            </w:r>
          </w:p>
        </w:tc>
      </w:tr>
      <w:tr>
        <w:tc>
          <w:tcPr>
            <w:tcW w:type="dxa" w:w="2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color w:val="0A2540"/>
                <w:sz w:val="18"/>
                <w:szCs w:val="18"/>
              </w:rPr>
              <w:t xml:space="preserve">Exit target</w:t>
            </w:r>
          </w:p>
        </w:tc>
        <w:tc>
          <w:tcPr>
            <w:tcW w:type="dxa" w:w="67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$80M–$120M strategic acquisition · 24–36 months from commercial launch</w:t>
            </w:r>
          </w:p>
        </w:tc>
      </w:tr>
    </w:tbl>
    <w:p>
      <w:pPr>
        <w:spacing w:after="5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How to use this document</w:t>
      </w:r>
    </w:p>
    <w:p>
      <w:pPr>
        <w:pStyle w:val="ListParagraph"/>
        <w:numPr>
          <w:ilvl w:val="0"/>
          <w:numId w:val="2"/>
        </w:numPr>
        <w:spacing w:after="30" w:before="30"/>
      </w:pPr>
      <w:r>
        <w:rPr>
          <w:rFonts w:ascii="Arial" w:cs="Arial" w:eastAsia="Arial" w:hAnsi="Arial"/>
          <w:sz w:val="20"/>
          <w:szCs w:val="20"/>
        </w:rPr>
        <w:t xml:space="preserve">Section 1 — What exists and where every screen lives (with clickable links)</w:t>
      </w:r>
    </w:p>
    <w:p>
      <w:pPr>
        <w:pStyle w:val="ListParagraph"/>
        <w:numPr>
          <w:ilvl w:val="0"/>
          <w:numId w:val="2"/>
        </w:numPr>
        <w:spacing w:after="30" w:before="30"/>
      </w:pPr>
      <w:r>
        <w:rPr>
          <w:rFonts w:ascii="Arial" w:cs="Arial" w:eastAsia="Arial" w:hAnsi="Arial"/>
          <w:sz w:val="20"/>
          <w:szCs w:val="20"/>
        </w:rPr>
        <w:t xml:space="preserve">Section 2 — How everything works from booking to report delivery, step by step</w:t>
      </w:r>
    </w:p>
    <w:p>
      <w:pPr>
        <w:pStyle w:val="ListParagraph"/>
        <w:numPr>
          <w:ilvl w:val="0"/>
          <w:numId w:val="2"/>
        </w:numPr>
        <w:spacing w:after="30" w:before="30"/>
      </w:pPr>
      <w:r>
        <w:rPr>
          <w:rFonts w:ascii="Arial" w:cs="Arial" w:eastAsia="Arial" w:hAnsi="Arial"/>
          <w:sz w:val="20"/>
          <w:szCs w:val="20"/>
        </w:rPr>
        <w:t xml:space="preserve">Section 3 — How white label works and what Lumi's clients actually experience</w:t>
      </w:r>
    </w:p>
    <w:p>
      <w:pPr>
        <w:pStyle w:val="ListParagraph"/>
        <w:numPr>
          <w:ilvl w:val="0"/>
          <w:numId w:val="2"/>
        </w:numPr>
        <w:spacing w:after="30" w:before="30"/>
      </w:pPr>
      <w:r>
        <w:rPr>
          <w:rFonts w:ascii="Arial" w:cs="Arial" w:eastAsia="Arial" w:hAnsi="Arial"/>
          <w:sz w:val="20"/>
          <w:szCs w:val="20"/>
        </w:rPr>
        <w:t xml:space="preserve">Section 4 — Your exact demo script for the Lumi meeting with links for every step</w:t>
      </w:r>
    </w:p>
    <w:p>
      <w:pPr>
        <w:pStyle w:val="ListParagraph"/>
        <w:numPr>
          <w:ilvl w:val="0"/>
          <w:numId w:val="2"/>
        </w:numPr>
        <w:spacing w:after="30" w:before="30"/>
      </w:pPr>
      <w:r>
        <w:rPr>
          <w:rFonts w:ascii="Arial" w:cs="Arial" w:eastAsia="Arial" w:hAnsi="Arial"/>
          <w:sz w:val="20"/>
          <w:szCs w:val="20"/>
        </w:rPr>
        <w:t xml:space="preserve">Section 5 — Your action items in priority order</w:t>
      </w:r>
    </w:p>
    <w:p>
      <w:pPr>
        <w:pStyle w:val="ListParagraph"/>
        <w:numPr>
          <w:ilvl w:val="0"/>
          <w:numId w:val="2"/>
        </w:numPr>
        <w:spacing w:after="30" w:before="30"/>
      </w:pPr>
      <w:r>
        <w:rPr>
          <w:rFonts w:ascii="Arial" w:cs="Arial" w:eastAsia="Arial" w:hAnsi="Arial"/>
          <w:sz w:val="20"/>
          <w:szCs w:val="20"/>
        </w:rPr>
        <w:t xml:space="preserve">Section 6 — Every URL in one quick-reference table</w:t>
      </w:r>
    </w:p>
    <w:p>
      <w:pPr>
        <w:spacing w:after="2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6"/>
              <w:bottom w:val="single" w:color="BA7517" w:sz="6"/>
              <w:right w:val="single" w:color="BA7517" w:sz="6"/>
            </w:tcBorders>
            <w:shd w:fill="fef8e8" w:val="clear"/>
            <w:tcMar>
              <w:top w:type="dxa" w:w="80"/>
              <w:left w:type="dxa" w:w="160"/>
              <w:bottom w:type="dxa" w:w="80"/>
              <w:right w:type="dxa" w:w="160"/>
            </w:tcMar>
          </w:tcPr>
          <w:p>
            <w:pPr>
              <w:spacing w:after="20" w:before="20"/>
            </w:pPr>
            <w:r>
              <w:rPr>
                <w:rFonts w:ascii="Arial" w:cs="Arial" w:eastAsia="Arial" w:hAnsi="Arial"/>
                <w:b/>
                <w:bCs/>
                <w:color w:val="BA7517"/>
                <w:sz w:val="18"/>
                <w:szCs w:val="18"/>
              </w:rPr>
              <w:t xml:space="preserve">⚠  Before using:  </w:t>
            </w:r>
            <w:r>
              <w:rPr>
                <w:rFonts w:ascii="Arial" w:cs="Arial" w:eastAsia="Arial" w:hAnsi="Arial"/>
                <w:color w:val="BA7517"/>
                <w:sz w:val="18"/>
                <w:szCs w:val="18"/>
              </w:rPr>
              <w:t xml:space="preserve">Replace your-app.replit.app with your actual Replit URL in every link below.</w:t>
            </w:r>
          </w:p>
        </w:tc>
      </w:tr>
    </w:tbl>
    <w:p>
      <w:r>
        <w:r>
          <w:br w:type="page"/>
        </w:r>
      </w:r>
    </w:p>
    <w:p>
      <w:pPr>
        <w:pStyle w:val="Heading1"/>
        <w:pBdr>
          <w:bottom w:val="single" w:color="1D9E75" w:sz="14" w:space="4"/>
        </w:pBdr>
        <w:spacing w:after="120" w:before="360"/>
      </w:pPr>
      <w:r>
        <w:rPr>
          <w:rFonts w:ascii="Arial" w:cs="Arial" w:eastAsia="Arial" w:hAnsi="Arial"/>
          <w:b/>
          <w:bCs/>
          <w:color w:val="0A2540"/>
          <w:sz w:val="38"/>
          <w:szCs w:val="38"/>
        </w:rPr>
        <w:t xml:space="preserve">Section 1 — What Exists and Where to Find It</w:t>
      </w:r>
    </w:p>
    <w:p>
      <w:pPr>
        <w:spacing w:after="80" w:before="40"/>
      </w:pPr>
      <w:r>
        <w:rPr>
          <w:rFonts w:ascii="Arial" w:cs="Arial" w:eastAsia="Arial" w:hAnsi="Arial"/>
          <w:sz w:val="20"/>
          <w:szCs w:val="20"/>
        </w:rPr>
        <w:t xml:space="preserve">Everything below is live and working. This is the complete inventory with direct links to every surface.</w:t>
      </w:r>
    </w:p>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1.1  The Operator Platform</w:t>
      </w:r>
    </w:p>
    <w:p>
      <w:pPr>
        <w:spacing w:after="80" w:before="40"/>
      </w:pPr>
      <w:r>
        <w:rPr>
          <w:rFonts w:ascii="Arial" w:cs="Arial" w:eastAsia="Arial" w:hAnsi="Arial"/>
          <w:sz w:val="20"/>
          <w:szCs w:val="20"/>
        </w:rPr>
        <w:t xml:space="preserve">Your working interface. Clients never see this. It is your intelligence cockpit during every event.</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Screen</w:t>
            </w:r>
          </w:p>
        </w:tc>
        <w:tc>
          <w:tcPr>
            <w:tcW w:type="dxa" w:w="22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Link</w:t>
            </w:r>
          </w:p>
        </w:tc>
        <w:tc>
          <w:tcPr>
            <w:tcW w:type="dxa" w:w="43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What it does</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Main operator dashboard</w:t>
            </w:r>
          </w:p>
        </w:tc>
        <w:tc>
          <w:tcPr>
            <w:tcW w:type="dxa" w:w="22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sw8fpif56md1n0lp4njkv">
              <w:r>
                <w:rPr>
                  <w:rStyle w:val="Hyperlink"/>
                  <w:rFonts w:ascii="Arial" w:cs="Arial" w:eastAsia="Arial" w:hAnsi="Arial"/>
                  <w:color w:val="1246E8"/>
                  <w:sz w:val="20"/>
                  <w:szCs w:val="20"/>
                  <w:u w:val="single"/>
                </w:rPr>
                <w:t xml:space="preserve">Open →</w:t>
              </w:r>
            </w:hyperlink>
          </w:p>
        </w:tc>
        <w:tc>
          <w:tcPr>
            <w:tcW w:type="dxa" w:w="43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6-tab overview: Shadow Mode, Events, Partners, Billing, Settings</w:t>
            </w:r>
          </w:p>
        </w:tc>
      </w:tr>
      <w:tr>
        <w:tc>
          <w:tcPr>
            <w:tcW w:type="dxa" w:w="2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Shadow Mode — Live Intelligence</w:t>
            </w:r>
          </w:p>
        </w:tc>
        <w:tc>
          <w:tcPr>
            <w:tcW w:type="dxa" w:w="22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gbujd0sbq_bug0c55zckn">
              <w:r>
                <w:rPr>
                  <w:rStyle w:val="Hyperlink"/>
                  <w:rFonts w:ascii="Arial" w:cs="Arial" w:eastAsia="Arial" w:hAnsi="Arial"/>
                  <w:color w:val="1246E8"/>
                  <w:sz w:val="20"/>
                  <w:szCs w:val="20"/>
                  <w:u w:val="single"/>
                </w:rPr>
                <w:t xml:space="preserve">Open →</w:t>
              </w:r>
            </w:hyperlink>
          </w:p>
        </w:tc>
        <w:tc>
          <w:tcPr>
            <w:tcW w:type="dxa" w:w="43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Your live event console. Transcript, sentiment, compliance, Q&amp;A. 11 tabs.</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Live Q&amp;A console</w:t>
            </w:r>
          </w:p>
        </w:tc>
        <w:tc>
          <w:tcPr>
            <w:tcW w:type="dxa" w:w="22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vzy5n_cfg89jsgu7n7bgx">
              <w:r>
                <w:rPr>
                  <w:rStyle w:val="Hyperlink"/>
                  <w:rFonts w:ascii="Arial" w:cs="Arial" w:eastAsia="Arial" w:hAnsi="Arial"/>
                  <w:color w:val="1246E8"/>
                  <w:sz w:val="20"/>
                  <w:szCs w:val="20"/>
                  <w:u w:val="single"/>
                </w:rPr>
                <w:t xml:space="preserve">Open →</w:t>
              </w:r>
            </w:hyperlink>
          </w:p>
        </w:tc>
        <w:tc>
          <w:tcPr>
            <w:tcW w:type="dxa" w:w="43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AI triage, approve/reject, send to speaker, AI draft answers, bulk actions</w:t>
            </w:r>
          </w:p>
        </w:tc>
      </w:tr>
      <w:tr>
        <w:tc>
          <w:tcPr>
            <w:tcW w:type="dxa" w:w="2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Board Intelligence Compass</w:t>
            </w:r>
          </w:p>
        </w:tc>
        <w:tc>
          <w:tcPr>
            <w:tcW w:type="dxa" w:w="22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pzil2oovx1tr4zbh4ucag">
              <w:r>
                <w:rPr>
                  <w:rStyle w:val="Hyperlink"/>
                  <w:rFonts w:ascii="Arial" w:cs="Arial" w:eastAsia="Arial" w:hAnsi="Arial"/>
                  <w:color w:val="1246E8"/>
                  <w:sz w:val="20"/>
                  <w:szCs w:val="20"/>
                  <w:u w:val="single"/>
                </w:rPr>
                <w:t xml:space="preserve">Open →</w:t>
              </w:r>
            </w:hyperlink>
          </w:p>
        </w:tc>
        <w:tc>
          <w:tcPr>
            <w:tcW w:type="dxa" w:w="43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Governance scoring, prior commitments, director liability</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Pre-Event Intelligence</w:t>
            </w:r>
          </w:p>
        </w:tc>
        <w:tc>
          <w:tcPr>
            <w:tcW w:type="dxa" w:w="22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xftzo8xvwjxlc1anugif9">
              <w:r>
                <w:rPr>
                  <w:rStyle w:val="Hyperlink"/>
                  <w:rFonts w:ascii="Arial" w:cs="Arial" w:eastAsia="Arial" w:hAnsi="Arial"/>
                  <w:color w:val="1246E8"/>
                  <w:sz w:val="20"/>
                  <w:szCs w:val="20"/>
                  <w:u w:val="single"/>
                </w:rPr>
                <w:t xml:space="preserve">Open →</w:t>
              </w:r>
            </w:hyperlink>
          </w:p>
        </w:tc>
        <w:tc>
          <w:tcPr>
            <w:tcW w:type="dxa" w:w="43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Auto-generated 60 min before each session. Analyst consensus, predicted Q&amp;A, compliance hotspots.</w:t>
            </w:r>
          </w:p>
        </w:tc>
      </w:tr>
      <w:tr>
        <w:tc>
          <w:tcPr>
            <w:tcW w:type="dxa" w:w="2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Compliance Monitor</w:t>
            </w:r>
          </w:p>
        </w:tc>
        <w:tc>
          <w:tcPr>
            <w:tcW w:type="dxa" w:w="22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pz_5m-z9m_q_u0bashszv">
              <w:r>
                <w:rPr>
                  <w:rStyle w:val="Hyperlink"/>
                  <w:rFonts w:ascii="Arial" w:cs="Arial" w:eastAsia="Arial" w:hAnsi="Arial"/>
                  <w:color w:val="1246E8"/>
                  <w:sz w:val="20"/>
                  <w:szCs w:val="20"/>
                  <w:u w:val="single"/>
                </w:rPr>
                <w:t xml:space="preserve">Open →</w:t>
              </w:r>
            </w:hyperlink>
          </w:p>
        </w:tc>
        <w:tc>
          <w:tcPr>
            <w:tcW w:type="dxa" w:w="43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Real-time regulatory flags. JSE/SEC/FCA jurisdiction rules. Deadline tracking + escalation emails.</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AGM Intelligence</w:t>
            </w:r>
          </w:p>
        </w:tc>
        <w:tc>
          <w:tcPr>
            <w:tcW w:type="dxa" w:w="22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cr1an-kcktyfsjo2bmq0j">
              <w:r>
                <w:rPr>
                  <w:rStyle w:val="Hyperlink"/>
                  <w:rFonts w:ascii="Arial" w:cs="Arial" w:eastAsia="Arial" w:hAnsi="Arial"/>
                  <w:color w:val="1246E8"/>
                  <w:sz w:val="20"/>
                  <w:szCs w:val="20"/>
                  <w:u w:val="single"/>
                </w:rPr>
                <w:t xml:space="preserve">Open →</w:t>
              </w:r>
            </w:hyperlink>
          </w:p>
        </w:tc>
        <w:tc>
          <w:tcPr>
            <w:tcW w:type="dxa" w:w="43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Resolution tracking, dissent detection, proxy advisor monitoring (ISS, Glass Lewis), post-AGM reports</w:t>
            </w:r>
          </w:p>
        </w:tc>
      </w:tr>
      <w:tr>
        <w:tc>
          <w:tcPr>
            <w:tcW w:type="dxa" w:w="2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System Diagnostics</w:t>
            </w:r>
          </w:p>
        </w:tc>
        <w:tc>
          <w:tcPr>
            <w:tcW w:type="dxa" w:w="22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u3pme4kyavjiny_yscl5u">
              <w:r>
                <w:rPr>
                  <w:rStyle w:val="Hyperlink"/>
                  <w:rFonts w:ascii="Arial" w:cs="Arial" w:eastAsia="Arial" w:hAnsi="Arial"/>
                  <w:color w:val="1246E8"/>
                  <w:sz w:val="20"/>
                  <w:szCs w:val="20"/>
                  <w:u w:val="single"/>
                </w:rPr>
                <w:t xml:space="preserve">Open →</w:t>
              </w:r>
            </w:hyperlink>
          </w:p>
        </w:tc>
        <w:tc>
          <w:tcPr>
            <w:tcW w:type="dxa" w:w="43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Health Guardian: 6 services monitored every 30 seconds. DB, Recall.ai, Ably, OpenAI, Twilio, Events.</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Events &amp; Booking</w:t>
            </w:r>
          </w:p>
        </w:tc>
        <w:tc>
          <w:tcPr>
            <w:tcW w:type="dxa" w:w="22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4kul2kzscdh1nwtemjc34">
              <w:r>
                <w:rPr>
                  <w:rStyle w:val="Hyperlink"/>
                  <w:rFonts w:ascii="Arial" w:cs="Arial" w:eastAsia="Arial" w:hAnsi="Arial"/>
                  <w:color w:val="1246E8"/>
                  <w:sz w:val="20"/>
                  <w:szCs w:val="20"/>
                  <w:u w:val="single"/>
                </w:rPr>
                <w:t xml:space="preserve">Open →</w:t>
              </w:r>
            </w:hyperlink>
          </w:p>
        </w:tc>
        <w:tc>
          <w:tcPr>
            <w:tcW w:type="dxa" w:w="43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Session scheduler, calendar view, tier selection, recipient management</w:t>
            </w:r>
          </w:p>
        </w:tc>
      </w:tr>
      <w:tr>
        <w:tc>
          <w:tcPr>
            <w:tcW w:type="dxa" w:w="2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Partners</w:t>
            </w:r>
          </w:p>
        </w:tc>
        <w:tc>
          <w:tcPr>
            <w:tcW w:type="dxa" w:w="22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utmccozinf6yxfjup6ill">
              <w:r>
                <w:rPr>
                  <w:rStyle w:val="Hyperlink"/>
                  <w:rFonts w:ascii="Arial" w:cs="Arial" w:eastAsia="Arial" w:hAnsi="Arial"/>
                  <w:color w:val="1246E8"/>
                  <w:sz w:val="20"/>
                  <w:szCs w:val="20"/>
                  <w:u w:val="single"/>
                </w:rPr>
                <w:t xml:space="preserve">Open →</w:t>
              </w:r>
            </w:hyperlink>
          </w:p>
        </w:tc>
        <w:tc>
          <w:tcPr>
            <w:tcW w:type="dxa" w:w="43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Lumi Global and Bastion Group. White-label branding, domain, email per partner.</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Enterprise Billing</w:t>
            </w:r>
          </w:p>
        </w:tc>
        <w:tc>
          <w:tcPr>
            <w:tcW w:type="dxa" w:w="22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stit-8mhh9ljgzngrs5o4">
              <w:r>
                <w:rPr>
                  <w:rStyle w:val="Hyperlink"/>
                  <w:rFonts w:ascii="Arial" w:cs="Arial" w:eastAsia="Arial" w:hAnsi="Arial"/>
                  <w:color w:val="1246E8"/>
                  <w:sz w:val="20"/>
                  <w:szCs w:val="20"/>
                  <w:u w:val="single"/>
                </w:rPr>
                <w:t xml:space="preserve">Open →</w:t>
              </w:r>
            </w:hyperlink>
          </w:p>
        </w:tc>
        <w:tc>
          <w:tcPr>
            <w:tcW w:type="dxa" w:w="43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Quotes, invoices, Stripe payments, recurring templates, per-tier pricing</w:t>
            </w:r>
          </w:p>
        </w:tc>
      </w:tr>
    </w:tbl>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1.2  Demo Studio</w:t>
      </w:r>
    </w:p>
    <w:p>
      <w:pPr>
        <w:spacing w:after="80" w:before="40"/>
      </w:pPr>
      <w:r>
        <w:rPr>
          <w:rFonts w:ascii="Arial" w:cs="Arial" w:eastAsia="Arial" w:hAnsi="Arial"/>
          <w:sz w:val="20"/>
          <w:szCs w:val="20"/>
        </w:rPr>
        <w:t xml:space="preserve">One URL opens a full simulation of a live earnings call with institutional analysts, real-time Q&amp;A, sentiment, and compliance flags. No real event needed. Use this in every meeting.</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Demo surface</w:t>
            </w:r>
          </w:p>
        </w:tc>
        <w:tc>
          <w:tcPr>
            <w:tcW w:type="dxa" w:w="22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Link</w:t>
            </w:r>
          </w:p>
        </w:tc>
        <w:tc>
          <w:tcPr>
            <w:tcW w:type="dxa" w:w="43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What it shows</w:t>
            </w:r>
          </w:p>
        </w:tc>
      </w:tr>
      <w:tr>
        <w:tc>
          <w:tcPr>
            <w:tcW w:type="dxa" w:w="28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Full platform simulation</w:t>
            </w:r>
          </w:p>
        </w:tc>
        <w:tc>
          <w:tcPr>
            <w:tcW w:type="dxa" w:w="22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azabhe4_7cjhv9dh1cilx">
              <w:r>
                <w:rPr>
                  <w:rStyle w:val="Hyperlink"/>
                  <w:rFonts w:ascii="Arial" w:cs="Arial" w:eastAsia="Arial" w:hAnsi="Arial"/>
                  <w:color w:val="1246E8"/>
                  <w:sz w:val="20"/>
                  <w:szCs w:val="20"/>
                  <w:u w:val="single"/>
                </w:rPr>
                <w:t xml:space="preserve">Launch Demo Studio →</w:t>
              </w:r>
            </w:hyperlink>
          </w:p>
        </w:tc>
        <w:tc>
          <w:tcPr>
            <w:tcW w:type="dxa" w:w="43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Streaming video, transcript, sentiment, Q&amp;A, 1,200 simulated attendees. Goldman Sachs, JP Morgan, Morgan Stanley mock questions.</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Operator live console demo</w:t>
            </w:r>
          </w:p>
        </w:tc>
        <w:tc>
          <w:tcPr>
            <w:tcW w:type="dxa" w:w="22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mjbsojm0jb1ucregd1igp">
              <w:r>
                <w:rPr>
                  <w:rStyle w:val="Hyperlink"/>
                  <w:rFonts w:ascii="Arial" w:cs="Arial" w:eastAsia="Arial" w:hAnsi="Arial"/>
                  <w:color w:val="1246E8"/>
                  <w:sz w:val="20"/>
                  <w:szCs w:val="20"/>
                  <w:u w:val="single"/>
                </w:rPr>
                <w:t xml:space="preserve">Open →</w:t>
              </w:r>
            </w:hyperlink>
          </w:p>
        </w:tc>
        <w:tc>
          <w:tcPr>
            <w:tcW w:type="dxa" w:w="43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Meridian Holdings Q3 2026 earnings call — operator side 8-min simulation</w:t>
            </w:r>
          </w:p>
        </w:tc>
      </w:tr>
      <w:tr>
        <w:tc>
          <w:tcPr>
            <w:tcW w:type="dxa" w:w="2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Tier comparison demo</w:t>
            </w:r>
          </w:p>
        </w:tc>
        <w:tc>
          <w:tcPr>
            <w:tcW w:type="dxa" w:w="22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mmfjlqzjhbe2qhajrx_aw">
              <w:r>
                <w:rPr>
                  <w:rStyle w:val="Hyperlink"/>
                  <w:rFonts w:ascii="Arial" w:cs="Arial" w:eastAsia="Arial" w:hAnsi="Arial"/>
                  <w:color w:val="1246E8"/>
                  <w:sz w:val="20"/>
                  <w:szCs w:val="20"/>
                  <w:u w:val="single"/>
                </w:rPr>
                <w:t xml:space="preserve">Open →</w:t>
              </w:r>
            </w:hyperlink>
          </w:p>
        </w:tc>
        <w:tc>
          <w:tcPr>
            <w:tcW w:type="dxa" w:w="43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What Essential vs Intelligence vs Enterprise client sees live — side by side</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Cinematic platform video</w:t>
            </w:r>
          </w:p>
        </w:tc>
        <w:tc>
          <w:tcPr>
            <w:tcW w:type="dxa" w:w="22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bezxsqzayaohr83fdppwj">
              <w:r>
                <w:rPr>
                  <w:rStyle w:val="Hyperlink"/>
                  <w:rFonts w:ascii="Arial" w:cs="Arial" w:eastAsia="Arial" w:hAnsi="Arial"/>
                  <w:color w:val="1246E8"/>
                  <w:sz w:val="20"/>
                  <w:szCs w:val="20"/>
                  <w:u w:val="single"/>
                </w:rPr>
                <w:t xml:space="preserve">Play →</w:t>
              </w:r>
            </w:hyperlink>
          </w:p>
        </w:tc>
        <w:tc>
          <w:tcPr>
            <w:tcW w:type="dxa" w:w="43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21-scene walkthrough of the full platform — approximately 5 minutes</w:t>
            </w:r>
          </w:p>
        </w:tc>
      </w:tr>
      <w:tr>
        <w:tc>
          <w:tcPr>
            <w:tcW w:type="dxa" w:w="28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Lumi white-label demo</w:t>
            </w:r>
          </w:p>
        </w:tc>
        <w:tc>
          <w:tcPr>
            <w:tcW w:type="dxa" w:w="22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06h4bkxofnu9qllabwzp-">
              <w:r>
                <w:rPr>
                  <w:rStyle w:val="Hyperlink"/>
                  <w:rFonts w:ascii="Arial" w:cs="Arial" w:eastAsia="Arial" w:hAnsi="Arial"/>
                  <w:color w:val="1246E8"/>
                  <w:sz w:val="20"/>
                  <w:szCs w:val="20"/>
                  <w:u w:val="single"/>
                </w:rPr>
                <w:t xml:space="preserve">Open →</w:t>
              </w:r>
            </w:hyperlink>
          </w:p>
        </w:tc>
        <w:tc>
          <w:tcPr>
            <w:tcW w:type="dxa" w:w="43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Full Lumi-branded experience. Show this in the Lumi partner meeting.</w:t>
            </w:r>
          </w:p>
        </w:tc>
      </w:tr>
    </w:tbl>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1.3  The Three Client-Facing Pages</w:t>
      </w:r>
    </w:p>
    <w:p>
      <w:pPr>
        <w:spacing w:after="80" w:before="40"/>
      </w:pPr>
      <w:r>
        <w:rPr>
          <w:rFonts w:ascii="Arial" w:cs="Arial" w:eastAsia="Arial" w:hAnsi="Arial"/>
          <w:sz w:val="20"/>
          <w:szCs w:val="20"/>
        </w:rPr>
        <w:t xml:space="preserve">These are what your clients actually receive. Token-authenticated. White-label branded. Clients never see anything else.</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Page</w:t>
            </w:r>
          </w:p>
        </w:tc>
        <w:tc>
          <w:tcPr>
            <w:tcW w:type="dxa" w:w="22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Demo link</w:t>
            </w:r>
          </w:p>
        </w:tc>
        <w:tc>
          <w:tcPr>
            <w:tcW w:type="dxa" w:w="47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What the client sees</w:t>
            </w:r>
          </w:p>
        </w:tc>
      </w:tr>
      <w:tr>
        <w:tc>
          <w:tcPr>
            <w:tcW w:type="dxa" w:w="24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4" w:before="16"/>
            </w:pPr>
            <w:r>
              <w:rPr>
                <w:rFonts w:ascii="Arial" w:cs="Arial" w:eastAsia="Arial" w:hAnsi="Arial"/>
                <w:b/>
                <w:bCs/>
                <w:color w:val="1D9E75"/>
                <w:sz w:val="18"/>
                <w:szCs w:val="18"/>
              </w:rPr>
              <w:t xml:space="preserve">📡  Live dashboard</w:t>
            </w:r>
          </w:p>
          <w:p>
            <w:pPr>
              <w:spacing w:after="16" w:before="4"/>
            </w:pPr>
            <w:r>
              <w:rPr>
                <w:rFonts w:ascii="Courier New" w:cs="Courier New" w:eastAsia="Courier New" w:hAnsi="Courier New"/>
                <w:color w:val="0c2d4a"/>
                <w:sz w:val="16"/>
                <w:szCs w:val="16"/>
              </w:rPr>
              <w:t xml:space="preserve">/live/:token</w:t>
            </w:r>
          </w:p>
        </w:tc>
        <w:tc>
          <w:tcPr>
            <w:tcW w:type="dxa" w:w="22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sb0cin_j48conlhc949oo">
              <w:r>
                <w:rPr>
                  <w:rStyle w:val="Hyperlink"/>
                  <w:rFonts w:ascii="Arial" w:cs="Arial" w:eastAsia="Arial" w:hAnsi="Arial"/>
                  <w:color w:val="1246E8"/>
                  <w:sz w:val="20"/>
                  <w:szCs w:val="20"/>
                  <w:u w:val="single"/>
                </w:rPr>
                <w:t xml:space="preserve">View demo →</w:t>
              </w:r>
            </w:hyperlink>
          </w:p>
        </w:tc>
        <w:tc>
          <w:tcPr>
            <w:tcW w:type="dxa" w:w="47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5 tabs: Live Feed (streaming transcript), Sentiment (real-time gauges), Compliance (live flags), Q&amp;A (approved questions), AI Summary (rolling). Floating 💬 chat to operator. Lumi branded.</w:t>
            </w:r>
          </w:p>
        </w:tc>
      </w:tr>
      <w:tr>
        <w:tc>
          <w:tcPr>
            <w:tcW w:type="dxa" w:w="2400"/>
            <w:tcBorders>
              <w:top w:val="single" w:color="dde0e8" w:sz="4"/>
              <w:left w:val="single" w:color="dde0e8" w:sz="4"/>
              <w:bottom w:val="single" w:color="dde0e8" w:sz="4"/>
              <w:right w:val="single" w:color="dde0e8" w:sz="4"/>
            </w:tcBorders>
            <w:shd w:fill="eff6ff" w:val="clear"/>
            <w:tcMar>
              <w:top w:type="dxa" w:w="80"/>
              <w:left w:type="dxa" w:w="120"/>
              <w:bottom w:type="dxa" w:w="80"/>
              <w:right w:type="dxa" w:w="120"/>
            </w:tcMar>
          </w:tcPr>
          <w:p>
            <w:pPr>
              <w:spacing w:after="4" w:before="16"/>
            </w:pPr>
            <w:r>
              <w:rPr>
                <w:rFonts w:ascii="Arial" w:cs="Arial" w:eastAsia="Arial" w:hAnsi="Arial"/>
                <w:b/>
                <w:bCs/>
                <w:color w:val="1246E8"/>
                <w:sz w:val="18"/>
                <w:szCs w:val="18"/>
              </w:rPr>
              <w:t xml:space="preserve">📊  Post-event report</w:t>
            </w:r>
          </w:p>
          <w:p>
            <w:pPr>
              <w:spacing w:after="16" w:before="4"/>
            </w:pPr>
            <w:r>
              <w:rPr>
                <w:rFonts w:ascii="Courier New" w:cs="Courier New" w:eastAsia="Courier New" w:hAnsi="Courier New"/>
                <w:color w:val="0c2d4a"/>
                <w:sz w:val="16"/>
                <w:szCs w:val="16"/>
              </w:rPr>
              <w:t xml:space="preserve">/report/:token</w:t>
            </w:r>
          </w:p>
        </w:tc>
        <w:tc>
          <w:tcPr>
            <w:tcW w:type="dxa" w:w="2200"/>
            <w:tcBorders>
              <w:top w:val="single" w:color="dde0e8" w:sz="4"/>
              <w:left w:val="single" w:color="dde0e8" w:sz="4"/>
              <w:bottom w:val="single" w:color="dde0e8" w:sz="4"/>
              <w:right w:val="single" w:color="dde0e8" w:sz="4"/>
            </w:tcBorders>
            <w:shd w:fill="eff6ff" w:val="clear"/>
            <w:tcMar>
              <w:top w:type="dxa" w:w="80"/>
              <w:left w:type="dxa" w:w="120"/>
              <w:bottom w:type="dxa" w:w="80"/>
              <w:right w:type="dxa" w:w="120"/>
            </w:tcMar>
          </w:tcPr>
          <w:p>
            <w:pPr>
              <w:spacing w:after="20" w:before="20"/>
            </w:pPr>
            <w:hyperlink w:history="1" r:id="rIdrgevu-14jmvnctla79nkk">
              <w:r>
                <w:rPr>
                  <w:rStyle w:val="Hyperlink"/>
                  <w:rFonts w:ascii="Arial" w:cs="Arial" w:eastAsia="Arial" w:hAnsi="Arial"/>
                  <w:color w:val="1246E8"/>
                  <w:sz w:val="20"/>
                  <w:szCs w:val="20"/>
                  <w:u w:val="single"/>
                </w:rPr>
                <w:t xml:space="preserve">View demo →</w:t>
              </w:r>
            </w:hyperlink>
          </w:p>
        </w:tc>
        <w:tc>
          <w:tcPr>
            <w:tcW w:type="dxa" w:w="4760"/>
            <w:tcBorders>
              <w:top w:val="single" w:color="dde0e8" w:sz="4"/>
              <w:left w:val="single" w:color="dde0e8" w:sz="4"/>
              <w:bottom w:val="single" w:color="dde0e8" w:sz="4"/>
              <w:right w:val="single" w:color="dde0e8" w:sz="4"/>
            </w:tcBorders>
            <w:shd w:fill="eff6ff" w:val="clear"/>
            <w:tcMar>
              <w:top w:type="dxa" w:w="80"/>
              <w:left w:type="dxa" w:w="120"/>
              <w:bottom w:type="dxa" w:w="80"/>
              <w:right w:type="dxa" w:w="120"/>
            </w:tcMar>
          </w:tcPr>
          <w:p>
            <w:pPr>
              <w:spacing w:after="20" w:before="20"/>
            </w:pPr>
            <w:r>
              <w:rPr>
                <w:rFonts w:ascii="Arial" w:cs="Arial" w:eastAsia="Arial" w:hAnsi="Arial"/>
                <w:sz w:val="18"/>
                <w:szCs w:val="18"/>
              </w:rPr>
              <w:t xml:space="preserve">10 tabs: Executive Summary, Financial Metrics, Compliance Flags, Management Tone, Q&amp;A Log, Full Transcript, Action Items, Social Media Pack, SENS/RNS Draft, Blockchain Certificate.</w:t>
            </w:r>
          </w:p>
        </w:tc>
      </w:tr>
      <w:tr>
        <w:tc>
          <w:tcPr>
            <w:tcW w:type="dxa" w:w="24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4" w:before="16"/>
            </w:pPr>
            <w:r>
              <w:rPr>
                <w:rFonts w:ascii="Arial" w:cs="Arial" w:eastAsia="Arial" w:hAnsi="Arial"/>
                <w:b/>
                <w:bCs/>
                <w:color w:val="BA7517"/>
                <w:sz w:val="18"/>
                <w:szCs w:val="18"/>
              </w:rPr>
              <w:t xml:space="preserve">🎙  Presenter screen</w:t>
            </w:r>
          </w:p>
          <w:p>
            <w:pPr>
              <w:spacing w:after="16" w:before="4"/>
            </w:pPr>
            <w:r>
              <w:rPr>
                <w:rFonts w:ascii="Courier New" w:cs="Courier New" w:eastAsia="Courier New" w:hAnsi="Courier New"/>
                <w:color w:val="0c2d4a"/>
                <w:sz w:val="16"/>
                <w:szCs w:val="16"/>
              </w:rPr>
              <w:t xml:space="preserve">/presenter/:token</w:t>
            </w:r>
          </w:p>
        </w:tc>
        <w:tc>
          <w:tcPr>
            <w:tcW w:type="dxa" w:w="22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hyperlink w:history="1" r:id="rIdzsmbmezrj-mjfhrlk8izj">
              <w:r>
                <w:rPr>
                  <w:rStyle w:val="Hyperlink"/>
                  <w:rFonts w:ascii="Arial" w:cs="Arial" w:eastAsia="Arial" w:hAnsi="Arial"/>
                  <w:color w:val="1246E8"/>
                  <w:sz w:val="20"/>
                  <w:szCs w:val="20"/>
                  <w:u w:val="single"/>
                </w:rPr>
                <w:t xml:space="preserve">View demo →</w:t>
              </w:r>
            </w:hyperlink>
          </w:p>
        </w:tc>
        <w:tc>
          <w:tcPr>
            <w:tcW w:type="dxa" w:w="476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sz w:val="18"/>
                <w:szCs w:val="18"/>
              </w:rPr>
              <w:t xml:space="preserve">Full-screen display for the CFO/CEO during the event. Shows the active approved question in large text, AI suggested talking points (toggle to show), and 3 questions queued up next.</w:t>
            </w:r>
          </w:p>
        </w:tc>
      </w:tr>
    </w:tbl>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291A" w:sz="6"/>
              <w:left w:val="single" w:color="C0291A" w:sz="6"/>
              <w:bottom w:val="single" w:color="C0291A" w:sz="6"/>
              <w:right w:val="single" w:color="C0291A" w:sz="6"/>
            </w:tcBorders>
            <w:shd w:fill="fef0ee" w:val="clear"/>
            <w:tcMar>
              <w:top w:type="dxa" w:w="80"/>
              <w:left w:type="dxa" w:w="160"/>
              <w:bottom w:type="dxa" w:w="80"/>
              <w:right w:type="dxa" w:w="160"/>
            </w:tcMar>
          </w:tcPr>
          <w:p>
            <w:pPr>
              <w:spacing w:after="20" w:before="20"/>
            </w:pPr>
            <w:r>
              <w:rPr>
                <w:rFonts w:ascii="Arial" w:cs="Arial" w:eastAsia="Arial" w:hAnsi="Arial"/>
                <w:b/>
                <w:bCs/>
                <w:color w:val="C0291A"/>
                <w:sz w:val="18"/>
                <w:szCs w:val="18"/>
              </w:rPr>
              <w:t xml:space="preserve">⚡  Before your demo:  </w:t>
            </w:r>
            <w:r>
              <w:rPr>
                <w:rFonts w:ascii="Arial" w:cs="Arial" w:eastAsia="Arial" w:hAnsi="Arial"/>
                <w:color w:val="C0291A"/>
                <w:sz w:val="18"/>
                <w:szCs w:val="18"/>
              </w:rPr>
              <w:t xml:space="preserve">Ask Replit to generate demo tokens pointing at a real completed session. These links open empty pages until real tokens are generated.</w:t>
            </w:r>
          </w:p>
        </w:tc>
      </w:tr>
    </w:tbl>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1.4  Intelligence Tiers — What Each Client Gets</w:t>
      </w:r>
    </w:p>
    <w:p>
      <w:pPr>
        <w:spacing w:after="80" w:before="40"/>
      </w:pPr>
      <w:r>
        <w:rPr>
          <w:rFonts w:ascii="Arial" w:cs="Arial" w:eastAsia="Arial" w:hAnsi="Arial"/>
          <w:sz w:val="20"/>
          <w:szCs w:val="20"/>
        </w:rPr>
        <w:t xml:space="preserve">The operator selects the tier when creating a session. It controls what the client sees live and what report modules run. Four tiers.</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c>
          <w:tcPr>
            <w:tcW w:type="dxa" w:w="15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Tier</w:t>
            </w:r>
          </w:p>
        </w:tc>
        <w:tc>
          <w:tcPr>
            <w:tcW w:type="dxa" w:w="20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Pricing</w:t>
            </w:r>
          </w:p>
        </w:tc>
        <w:tc>
          <w:tcPr>
            <w:tcW w:type="dxa" w:w="30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Live dashboard</w:t>
            </w:r>
          </w:p>
        </w:tc>
        <w:tc>
          <w:tcPr>
            <w:tcW w:type="dxa" w:w="28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Post-event report</w:t>
            </w:r>
          </w:p>
        </w:tc>
      </w:tr>
      <w:tr>
        <w:tc>
          <w:tcPr>
            <w:tcW w:type="dxa" w:w="15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sz w:val="18"/>
                <w:szCs w:val="18"/>
              </w:rPr>
              <w:t xml:space="preserve">Essential</w:t>
            </w:r>
          </w:p>
        </w:tc>
        <w:tc>
          <w:tcPr>
            <w:tcW w:type="dxa" w:w="20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Per event</w:t>
            </w:r>
          </w:p>
        </w:tc>
        <w:tc>
          <w:tcPr>
            <w:tcW w:type="dxa" w:w="30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Transcript · 4 sentiment metrics · Compliance flags · AI summary · Q&amp;A queue</w:t>
            </w:r>
          </w:p>
        </w:tc>
        <w:tc>
          <w:tcPr>
            <w:tcW w:type="dxa" w:w="28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5 core AI modules + disclosure certificate</w:t>
            </w:r>
          </w:p>
        </w:tc>
      </w:tr>
      <w:tr>
        <w:tc>
          <w:tcPr>
            <w:tcW w:type="dxa" w:w="15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b/>
                <w:bCs/>
                <w:color w:val="1D9E75"/>
                <w:sz w:val="18"/>
                <w:szCs w:val="18"/>
              </w:rPr>
              <w:t xml:space="preserve">Intelligence</w:t>
            </w:r>
          </w:p>
        </w:tc>
        <w:tc>
          <w:tcPr>
            <w:tcW w:type="dxa" w:w="20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Per event or retainer</w:t>
            </w:r>
          </w:p>
        </w:tc>
        <w:tc>
          <w:tcPr>
            <w:tcW w:type="dxa" w:w="30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All Essential + Speaker scorecards · Evasion index · Crisis prediction oracle · Valuation impact oracle · M&amp;A signal detector</w:t>
            </w:r>
          </w:p>
        </w:tc>
        <w:tc>
          <w:tcPr>
            <w:tcW w:type="dxa" w:w="28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Full 20 AI modules + SENS/RNS draft + social media pack + speaker scorecards</w:t>
            </w:r>
          </w:p>
        </w:tc>
      </w:tr>
      <w:tr>
        <w:tc>
          <w:tcPr>
            <w:tcW w:type="dxa" w:w="1500"/>
            <w:tcBorders>
              <w:top w:val="single" w:color="dde0e8" w:sz="4"/>
              <w:left w:val="single" w:color="dde0e8" w:sz="4"/>
              <w:bottom w:val="single" w:color="dde0e8" w:sz="4"/>
              <w:right w:val="single" w:color="dde0e8" w:sz="4"/>
            </w:tcBorders>
            <w:shd w:fill="fdf8e8" w:val="clear"/>
            <w:tcMar>
              <w:top w:type="dxa" w:w="80"/>
              <w:left w:type="dxa" w:w="120"/>
              <w:bottom w:type="dxa" w:w="80"/>
              <w:right w:type="dxa" w:w="120"/>
            </w:tcMar>
          </w:tcPr>
          <w:p>
            <w:pPr>
              <w:spacing w:after="20" w:before="20"/>
            </w:pPr>
            <w:r>
              <w:rPr>
                <w:rFonts w:ascii="Arial" w:cs="Arial" w:eastAsia="Arial" w:hAnsi="Arial"/>
                <w:b/>
                <w:bCs/>
                <w:color w:val="b8860b"/>
                <w:sz w:val="18"/>
                <w:szCs w:val="18"/>
              </w:rPr>
              <w:t xml:space="preserve">Enterprise</w:t>
            </w:r>
          </w:p>
        </w:tc>
        <w:tc>
          <w:tcPr>
            <w:tcW w:type="dxa" w:w="2000"/>
            <w:tcBorders>
              <w:top w:val="single" w:color="dde0e8" w:sz="4"/>
              <w:left w:val="single" w:color="dde0e8" w:sz="4"/>
              <w:bottom w:val="single" w:color="dde0e8" w:sz="4"/>
              <w:right w:val="single" w:color="dde0e8" w:sz="4"/>
            </w:tcBorders>
            <w:shd w:fill="fdf8e8" w:val="clear"/>
            <w:tcMar>
              <w:top w:type="dxa" w:w="80"/>
              <w:left w:type="dxa" w:w="120"/>
              <w:bottom w:type="dxa" w:w="80"/>
              <w:right w:type="dxa" w:w="120"/>
            </w:tcMar>
          </w:tcPr>
          <w:p>
            <w:pPr>
              <w:spacing w:after="20" w:before="20"/>
            </w:pPr>
            <w:r>
              <w:rPr>
                <w:rFonts w:ascii="Arial" w:cs="Arial" w:eastAsia="Arial" w:hAnsi="Arial"/>
                <w:sz w:val="18"/>
                <w:szCs w:val="18"/>
              </w:rPr>
              <w:t xml:space="preserve">Annual licence</w:t>
            </w:r>
          </w:p>
        </w:tc>
        <w:tc>
          <w:tcPr>
            <w:tcW w:type="dxa" w:w="3000"/>
            <w:tcBorders>
              <w:top w:val="single" w:color="dde0e8" w:sz="4"/>
              <w:left w:val="single" w:color="dde0e8" w:sz="4"/>
              <w:bottom w:val="single" w:color="dde0e8" w:sz="4"/>
              <w:right w:val="single" w:color="dde0e8" w:sz="4"/>
            </w:tcBorders>
            <w:shd w:fill="fdf8e8" w:val="clear"/>
            <w:tcMar>
              <w:top w:type="dxa" w:w="80"/>
              <w:left w:type="dxa" w:w="120"/>
              <w:bottom w:type="dxa" w:w="80"/>
              <w:right w:type="dxa" w:w="120"/>
            </w:tcMar>
          </w:tcPr>
          <w:p>
            <w:pPr>
              <w:spacing w:after="20" w:before="20"/>
            </w:pPr>
            <w:r>
              <w:rPr>
                <w:rFonts w:ascii="Arial" w:cs="Arial" w:eastAsia="Arial" w:hAnsi="Arial"/>
                <w:sz w:val="18"/>
                <w:szCs w:val="18"/>
              </w:rPr>
              <w:t xml:space="preserve">All Intelligence + Cross-event benchmarking vs prior quarters · Analyst identity + history · Briefing accuracy tracker · Board commitment monitor</w:t>
            </w:r>
          </w:p>
        </w:tc>
        <w:tc>
          <w:tcPr>
            <w:tcW w:type="dxa" w:w="2860"/>
            <w:tcBorders>
              <w:top w:val="single" w:color="dde0e8" w:sz="4"/>
              <w:left w:val="single" w:color="dde0e8" w:sz="4"/>
              <w:bottom w:val="single" w:color="dde0e8" w:sz="4"/>
              <w:right w:val="single" w:color="dde0e8" w:sz="4"/>
            </w:tcBorders>
            <w:shd w:fill="fdf8e8" w:val="clear"/>
            <w:tcMar>
              <w:top w:type="dxa" w:w="80"/>
              <w:left w:type="dxa" w:w="120"/>
              <w:bottom w:type="dxa" w:w="80"/>
              <w:right w:type="dxa" w:w="120"/>
            </w:tcMar>
          </w:tcPr>
          <w:p>
            <w:pPr>
              <w:spacing w:after="20" w:before="20"/>
            </w:pPr>
            <w:r>
              <w:rPr>
                <w:rFonts w:ascii="Arial" w:cs="Arial" w:eastAsia="Arial" w:hAnsi="Arial"/>
                <w:sz w:val="18"/>
                <w:szCs w:val="18"/>
              </w:rPr>
              <w:t xml:space="preserve">All 20 modules + Board Intelligence + RBAC + white label + cross-event benchmarks</w:t>
            </w:r>
          </w:p>
        </w:tc>
      </w:tr>
      <w:tr>
        <w:tc>
          <w:tcPr>
            <w:tcW w:type="dxa" w:w="1500"/>
            <w:tcBorders>
              <w:top w:val="single" w:color="dde0e8" w:sz="4"/>
              <w:left w:val="single" w:color="dde0e8" w:sz="4"/>
              <w:bottom w:val="single" w:color="dde0e8" w:sz="4"/>
              <w:right w:val="single" w:color="dde0e8" w:sz="4"/>
            </w:tcBorders>
            <w:shd w:fill="f0eeff" w:val="clear"/>
            <w:tcMar>
              <w:top w:type="dxa" w:w="80"/>
              <w:left w:type="dxa" w:w="120"/>
              <w:bottom w:type="dxa" w:w="80"/>
              <w:right w:type="dxa" w:w="120"/>
            </w:tcMar>
          </w:tcPr>
          <w:p>
            <w:pPr>
              <w:spacing w:after="20" w:before="20"/>
            </w:pPr>
            <w:r>
              <w:rPr>
                <w:rFonts w:ascii="Arial" w:cs="Arial" w:eastAsia="Arial" w:hAnsi="Arial"/>
                <w:b/>
                <w:bCs/>
                <w:color w:val="534AB7"/>
                <w:sz w:val="18"/>
                <w:szCs w:val="18"/>
              </w:rPr>
              <w:t xml:space="preserve">AGM</w:t>
            </w:r>
          </w:p>
        </w:tc>
        <w:tc>
          <w:tcPr>
            <w:tcW w:type="dxa" w:w="2000"/>
            <w:tcBorders>
              <w:top w:val="single" w:color="dde0e8" w:sz="4"/>
              <w:left w:val="single" w:color="dde0e8" w:sz="4"/>
              <w:bottom w:val="single" w:color="dde0e8" w:sz="4"/>
              <w:right w:val="single" w:color="dde0e8" w:sz="4"/>
            </w:tcBorders>
            <w:shd w:fill="f0eeff" w:val="clear"/>
            <w:tcMar>
              <w:top w:type="dxa" w:w="80"/>
              <w:left w:type="dxa" w:w="120"/>
              <w:bottom w:type="dxa" w:w="80"/>
              <w:right w:type="dxa" w:w="120"/>
            </w:tcMar>
          </w:tcPr>
          <w:p>
            <w:pPr>
              <w:spacing w:after="20" w:before="20"/>
            </w:pPr>
            <w:r>
              <w:rPr>
                <w:rFonts w:ascii="Arial" w:cs="Arial" w:eastAsia="Arial" w:hAnsi="Arial"/>
                <w:sz w:val="18"/>
                <w:szCs w:val="18"/>
              </w:rPr>
              <w:t xml:space="preserve">Per AGM event
(Enterprise add-on)</w:t>
            </w:r>
          </w:p>
        </w:tc>
        <w:tc>
          <w:tcPr>
            <w:tcW w:type="dxa" w:w="3000"/>
            <w:tcBorders>
              <w:top w:val="single" w:color="dde0e8" w:sz="4"/>
              <w:left w:val="single" w:color="dde0e8" w:sz="4"/>
              <w:bottom w:val="single" w:color="dde0e8" w:sz="4"/>
              <w:right w:val="single" w:color="dde0e8" w:sz="4"/>
            </w:tcBorders>
            <w:shd w:fill="f0eeff" w:val="clear"/>
            <w:tcMar>
              <w:top w:type="dxa" w:w="80"/>
              <w:left w:type="dxa" w:w="120"/>
              <w:bottom w:type="dxa" w:w="80"/>
              <w:right w:type="dxa" w:w="120"/>
            </w:tcMar>
          </w:tcPr>
          <w:p>
            <w:pPr>
              <w:spacing w:after="20" w:before="20"/>
            </w:pPr>
            <w:r>
              <w:rPr>
                <w:rFonts w:ascii="Arial" w:cs="Arial" w:eastAsia="Arial" w:hAnsi="Arial"/>
                <w:sz w:val="18"/>
                <w:szCs w:val="18"/>
              </w:rPr>
              <w:t xml:space="preserve">All Enterprise + Resolution tracking · Shareholder dissent analysis · Activist language detection · Proxy advisor monitoring (ISS, Glass Lewis, Hermes)</w:t>
            </w:r>
          </w:p>
        </w:tc>
        <w:tc>
          <w:tcPr>
            <w:tcW w:type="dxa" w:w="2860"/>
            <w:tcBorders>
              <w:top w:val="single" w:color="dde0e8" w:sz="4"/>
              <w:left w:val="single" w:color="dde0e8" w:sz="4"/>
              <w:bottom w:val="single" w:color="dde0e8" w:sz="4"/>
              <w:right w:val="single" w:color="dde0e8" w:sz="4"/>
            </w:tcBorders>
            <w:shd w:fill="f0eeff" w:val="clear"/>
            <w:tcMar>
              <w:top w:type="dxa" w:w="80"/>
              <w:left w:type="dxa" w:w="120"/>
              <w:bottom w:type="dxa" w:w="80"/>
              <w:right w:type="dxa" w:w="120"/>
            </w:tcMar>
          </w:tcPr>
          <w:p>
            <w:pPr>
              <w:spacing w:after="20" w:before="20"/>
            </w:pPr>
            <w:r>
              <w:rPr>
                <w:rFonts w:ascii="Arial" w:cs="Arial" w:eastAsia="Arial" w:hAnsi="Arial"/>
                <w:sz w:val="18"/>
                <w:szCs w:val="18"/>
              </w:rPr>
              <w:t xml:space="preserve">All 20 modules + post-AGM dissent report + resolution-by-resolution analysis + governance scoring</w:t>
            </w:r>
          </w:p>
        </w:tc>
      </w:tr>
    </w:tbl>
    <w:p>
      <w:pPr>
        <w:spacing w:after="20" w:before="0"/>
      </w:pPr>
      <w:r>
        <w:rPr>
          <w:rFonts w:ascii="Arial" w:cs="Arial" w:eastAsia="Arial" w:hAnsi="Arial"/>
        </w:rPr>
        <w:t xml:space="preserve"> </w:t>
      </w:r>
    </w:p>
    <w:p>
      <w:r>
        <w:r>
          <w:br w:type="page"/>
        </w:r>
      </w:r>
    </w:p>
    <w:p>
      <w:pPr>
        <w:pStyle w:val="Heading1"/>
        <w:pBdr>
          <w:bottom w:val="single" w:color="1D9E75" w:sz="14" w:space="4"/>
        </w:pBdr>
        <w:spacing w:after="120" w:before="360"/>
      </w:pPr>
      <w:r>
        <w:rPr>
          <w:rFonts w:ascii="Arial" w:cs="Arial" w:eastAsia="Arial" w:hAnsi="Arial"/>
          <w:b/>
          <w:bCs/>
          <w:color w:val="0A2540"/>
          <w:sz w:val="38"/>
          <w:szCs w:val="38"/>
        </w:rPr>
        <w:t xml:space="preserve">Section 2 — How Everything Works, End to End</w:t>
      </w:r>
    </w:p>
    <w:p>
      <w:pPr>
        <w:spacing w:after="80" w:before="40"/>
      </w:pPr>
      <w:r>
        <w:rPr>
          <w:rFonts w:ascii="Arial" w:cs="Arial" w:eastAsia="Arial" w:hAnsi="Arial"/>
          <w:sz w:val="20"/>
          <w:szCs w:val="20"/>
        </w:rPr>
        <w:t xml:space="preserve">The complete lifecycle of one event — from booking to report delivery. The platform handles steps 6, 7, 17, 18, 19, 20, 21 and 22 automatically. No manual work.</w:t>
      </w:r>
    </w:p>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Phase 1 — Before the Event (You)</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600"/>
        <w:gridCol w:w="3860"/>
        <w:gridCol w:w="2460"/>
      </w:tblGrid>
      <w:tr>
        <w:tc>
          <w:tcPr>
            <w:tcW w:type="dxa" w:w="44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t>
            </w:r>
          </w:p>
        </w:tc>
        <w:tc>
          <w:tcPr>
            <w:tcW w:type="dxa" w:w="26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You do this</w:t>
            </w:r>
          </w:p>
        </w:tc>
        <w:tc>
          <w:tcPr>
            <w:tcW w:type="dxa" w:w="38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What happens</w:t>
            </w:r>
          </w:p>
        </w:tc>
        <w:tc>
          <w:tcPr>
            <w:tcW w:type="dxa" w:w="24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Where</w:t>
            </w:r>
          </w:p>
        </w:tc>
      </w:tr>
      <w:tr>
        <w:tc>
          <w:tcPr>
            <w:tcW w:type="dxa" w:w="44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b/>
                <w:bCs/>
                <w:color w:val="1D9E75"/>
                <w:sz w:val="18"/>
                <w:szCs w:val="18"/>
              </w:rPr>
              <w:t xml:space="preserve">1</w:t>
            </w:r>
          </w:p>
        </w:tc>
        <w:tc>
          <w:tcPr>
            <w:tcW w:type="dxa" w:w="26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Create or schedule the session</w:t>
            </w:r>
          </w:p>
        </w:tc>
        <w:tc>
          <w:tcPr>
            <w:tcW w:type="dxa" w:w="38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Set company name, event type (earnings call / AGM / investor briefing / roadshow), date, time, meeting URL.</w:t>
            </w:r>
          </w:p>
        </w:tc>
        <w:tc>
          <w:tcPr>
            <w:tcW w:type="dxa" w:w="24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v1e0da0z7v1b8ozqi448l">
              <w:r>
                <w:rPr>
                  <w:rStyle w:val="Hyperlink"/>
                  <w:rFonts w:ascii="Arial" w:cs="Arial" w:eastAsia="Arial" w:hAnsi="Arial"/>
                  <w:color w:val="1246E8"/>
                  <w:sz w:val="20"/>
                  <w:szCs w:val="20"/>
                  <w:u w:val="single"/>
                </w:rPr>
                <w:t xml:space="preserve">Events tab →</w:t>
              </w:r>
            </w:hyperlink>
          </w:p>
        </w:tc>
      </w:tr>
      <w:tr>
        <w:tc>
          <w:tcPr>
            <w:tcW w:type="dxa" w:w="44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2</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Select intelligence tier</w:t>
            </w:r>
          </w:p>
        </w:tc>
        <w:tc>
          <w:tcPr>
            <w:tcW w:type="dxa" w:w="38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Essential / Intelligence / Enterprise / AGM. This determines what the client sees live and what AI modules run on report generation.</w:t>
            </w:r>
          </w:p>
        </w:tc>
        <w:tc>
          <w:tcPr>
            <w:tcW w:type="dxa" w:w="24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Session Setup panel</w:t>
            </w:r>
          </w:p>
        </w:tc>
      </w:tr>
      <w:tr>
        <w:tc>
          <w:tcPr>
            <w:tcW w:type="dxa" w:w="44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sz w:val="18"/>
                <w:szCs w:val="18"/>
              </w:rPr>
              <w:t xml:space="preserve">3</w:t>
            </w:r>
          </w:p>
        </w:tc>
        <w:tc>
          <w:tcPr>
            <w:tcW w:type="dxa" w:w="2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Add client recipients</w:t>
            </w:r>
          </w:p>
        </w:tc>
        <w:tc>
          <w:tcPr>
            <w:tcW w:type="dxa" w:w="38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Name, email, role (IR Manager, CFO, Compliance Officer). Toggle: live link, report, or both. Each person gets a unique personal token.</w:t>
            </w:r>
          </w:p>
        </w:tc>
        <w:tc>
          <w:tcPr>
            <w:tcW w:type="dxa" w:w="24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Session Setup → Recipients</w:t>
            </w:r>
          </w:p>
        </w:tc>
      </w:tr>
      <w:tr>
        <w:tc>
          <w:tcPr>
            <w:tcW w:type="dxa" w:w="44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4</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Select partner (if Lumi or Bastion event)</w:t>
            </w:r>
          </w:p>
        </w:tc>
        <w:tc>
          <w:tcPr>
            <w:tcW w:type="dxa" w:w="38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Tag as Lumi or Bastion. All client emails and links automatically use their branding and domain. No extra setup required per event.</w:t>
            </w:r>
          </w:p>
        </w:tc>
        <w:tc>
          <w:tcPr>
            <w:tcW w:type="dxa" w:w="24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Session Setup → Partner</w:t>
            </w:r>
          </w:p>
        </w:tc>
      </w:tr>
      <w:tr>
        <w:tc>
          <w:tcPr>
            <w:tcW w:type="dxa" w:w="44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sz w:val="18"/>
                <w:szCs w:val="18"/>
              </w:rPr>
              <w:t xml:space="preserve">5</w:t>
            </w:r>
          </w:p>
        </w:tc>
        <w:tc>
          <w:tcPr>
            <w:tcW w:type="dxa" w:w="2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Run readiness check</w:t>
            </w:r>
          </w:p>
        </w:tc>
        <w:tc>
          <w:tcPr>
            <w:tcW w:type="dxa" w:w="38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Platform validates: DB connected · Recall.ai ready · Ably live · OpenAI reachable · Recipients configured · Tier set. 5 green ticks = good to go.</w:t>
            </w:r>
          </w:p>
        </w:tc>
        <w:tc>
          <w:tcPr>
            <w:tcW w:type="dxa" w:w="24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Session Setup → Readiness</w:t>
            </w:r>
          </w:p>
        </w:tc>
      </w:tr>
      <w:tr>
        <w:tc>
          <w:tcPr>
            <w:tcW w:type="dxa" w:w="440"/>
            <w:tcBorders>
              <w:top w:val="single" w:color="dde0e8" w:sz="4"/>
              <w:left w:val="single" w:color="dde0e8" w:sz="4"/>
              <w:bottom w:val="single" w:color="dde0e8" w:sz="4"/>
              <w:right w:val="single" w:color="dde0e8" w:sz="4"/>
            </w:tcBorders>
            <w:shd w:fill="e8f7ef" w:val="clear"/>
            <w:tcMar>
              <w:top w:type="dxa" w:w="80"/>
              <w:left w:type="dxa" w:w="120"/>
              <w:bottom w:type="dxa" w:w="80"/>
              <w:right w:type="dxa" w:w="120"/>
            </w:tcMar>
          </w:tcPr>
          <w:p>
            <w:pPr>
              <w:spacing w:after="20" w:before="20"/>
            </w:pPr>
            <w:r>
              <w:rPr>
                <w:rFonts w:ascii="Arial" w:cs="Arial" w:eastAsia="Arial" w:hAnsi="Arial"/>
                <w:b/>
                <w:bCs/>
                <w:color w:val="137a3c"/>
                <w:sz w:val="18"/>
                <w:szCs w:val="18"/>
              </w:rPr>
              <w:t xml:space="preserve">6</w:t>
            </w:r>
          </w:p>
        </w:tc>
        <w:tc>
          <w:tcPr>
            <w:tcW w:type="dxa" w:w="2600"/>
            <w:tcBorders>
              <w:top w:val="single" w:color="dde0e8" w:sz="4"/>
              <w:left w:val="single" w:color="dde0e8" w:sz="4"/>
              <w:bottom w:val="single" w:color="dde0e8" w:sz="4"/>
              <w:right w:val="single" w:color="dde0e8" w:sz="4"/>
            </w:tcBorders>
            <w:shd w:fill="e8f7ef" w:val="clear"/>
            <w:tcMar>
              <w:top w:type="dxa" w:w="80"/>
              <w:left w:type="dxa" w:w="120"/>
              <w:bottom w:type="dxa" w:w="80"/>
              <w:right w:type="dxa" w:w="120"/>
            </w:tcMar>
          </w:tcPr>
          <w:p>
            <w:pPr>
              <w:spacing w:after="20" w:before="20"/>
            </w:pPr>
            <w:r>
              <w:rPr>
                <w:rFonts w:ascii="Arial" w:cs="Arial" w:eastAsia="Arial" w:hAnsi="Arial"/>
                <w:sz w:val="18"/>
                <w:szCs w:val="18"/>
              </w:rPr>
              <w:t xml:space="preserve">Pre-event briefing auto-sends ✓</w:t>
            </w:r>
          </w:p>
        </w:tc>
        <w:tc>
          <w:tcPr>
            <w:tcW w:type="dxa" w:w="3860"/>
            <w:tcBorders>
              <w:top w:val="single" w:color="dde0e8" w:sz="4"/>
              <w:left w:val="single" w:color="dde0e8" w:sz="4"/>
              <w:bottom w:val="single" w:color="dde0e8" w:sz="4"/>
              <w:right w:val="single" w:color="dde0e8" w:sz="4"/>
            </w:tcBorders>
            <w:shd w:fill="e8f7ef" w:val="clear"/>
            <w:tcMar>
              <w:top w:type="dxa" w:w="80"/>
              <w:left w:type="dxa" w:w="120"/>
              <w:bottom w:type="dxa" w:w="80"/>
              <w:right w:type="dxa" w:w="120"/>
            </w:tcMar>
          </w:tcPr>
          <w:p>
            <w:pPr>
              <w:spacing w:after="20" w:before="20"/>
            </w:pPr>
            <w:r>
              <w:rPr>
                <w:rFonts w:ascii="Arial" w:cs="Arial" w:eastAsia="Arial" w:hAnsi="Arial"/>
                <w:sz w:val="18"/>
                <w:szCs w:val="18"/>
              </w:rPr>
              <w:t xml:space="preserve">Exactly 60 minutes before scheduled start, BriefingScheduler fires. Email from CuraLive (or Lumi) with analyst consensus, predicted Q&amp;A topics, compliance hotspots, readiness score.</w:t>
            </w:r>
          </w:p>
        </w:tc>
        <w:tc>
          <w:tcPr>
            <w:tcW w:type="dxa" w:w="2460"/>
            <w:tcBorders>
              <w:top w:val="single" w:color="dde0e8" w:sz="4"/>
              <w:left w:val="single" w:color="dde0e8" w:sz="4"/>
              <w:bottom w:val="single" w:color="dde0e8" w:sz="4"/>
              <w:right w:val="single" w:color="dde0e8" w:sz="4"/>
            </w:tcBorders>
            <w:shd w:fill="e8f7ef" w:val="clear"/>
            <w:tcMar>
              <w:top w:type="dxa" w:w="80"/>
              <w:left w:type="dxa" w:w="120"/>
              <w:bottom w:type="dxa" w:w="80"/>
              <w:right w:type="dxa" w:w="120"/>
            </w:tcMar>
          </w:tcPr>
          <w:p>
            <w:pPr>
              <w:spacing w:after="20" w:before="20"/>
            </w:pPr>
            <w:r>
              <w:rPr>
                <w:rFonts w:ascii="Arial" w:cs="Arial" w:eastAsia="Arial" w:hAnsi="Arial"/>
                <w:sz w:val="18"/>
                <w:szCs w:val="18"/>
              </w:rPr>
              <w:t xml:space="preserve">Automatic — no action</w:t>
            </w:r>
          </w:p>
        </w:tc>
      </w:tr>
    </w:tbl>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Phase 2 — During the Event</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600"/>
        <w:gridCol w:w="3860"/>
        <w:gridCol w:w="2460"/>
      </w:tblGrid>
      <w:tr>
        <w:tc>
          <w:tcPr>
            <w:tcW w:type="dxa" w:w="44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t>
            </w:r>
          </w:p>
        </w:tc>
        <w:tc>
          <w:tcPr>
            <w:tcW w:type="dxa" w:w="26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Event</w:t>
            </w:r>
          </w:p>
        </w:tc>
        <w:tc>
          <w:tcPr>
            <w:tcW w:type="dxa" w:w="38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What happens</w:t>
            </w:r>
          </w:p>
        </w:tc>
        <w:tc>
          <w:tcPr>
            <w:tcW w:type="dxa" w:w="24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Where</w:t>
            </w:r>
          </w:p>
        </w:tc>
      </w:tr>
      <w:tr>
        <w:tc>
          <w:tcPr>
            <w:tcW w:type="dxa" w:w="44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b/>
                <w:bCs/>
                <w:color w:val="C0291A"/>
                <w:sz w:val="18"/>
                <w:szCs w:val="18"/>
              </w:rPr>
              <w:t xml:space="preserve">7</w:t>
            </w:r>
          </w:p>
        </w:tc>
        <w:tc>
          <w:tcPr>
            <w:tcW w:type="dxa" w:w="26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sz w:val="18"/>
                <w:szCs w:val="18"/>
              </w:rPr>
              <w:t xml:space="preserve">Intelligence Agent joins ✓ Auto</w:t>
            </w:r>
          </w:p>
        </w:tc>
        <w:tc>
          <w:tcPr>
            <w:tcW w:type="dxa" w:w="386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sz w:val="18"/>
                <w:szCs w:val="18"/>
              </w:rPr>
              <w:t xml:space="preserve">Recall.ai bot joins Zoom/Teams/Meet silently via the meeting link — like a human participant. Call host sees "CuraLive Intelligence Agent." Nothing else changes for the meeting.</w:t>
            </w:r>
          </w:p>
        </w:tc>
        <w:tc>
          <w:tcPr>
            <w:tcW w:type="dxa" w:w="246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sz w:val="18"/>
                <w:szCs w:val="18"/>
              </w:rPr>
              <w:t xml:space="preserve">Automatic on session start</w:t>
            </w:r>
          </w:p>
        </w:tc>
      </w:tr>
      <w:tr>
        <w:tc>
          <w:tcPr>
            <w:tcW w:type="dxa" w:w="44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8</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Live links sent to recipients ✓ Auto</w:t>
            </w:r>
          </w:p>
        </w:tc>
        <w:tc>
          <w:tcPr>
            <w:tcW w:type="dxa" w:w="38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ClientDeliveryService sends branded emails to all recipients. Email from CuraLive or Lumi domain. Contains unique /live/:token link.</w:t>
            </w:r>
          </w:p>
        </w:tc>
        <w:tc>
          <w:tcPr>
            <w:tcW w:type="dxa" w:w="24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Automatic on go-live</w:t>
            </w:r>
          </w:p>
        </w:tc>
      </w:tr>
      <w:tr>
        <w:tc>
          <w:tcPr>
            <w:tcW w:type="dxa" w:w="44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sz w:val="18"/>
                <w:szCs w:val="18"/>
              </w:rPr>
              <w:t xml:space="preserve">9</w:t>
            </w:r>
          </w:p>
        </w:tc>
        <w:tc>
          <w:tcPr>
            <w:tcW w:type="dxa" w:w="2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Operator watches live transcript</w:t>
            </w:r>
          </w:p>
        </w:tc>
        <w:tc>
          <w:tcPr>
            <w:tcW w:type="dxa" w:w="38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Every word transcribed in real time, speaker-labelled, streamed via Ably. Compliance flags fire automatically as AI detects forward guidance, M&amp;A language, selective disclosure.</w:t>
            </w:r>
          </w:p>
        </w:tc>
        <w:tc>
          <w:tcPr>
            <w:tcW w:type="dxa" w:w="24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byfhd1pj4ak1kinpmmeg0">
              <w:r>
                <w:rPr>
                  <w:rStyle w:val="Hyperlink"/>
                  <w:rFonts w:ascii="Arial" w:cs="Arial" w:eastAsia="Arial" w:hAnsi="Arial"/>
                  <w:color w:val="1246E8"/>
                  <w:sz w:val="20"/>
                  <w:szCs w:val="20"/>
                  <w:u w:val="single"/>
                </w:rPr>
                <w:t xml:space="preserve">Shadow Mode →</w:t>
              </w:r>
            </w:hyperlink>
          </w:p>
        </w:tc>
      </w:tr>
      <w:tr>
        <w:tc>
          <w:tcPr>
            <w:tcW w:type="dxa" w:w="44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10</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Client watches branded dashboard</w:t>
            </w:r>
          </w:p>
        </w:tc>
        <w:tc>
          <w:tcPr>
            <w:tcW w:type="dxa" w:w="38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Client opens /live/:token. Sees 5 tabs in CuraLive or Lumi branding. Transcript streaming. Sentiment bars updating. Compliance flags appearing in real time.</w:t>
            </w:r>
          </w:p>
        </w:tc>
        <w:tc>
          <w:tcPr>
            <w:tcW w:type="dxa" w:w="24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i6m0sjlo00t7nj5z8ocv3">
              <w:r>
                <w:rPr>
                  <w:rStyle w:val="Hyperlink"/>
                  <w:rFonts w:ascii="Arial" w:cs="Arial" w:eastAsia="Arial" w:hAnsi="Arial"/>
                  <w:color w:val="1246E8"/>
                  <w:sz w:val="20"/>
                  <w:szCs w:val="20"/>
                  <w:u w:val="single"/>
                </w:rPr>
                <w:t xml:space="preserve">Live demo →</w:t>
              </w:r>
            </w:hyperlink>
          </w:p>
        </w:tc>
      </w:tr>
      <w:tr>
        <w:tc>
          <w:tcPr>
            <w:tcW w:type="dxa" w:w="44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b/>
                <w:bCs/>
                <w:color w:val="BA7517"/>
                <w:sz w:val="18"/>
                <w:szCs w:val="18"/>
              </w:rPr>
              <w:t xml:space="preserve">11</w:t>
            </w:r>
          </w:p>
        </w:tc>
        <w:tc>
          <w:tcPr>
            <w:tcW w:type="dxa" w:w="26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sz w:val="18"/>
                <w:szCs w:val="18"/>
              </w:rPr>
              <w:t xml:space="preserve">Operator flags transcript segments</w:t>
            </w:r>
          </w:p>
        </w:tc>
        <w:tc>
          <w:tcPr>
            <w:tcW w:type="dxa" w:w="386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sz w:val="18"/>
                <w:szCs w:val="18"/>
              </w:rPr>
              <w:t xml:space="preserve">Click 🚩 on any transcript line. Choose flag type: Notable / Compliance / Forward Guidance / Tone Shift / Action Required. Feeds the session timeline and post-event report.</w:t>
            </w:r>
          </w:p>
        </w:tc>
        <w:tc>
          <w:tcPr>
            <w:tcW w:type="dxa" w:w="246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sz w:val="18"/>
                <w:szCs w:val="18"/>
              </w:rPr>
              <w:t xml:space="preserve">Shadow Mode → transcript</w:t>
            </w:r>
          </w:p>
        </w:tc>
      </w:tr>
      <w:tr>
        <w:tc>
          <w:tcPr>
            <w:tcW w:type="dxa" w:w="44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12</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Q&amp;A moderation (webcast events)</w:t>
            </w:r>
          </w:p>
        </w:tc>
        <w:tc>
          <w:tcPr>
            <w:tcW w:type="dxa" w:w="38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Attendees submit via /qa/:accessCode. Questions appear in Live Q&amp;A console. AI classifies each: Approved / Duplicate / Off-topic / Compliance Risk. Operator reviews and acts.</w:t>
            </w:r>
          </w:p>
        </w:tc>
        <w:tc>
          <w:tcPr>
            <w:tcW w:type="dxa" w:w="24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pt4_fd1cwhrnkcrmhzufd">
              <w:r>
                <w:rPr>
                  <w:rStyle w:val="Hyperlink"/>
                  <w:rFonts w:ascii="Arial" w:cs="Arial" w:eastAsia="Arial" w:hAnsi="Arial"/>
                  <w:color w:val="1246E8"/>
                  <w:sz w:val="20"/>
                  <w:szCs w:val="20"/>
                  <w:u w:val="single"/>
                </w:rPr>
                <w:t xml:space="preserve">Live Q&amp;A →</w:t>
              </w:r>
            </w:hyperlink>
          </w:p>
        </w:tc>
      </w:tr>
      <w:tr>
        <w:tc>
          <w:tcPr>
            <w:tcW w:type="dxa" w:w="44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b/>
                <w:bCs/>
                <w:color w:val="1D9E75"/>
                <w:sz w:val="18"/>
                <w:szCs w:val="18"/>
              </w:rPr>
              <w:t xml:space="preserve">13</w:t>
            </w:r>
          </w:p>
        </w:tc>
        <w:tc>
          <w:tcPr>
            <w:tcW w:type="dxa" w:w="26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Approved question → Presenter screen</w:t>
            </w:r>
          </w:p>
        </w:tc>
        <w:tc>
          <w:tcPr>
            <w:tcW w:type="dxa" w:w="38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Operator clicks "Send to speaker." Question appears immediately on /presenter/:token — large readable text, AI suggested talking points (toggle to show), asker's firm shown.</w:t>
            </w:r>
          </w:p>
        </w:tc>
        <w:tc>
          <w:tcPr>
            <w:tcW w:type="dxa" w:w="24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oyz--aix1mcwwj4y9cmav">
              <w:r>
                <w:rPr>
                  <w:rStyle w:val="Hyperlink"/>
                  <w:rFonts w:ascii="Arial" w:cs="Arial" w:eastAsia="Arial" w:hAnsi="Arial"/>
                  <w:color w:val="1246E8"/>
                  <w:sz w:val="20"/>
                  <w:szCs w:val="20"/>
                  <w:u w:val="single"/>
                </w:rPr>
                <w:t xml:space="preserve">Presenter demo →</w:t>
              </w:r>
            </w:hyperlink>
          </w:p>
        </w:tc>
      </w:tr>
      <w:tr>
        <w:tc>
          <w:tcPr>
            <w:tcW w:type="dxa" w:w="44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sz w:val="18"/>
                <w:szCs w:val="18"/>
              </w:rPr>
              <w:t xml:space="preserve">14</w:t>
            </w:r>
          </w:p>
        </w:tc>
        <w:tc>
          <w:tcPr>
            <w:tcW w:type="dxa" w:w="2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IR team messages operator</w:t>
            </w:r>
          </w:p>
        </w:tc>
        <w:tc>
          <w:tcPr>
            <w:tcW w:type="dxa" w:w="38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Client taps 💬 on live dashboard. Types message. Appears in operator console with badge. Operator replies in real time. No phone call needed. Bidirectional via Ably.</w:t>
            </w:r>
          </w:p>
        </w:tc>
        <w:tc>
          <w:tcPr>
            <w:tcW w:type="dxa" w:w="24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Client dashboard chat bubble</w:t>
            </w:r>
          </w:p>
        </w:tc>
      </w:tr>
      <w:tr>
        <w:tc>
          <w:tcPr>
            <w:tcW w:type="dxa" w:w="44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15</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Multi-operator coordination</w:t>
            </w:r>
          </w:p>
        </w:tc>
        <w:tc>
          <w:tcPr>
            <w:tcW w:type="dxa" w:w="38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Second operator joins session. Team tab shows inter-operator messages. Operator handoff transfers session state, notes, and open flags cleanly to the incoming operator.</w:t>
            </w:r>
          </w:p>
        </w:tc>
        <w:tc>
          <w:tcPr>
            <w:tcW w:type="dxa" w:w="24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Shadow Mode → Team tab</w:t>
            </w:r>
          </w:p>
        </w:tc>
      </w:tr>
    </w:tbl>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Phase 3 — After the Event (Automatic)</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600"/>
        <w:gridCol w:w="3860"/>
        <w:gridCol w:w="2460"/>
      </w:tblGrid>
      <w:tr>
        <w:tc>
          <w:tcPr>
            <w:tcW w:type="dxa" w:w="44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t>
            </w:r>
          </w:p>
        </w:tc>
        <w:tc>
          <w:tcPr>
            <w:tcW w:type="dxa" w:w="26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What happens</w:t>
            </w:r>
          </w:p>
        </w:tc>
        <w:tc>
          <w:tcPr>
            <w:tcW w:type="dxa" w:w="38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Detail</w:t>
            </w:r>
          </w:p>
        </w:tc>
        <w:tc>
          <w:tcPr>
            <w:tcW w:type="dxa" w:w="24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Where to see it</w:t>
            </w:r>
          </w:p>
        </w:tc>
      </w:tr>
      <w:tr>
        <w:tc>
          <w:tcPr>
            <w:tcW w:type="dxa" w:w="44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b/>
                <w:bCs/>
                <w:color w:val="C0291A"/>
                <w:sz w:val="18"/>
                <w:szCs w:val="18"/>
              </w:rPr>
              <w:t xml:space="preserve">16</w:t>
            </w:r>
          </w:p>
        </w:tc>
        <w:tc>
          <w:tcPr>
            <w:tcW w:type="dxa" w:w="26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sz w:val="18"/>
                <w:szCs w:val="18"/>
              </w:rPr>
              <w:t xml:space="preserve">Compliance email fires ✓ Auto</w:t>
            </w:r>
          </w:p>
        </w:tc>
        <w:tc>
          <w:tcPr>
            <w:tcW w:type="dxa" w:w="386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sz w:val="18"/>
                <w:szCs w:val="18"/>
              </w:rPr>
              <w:t xml:space="preserve">ComplianceDeadlineService sends a compliance-only email within 2 minutes of session close. Sent to compliance officer recipients before the full report. Lists flags with JSE rule references and 48-hour deadline.</w:t>
            </w:r>
          </w:p>
        </w:tc>
        <w:tc>
          <w:tcPr>
            <w:tcW w:type="dxa" w:w="246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sz w:val="18"/>
                <w:szCs w:val="18"/>
              </w:rPr>
              <w:t xml:space="preserve">Recipient inbox — automatic</w:t>
            </w:r>
          </w:p>
        </w:tc>
      </w:tr>
      <w:tr>
        <w:tc>
          <w:tcPr>
            <w:tcW w:type="dxa" w:w="44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17</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20-module AI report generates ✓ Auto</w:t>
            </w:r>
          </w:p>
        </w:tc>
        <w:tc>
          <w:tcPr>
            <w:tcW w:type="dxa" w:w="38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All 20 intelligence modules run in parallel: Executive summary, financial metrics, management tone, compliance flags, Q&amp;A analysis, SENS/RNS draft, social media pack, blockchain certificate, and 12 more.</w:t>
            </w:r>
          </w:p>
        </w:tc>
        <w:tc>
          <w:tcPr>
            <w:tcW w:type="dxa" w:w="24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~3–5 minutes post-close</w:t>
            </w:r>
          </w:p>
        </w:tc>
      </w:tr>
      <w:tr>
        <w:tc>
          <w:tcPr>
            <w:tcW w:type="dxa" w:w="44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b/>
                <w:bCs/>
                <w:color w:val="1D9E75"/>
                <w:sz w:val="18"/>
                <w:szCs w:val="18"/>
              </w:rPr>
              <w:t xml:space="preserve">18</w:t>
            </w:r>
          </w:p>
        </w:tc>
        <w:tc>
          <w:tcPr>
            <w:tcW w:type="dxa" w:w="26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Report links sent to all recipients ✓ Auto</w:t>
            </w:r>
          </w:p>
        </w:tc>
        <w:tc>
          <w:tcPr>
            <w:tcW w:type="dxa" w:w="38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Each recipient receives a personal /report/:token link via email from CuraLive or Lumi domain. Valid 30 days. Access is tracked individually per recipient.</w:t>
            </w:r>
          </w:p>
        </w:tc>
        <w:tc>
          <w:tcPr>
            <w:tcW w:type="dxa" w:w="24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r15njfpsdi_phjg7ni-d_">
              <w:r>
                <w:rPr>
                  <w:rStyle w:val="Hyperlink"/>
                  <w:rFonts w:ascii="Arial" w:cs="Arial" w:eastAsia="Arial" w:hAnsi="Arial"/>
                  <w:color w:val="1246E8"/>
                  <w:sz w:val="20"/>
                  <w:szCs w:val="20"/>
                  <w:u w:val="single"/>
                </w:rPr>
                <w:t xml:space="preserve">Report demo →</w:t>
              </w:r>
            </w:hyperlink>
          </w:p>
        </w:tc>
      </w:tr>
      <w:tr>
        <w:tc>
          <w:tcPr>
            <w:tcW w:type="dxa" w:w="44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sz w:val="18"/>
                <w:szCs w:val="18"/>
              </w:rPr>
              <w:t xml:space="preserve">19</w:t>
            </w:r>
          </w:p>
        </w:tc>
        <w:tc>
          <w:tcPr>
            <w:tcW w:type="dxa" w:w="2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Compliance deadlines created ✓ Auto</w:t>
            </w:r>
          </w:p>
        </w:tc>
        <w:tc>
          <w:tcPr>
            <w:tcW w:type="dxa" w:w="38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For each critical flag, a compliance deadline is created. JSE = 48 hours. ComplianceDeadlineMonitor checks every 15 minutes and sends escalation emails if deadlines are approaching or missed.</w:t>
            </w:r>
          </w:p>
        </w:tc>
        <w:tc>
          <w:tcPr>
            <w:tcW w:type="dxa" w:w="24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tkrhzrjzkn8jo6m9dqw-g">
              <w:r>
                <w:rPr>
                  <w:rStyle w:val="Hyperlink"/>
                  <w:rFonts w:ascii="Arial" w:cs="Arial" w:eastAsia="Arial" w:hAnsi="Arial"/>
                  <w:color w:val="1246E8"/>
                  <w:sz w:val="20"/>
                  <w:szCs w:val="20"/>
                  <w:u w:val="single"/>
                </w:rPr>
                <w:t xml:space="preserve">Compliance →</w:t>
              </w:r>
            </w:hyperlink>
          </w:p>
        </w:tc>
      </w:tr>
      <w:tr>
        <w:tc>
          <w:tcPr>
            <w:tcW w:type="dxa" w:w="44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20</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Client views report and submits feedback</w:t>
            </w:r>
          </w:p>
        </w:tc>
        <w:tc>
          <w:tcPr>
            <w:tcW w:type="dxa" w:w="38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Client opens report. Every tab switch logged (client_report_view_log). Operator sees exactly which tabs were viewed. Client submits star rating + feedback comment.</w:t>
            </w:r>
          </w:p>
        </w:tc>
        <w:tc>
          <w:tcPr>
            <w:tcW w:type="dxa" w:w="24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yapdi6e1mnz7ivivcoc2l">
              <w:r>
                <w:rPr>
                  <w:rStyle w:val="Hyperlink"/>
                  <w:rFonts w:ascii="Arial" w:cs="Arial" w:eastAsia="Arial" w:hAnsi="Arial"/>
                  <w:color w:val="1246E8"/>
                  <w:sz w:val="20"/>
                  <w:szCs w:val="20"/>
                  <w:u w:val="single"/>
                </w:rPr>
                <w:t xml:space="preserve">Archives →</w:t>
              </w:r>
            </w:hyperlink>
          </w:p>
        </w:tc>
      </w:tr>
      <w:tr>
        <w:tc>
          <w:tcPr>
            <w:tcW w:type="dxa" w:w="440"/>
            <w:tcBorders>
              <w:top w:val="single" w:color="dde0e8" w:sz="4"/>
              <w:left w:val="single" w:color="dde0e8" w:sz="4"/>
              <w:bottom w:val="single" w:color="dde0e8" w:sz="4"/>
              <w:right w:val="single" w:color="dde0e8" w:sz="4"/>
            </w:tcBorders>
            <w:shd w:fill="e8f7ef" w:val="clear"/>
            <w:tcMar>
              <w:top w:type="dxa" w:w="80"/>
              <w:left w:type="dxa" w:w="120"/>
              <w:bottom w:type="dxa" w:w="80"/>
              <w:right w:type="dxa" w:w="120"/>
            </w:tcMar>
          </w:tcPr>
          <w:p>
            <w:pPr>
              <w:spacing w:after="20" w:before="20"/>
            </w:pPr>
            <w:r>
              <w:rPr>
                <w:rFonts w:ascii="Arial" w:cs="Arial" w:eastAsia="Arial" w:hAnsi="Arial"/>
                <w:b/>
                <w:bCs/>
                <w:color w:val="137a3c"/>
                <w:sz w:val="18"/>
                <w:szCs w:val="18"/>
              </w:rPr>
              <w:t xml:space="preserve">21</w:t>
            </w:r>
          </w:p>
        </w:tc>
        <w:tc>
          <w:tcPr>
            <w:tcW w:type="dxa" w:w="2600"/>
            <w:tcBorders>
              <w:top w:val="single" w:color="dde0e8" w:sz="4"/>
              <w:left w:val="single" w:color="dde0e8" w:sz="4"/>
              <w:bottom w:val="single" w:color="dde0e8" w:sz="4"/>
              <w:right w:val="single" w:color="dde0e8" w:sz="4"/>
            </w:tcBorders>
            <w:shd w:fill="e8f7ef" w:val="clear"/>
            <w:tcMar>
              <w:top w:type="dxa" w:w="80"/>
              <w:left w:type="dxa" w:w="120"/>
              <w:bottom w:type="dxa" w:w="80"/>
              <w:right w:type="dxa" w:w="120"/>
            </w:tcMar>
          </w:tcPr>
          <w:p>
            <w:pPr>
              <w:spacing w:after="20" w:before="20"/>
            </w:pPr>
            <w:r>
              <w:rPr>
                <w:rFonts w:ascii="Arial" w:cs="Arial" w:eastAsia="Arial" w:hAnsi="Arial"/>
                <w:sz w:val="18"/>
                <w:szCs w:val="18"/>
              </w:rPr>
              <w:t xml:space="preserve">Blockchain certificate issued ✓ Auto</w:t>
            </w:r>
          </w:p>
        </w:tc>
        <w:tc>
          <w:tcPr>
            <w:tcW w:type="dxa" w:w="3860"/>
            <w:tcBorders>
              <w:top w:val="single" w:color="dde0e8" w:sz="4"/>
              <w:left w:val="single" w:color="dde0e8" w:sz="4"/>
              <w:bottom w:val="single" w:color="dde0e8" w:sz="4"/>
              <w:right w:val="single" w:color="dde0e8" w:sz="4"/>
            </w:tcBorders>
            <w:shd w:fill="e8f7ef" w:val="clear"/>
            <w:tcMar>
              <w:top w:type="dxa" w:w="80"/>
              <w:left w:type="dxa" w:w="120"/>
              <w:bottom w:type="dxa" w:w="80"/>
              <w:right w:type="dxa" w:w="120"/>
            </w:tcMar>
          </w:tcPr>
          <w:p>
            <w:pPr>
              <w:spacing w:after="20" w:before="20"/>
            </w:pPr>
            <w:r>
              <w:rPr>
                <w:rFonts w:ascii="Arial" w:cs="Arial" w:eastAsia="Arial" w:hAnsi="Arial"/>
                <w:sz w:val="18"/>
                <w:szCs w:val="18"/>
              </w:rPr>
              <w:t xml:space="preserve">SHA-256 hash chain covers the full transcript, all AI analysis, all compliance flags, and the complete report. Immutable. Tamper-proof. Defensible in any regulatory review. Certificate tab in the report.</w:t>
            </w:r>
          </w:p>
        </w:tc>
        <w:tc>
          <w:tcPr>
            <w:tcW w:type="dxa" w:w="2460"/>
            <w:tcBorders>
              <w:top w:val="single" w:color="dde0e8" w:sz="4"/>
              <w:left w:val="single" w:color="dde0e8" w:sz="4"/>
              <w:bottom w:val="single" w:color="dde0e8" w:sz="4"/>
              <w:right w:val="single" w:color="dde0e8" w:sz="4"/>
            </w:tcBorders>
            <w:shd w:fill="e8f7ef" w:val="clear"/>
            <w:tcMar>
              <w:top w:type="dxa" w:w="80"/>
              <w:left w:type="dxa" w:w="120"/>
              <w:bottom w:type="dxa" w:w="80"/>
              <w:right w:type="dxa" w:w="120"/>
            </w:tcMar>
          </w:tcPr>
          <w:p>
            <w:pPr>
              <w:spacing w:after="20" w:before="20"/>
            </w:pPr>
            <w:r>
              <w:rPr>
                <w:rFonts w:ascii="Arial" w:cs="Arial" w:eastAsia="Arial" w:hAnsi="Arial"/>
                <w:sz w:val="18"/>
                <w:szCs w:val="18"/>
              </w:rPr>
              <w:t xml:space="preserve">Report → Certificate tab</w:t>
            </w:r>
          </w:p>
        </w:tc>
      </w:tr>
    </w:tbl>
    <w:p>
      <w:pPr>
        <w:spacing w:after="20" w:before="0"/>
      </w:pPr>
      <w:r>
        <w:rPr>
          <w:rFonts w:ascii="Arial" w:cs="Arial" w:eastAsia="Arial" w:hAnsi="Arial"/>
        </w:rPr>
        <w:t xml:space="preserve"> </w:t>
      </w:r>
    </w:p>
    <w:p>
      <w:r>
        <w:r>
          <w:br w:type="page"/>
        </w:r>
      </w:r>
    </w:p>
    <w:p>
      <w:pPr>
        <w:pStyle w:val="Heading1"/>
        <w:pBdr>
          <w:bottom w:val="single" w:color="1D9E75" w:sz="14" w:space="4"/>
        </w:pBdr>
        <w:spacing w:after="120" w:before="360"/>
      </w:pPr>
      <w:r>
        <w:rPr>
          <w:rFonts w:ascii="Arial" w:cs="Arial" w:eastAsia="Arial" w:hAnsi="Arial"/>
          <w:b/>
          <w:bCs/>
          <w:color w:val="0A2540"/>
          <w:sz w:val="38"/>
          <w:szCs w:val="38"/>
        </w:rPr>
        <w:t xml:space="preserve">Section 3 — White Label: How It Works for Lumi</w:t>
      </w:r>
    </w:p>
    <w:p>
      <w:pPr>
        <w:spacing w:after="80" w:before="40"/>
      </w:pPr>
      <w:r>
        <w:rPr>
          <w:rFonts w:ascii="Arial" w:cs="Arial" w:eastAsia="Arial" w:hAnsi="Arial"/>
          <w:sz w:val="20"/>
          <w:szCs w:val="20"/>
        </w:rPr>
        <w:t xml:space="preserve">White label means Lumi's clients never see CuraLive. They see Lumi Intelligence throughout — branding, domain, email, reports, certificates. CuraLive is the invisible engine underneath.</w:t>
      </w:r>
    </w:p>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3.1  The Four Layers of White Label</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560"/>
      </w:tblGrid>
      <w:tr>
        <w:tc>
          <w:tcPr>
            <w:tcW w:type="dxa" w:w="14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Layer</w:t>
            </w:r>
          </w:p>
        </w:tc>
        <w:tc>
          <w:tcPr>
            <w:tcW w:type="dxa" w:w="26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What it controls</w:t>
            </w:r>
          </w:p>
        </w:tc>
        <w:tc>
          <w:tcPr>
            <w:tcW w:type="dxa" w:w="28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How it works technically</w:t>
            </w:r>
          </w:p>
        </w:tc>
        <w:tc>
          <w:tcPr>
            <w:tcW w:type="dxa" w:w="25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What Lumi does to activate</w:t>
            </w:r>
          </w:p>
        </w:tc>
      </w:tr>
      <w:tr>
        <w:tc>
          <w:tcPr>
            <w:tcW w:type="dxa" w:w="14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b/>
                <w:bCs/>
                <w:color w:val="1D9E75"/>
                <w:sz w:val="18"/>
                <w:szCs w:val="18"/>
              </w:rPr>
              <w:t xml:space="preserve">1  Visual brand</w:t>
            </w:r>
          </w:p>
        </w:tc>
        <w:tc>
          <w:tcPr>
            <w:tcW w:type="dxa" w:w="26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Logo, colours, fonts on all client pages</w:t>
            </w:r>
          </w:p>
        </w:tc>
        <w:tc>
          <w:tcPr>
            <w:tcW w:type="dxa" w:w="28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useBrandConfig hook reads partners table on every page load. CSS variables swap automatically. No code change.</w:t>
            </w:r>
          </w:p>
        </w:tc>
        <w:tc>
          <w:tcPr>
            <w:tcW w:type="dxa" w:w="25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Provide logo URL + hex colour codes. One SQL update.</w:t>
            </w:r>
          </w:p>
        </w:tc>
      </w:tr>
      <w:tr>
        <w:tc>
          <w:tcPr>
            <w:tcW w:type="dxa" w:w="1400"/>
            <w:tcBorders>
              <w:top w:val="single" w:color="dde0e8" w:sz="4"/>
              <w:left w:val="single" w:color="dde0e8" w:sz="4"/>
              <w:bottom w:val="single" w:color="dde0e8" w:sz="4"/>
              <w:right w:val="single" w:color="dde0e8" w:sz="4"/>
            </w:tcBorders>
            <w:shd w:fill="eff6ff" w:val="clear"/>
            <w:tcMar>
              <w:top w:type="dxa" w:w="80"/>
              <w:left w:type="dxa" w:w="120"/>
              <w:bottom w:type="dxa" w:w="80"/>
              <w:right w:type="dxa" w:w="120"/>
            </w:tcMar>
          </w:tcPr>
          <w:p>
            <w:pPr>
              <w:spacing w:after="20" w:before="20"/>
            </w:pPr>
            <w:r>
              <w:rPr>
                <w:rFonts w:ascii="Arial" w:cs="Arial" w:eastAsia="Arial" w:hAnsi="Arial"/>
                <w:b/>
                <w:bCs/>
                <w:color w:val="1246E8"/>
                <w:sz w:val="18"/>
                <w:szCs w:val="18"/>
              </w:rPr>
              <w:t xml:space="preserve">2  Domain</w:t>
            </w:r>
          </w:p>
        </w:tc>
        <w:tc>
          <w:tcPr>
            <w:tcW w:type="dxa" w:w="2600"/>
            <w:tcBorders>
              <w:top w:val="single" w:color="dde0e8" w:sz="4"/>
              <w:left w:val="single" w:color="dde0e8" w:sz="4"/>
              <w:bottom w:val="single" w:color="dde0e8" w:sz="4"/>
              <w:right w:val="single" w:color="dde0e8" w:sz="4"/>
            </w:tcBorders>
            <w:shd w:fill="eff6ff" w:val="clear"/>
            <w:tcMar>
              <w:top w:type="dxa" w:w="80"/>
              <w:left w:type="dxa" w:w="120"/>
              <w:bottom w:type="dxa" w:w="80"/>
              <w:right w:type="dxa" w:w="120"/>
            </w:tcMar>
          </w:tcPr>
          <w:p>
            <w:pPr>
              <w:spacing w:after="20" w:before="20"/>
            </w:pPr>
            <w:r>
              <w:rPr>
                <w:rFonts w:ascii="Arial" w:cs="Arial" w:eastAsia="Arial" w:hAnsi="Arial"/>
                <w:sz w:val="18"/>
                <w:szCs w:val="18"/>
              </w:rPr>
              <w:t xml:space="preserve">intelligence.lumigroup.com instead of app.curalive.com</w:t>
            </w:r>
          </w:p>
        </w:tc>
        <w:tc>
          <w:tcPr>
            <w:tcW w:type="dxa" w:w="2800"/>
            <w:tcBorders>
              <w:top w:val="single" w:color="dde0e8" w:sz="4"/>
              <w:left w:val="single" w:color="dde0e8" w:sz="4"/>
              <w:bottom w:val="single" w:color="dde0e8" w:sz="4"/>
              <w:right w:val="single" w:color="dde0e8" w:sz="4"/>
            </w:tcBorders>
            <w:shd w:fill="eff6ff" w:val="clear"/>
            <w:tcMar>
              <w:top w:type="dxa" w:w="80"/>
              <w:left w:type="dxa" w:w="120"/>
              <w:bottom w:type="dxa" w:w="80"/>
              <w:right w:type="dxa" w:w="120"/>
            </w:tcMar>
          </w:tcPr>
          <w:p>
            <w:pPr>
              <w:spacing w:after="20" w:before="20"/>
            </w:pPr>
            <w:r>
              <w:rPr>
                <w:rFonts w:ascii="Arial" w:cs="Arial" w:eastAsia="Arial" w:hAnsi="Arial"/>
                <w:sz w:val="18"/>
                <w:szCs w:val="18"/>
              </w:rPr>
              <w:t xml:space="preserve">brandConfigMiddleware reads incoming domain on every request. Automatically serves Lumi branding for that domain.</w:t>
            </w:r>
          </w:p>
        </w:tc>
        <w:tc>
          <w:tcPr>
            <w:tcW w:type="dxa" w:w="2560"/>
            <w:tcBorders>
              <w:top w:val="single" w:color="dde0e8" w:sz="4"/>
              <w:left w:val="single" w:color="dde0e8" w:sz="4"/>
              <w:bottom w:val="single" w:color="dde0e8" w:sz="4"/>
              <w:right w:val="single" w:color="dde0e8" w:sz="4"/>
            </w:tcBorders>
            <w:shd w:fill="eff6ff" w:val="clear"/>
            <w:tcMar>
              <w:top w:type="dxa" w:w="80"/>
              <w:left w:type="dxa" w:w="120"/>
              <w:bottom w:type="dxa" w:w="80"/>
              <w:right w:type="dxa" w:w="120"/>
            </w:tcMar>
          </w:tcPr>
          <w:p>
            <w:pPr>
              <w:spacing w:after="20" w:before="20"/>
            </w:pPr>
            <w:r>
              <w:rPr>
                <w:rFonts w:ascii="Arial" w:cs="Arial" w:eastAsia="Arial" w:hAnsi="Arial"/>
                <w:sz w:val="18"/>
                <w:szCs w:val="18"/>
              </w:rPr>
              <w:t xml:space="preserve">One DNS CNAME record:
intelligence.lumigroup.com
→ Replit URL</w:t>
            </w:r>
          </w:p>
        </w:tc>
      </w:tr>
      <w:tr>
        <w:tc>
          <w:tcPr>
            <w:tcW w:type="dxa" w:w="14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b/>
                <w:bCs/>
                <w:color w:val="BA7517"/>
                <w:sz w:val="18"/>
                <w:szCs w:val="18"/>
              </w:rPr>
              <w:t xml:space="preserve">3  Email</w:t>
            </w:r>
          </w:p>
        </w:tc>
        <w:tc>
          <w:tcPr>
            <w:tcW w:type="dxa" w:w="26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sz w:val="18"/>
                <w:szCs w:val="18"/>
              </w:rPr>
              <w:t xml:space="preserve">All emails arrive from noreply@lumigroup.com</w:t>
            </w:r>
          </w:p>
        </w:tc>
        <w:tc>
          <w:tcPr>
            <w:tcW w:type="dxa" w:w="28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sz w:val="18"/>
                <w:szCs w:val="18"/>
              </w:rPr>
              <w:t xml:space="preserve">Resend routes through Lumi sending domain. Pre-event briefing, live link, report link — all from Lumi.</w:t>
            </w:r>
          </w:p>
        </w:tc>
        <w:tc>
          <w:tcPr>
            <w:tcW w:type="dxa" w:w="256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sz w:val="18"/>
                <w:szCs w:val="18"/>
              </w:rPr>
              <w:t xml:space="preserve">Two DNS records: SPF + DKIM for Resend. Standard email authentication.</w:t>
            </w:r>
          </w:p>
        </w:tc>
      </w:tr>
      <w:tr>
        <w:tc>
          <w:tcPr>
            <w:tcW w:type="dxa" w:w="1400"/>
            <w:tcBorders>
              <w:top w:val="single" w:color="dde0e8" w:sz="4"/>
              <w:left w:val="single" w:color="dde0e8" w:sz="4"/>
              <w:bottom w:val="single" w:color="dde0e8" w:sz="4"/>
              <w:right w:val="single" w:color="dde0e8" w:sz="4"/>
            </w:tcBorders>
            <w:shd w:fill="f0eeff" w:val="clear"/>
            <w:tcMar>
              <w:top w:type="dxa" w:w="80"/>
              <w:left w:type="dxa" w:w="120"/>
              <w:bottom w:type="dxa" w:w="80"/>
              <w:right w:type="dxa" w:w="120"/>
            </w:tcMar>
          </w:tcPr>
          <w:p>
            <w:pPr>
              <w:spacing w:after="20" w:before="20"/>
            </w:pPr>
            <w:r>
              <w:rPr>
                <w:rFonts w:ascii="Arial" w:cs="Arial" w:eastAsia="Arial" w:hAnsi="Arial"/>
                <w:b/>
                <w:bCs/>
                <w:color w:val="534AB7"/>
                <w:sz w:val="18"/>
                <w:szCs w:val="18"/>
              </w:rPr>
              <w:t xml:space="preserve">4  Reports &amp; certs</w:t>
            </w:r>
          </w:p>
        </w:tc>
        <w:tc>
          <w:tcPr>
            <w:tcW w:type="dxa" w:w="2600"/>
            <w:tcBorders>
              <w:top w:val="single" w:color="dde0e8" w:sz="4"/>
              <w:left w:val="single" w:color="dde0e8" w:sz="4"/>
              <w:bottom w:val="single" w:color="dde0e8" w:sz="4"/>
              <w:right w:val="single" w:color="dde0e8" w:sz="4"/>
            </w:tcBorders>
            <w:shd w:fill="f0eeff" w:val="clear"/>
            <w:tcMar>
              <w:top w:type="dxa" w:w="80"/>
              <w:left w:type="dxa" w:w="120"/>
              <w:bottom w:type="dxa" w:w="80"/>
              <w:right w:type="dxa" w:w="120"/>
            </w:tcMar>
          </w:tcPr>
          <w:p>
            <w:pPr>
              <w:spacing w:after="20" w:before="20"/>
            </w:pPr>
            <w:r>
              <w:rPr>
                <w:rFonts w:ascii="Arial" w:cs="Arial" w:eastAsia="Arial" w:hAnsi="Arial"/>
                <w:sz w:val="18"/>
                <w:szCs w:val="18"/>
              </w:rPr>
              <w:t xml:space="preserve">PDFs, certificates, SENS drafts all carry Lumi brand</w:t>
            </w:r>
          </w:p>
        </w:tc>
        <w:tc>
          <w:tcPr>
            <w:tcW w:type="dxa" w:w="2800"/>
            <w:tcBorders>
              <w:top w:val="single" w:color="dde0e8" w:sz="4"/>
              <w:left w:val="single" w:color="dde0e8" w:sz="4"/>
              <w:bottom w:val="single" w:color="dde0e8" w:sz="4"/>
              <w:right w:val="single" w:color="dde0e8" w:sz="4"/>
            </w:tcBorders>
            <w:shd w:fill="f0eeff" w:val="clear"/>
            <w:tcMar>
              <w:top w:type="dxa" w:w="80"/>
              <w:left w:type="dxa" w:w="120"/>
              <w:bottom w:type="dxa" w:w="80"/>
              <w:right w:type="dxa" w:w="120"/>
            </w:tcMar>
          </w:tcPr>
          <w:p>
            <w:pPr>
              <w:spacing w:after="20" w:before="20"/>
            </w:pPr>
            <w:r>
              <w:rPr>
                <w:rFonts w:ascii="Arial" w:cs="Arial" w:eastAsia="Arial" w:hAnsi="Arial"/>
                <w:sz w:val="18"/>
                <w:szCs w:val="18"/>
              </w:rPr>
              <w:t xml:space="preserve">All generated content reads brand config. Report headers, logos, footers auto-applied.</w:t>
            </w:r>
          </w:p>
        </w:tc>
        <w:tc>
          <w:tcPr>
            <w:tcW w:type="dxa" w:w="2560"/>
            <w:tcBorders>
              <w:top w:val="single" w:color="dde0e8" w:sz="4"/>
              <w:left w:val="single" w:color="dde0e8" w:sz="4"/>
              <w:bottom w:val="single" w:color="dde0e8" w:sz="4"/>
              <w:right w:val="single" w:color="dde0e8" w:sz="4"/>
            </w:tcBorders>
            <w:shd w:fill="f0eeff" w:val="clear"/>
            <w:tcMar>
              <w:top w:type="dxa" w:w="80"/>
              <w:left w:type="dxa" w:w="120"/>
              <w:bottom w:type="dxa" w:w="80"/>
              <w:right w:type="dxa" w:w="120"/>
            </w:tcMar>
          </w:tcPr>
          <w:p>
            <w:pPr>
              <w:spacing w:after="20" w:before="20"/>
            </w:pPr>
            <w:r>
              <w:rPr>
                <w:rFonts w:ascii="Arial" w:cs="Arial" w:eastAsia="Arial" w:hAnsi="Arial"/>
                <w:sz w:val="18"/>
                <w:szCs w:val="18"/>
              </w:rPr>
              <w:t xml:space="preserve">Automatic once layers 1–3 are active.</w:t>
            </w:r>
          </w:p>
        </w:tc>
      </w:tr>
    </w:tbl>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3.2  Activating Lumi White Label — Total Work Required</w:t>
      </w:r>
    </w:p>
    <w:p>
      <w:pPr>
        <w:spacing w:after="80" w:before="40"/>
      </w:pPr>
      <w:r>
        <w:rPr>
          <w:rFonts w:ascii="Arial" w:cs="Arial" w:eastAsia="Arial" w:hAnsi="Arial"/>
          <w:sz w:val="20"/>
          <w:szCs w:val="20"/>
        </w:rPr>
        <w:t xml:space="preserve">Lumi does: 3 DNS records. You do: 1 SQL update. That is the entire activation. 30 minutes of technical work. Everything else is already built and configured.</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8" w:before="8"/>
            </w:pPr>
            <w:r>
              <w:rPr>
                <w:rFonts w:ascii="Courier New" w:cs="Courier New" w:eastAsia="Courier New" w:hAnsi="Courier New"/>
                <w:color w:val="7dd3fc"/>
                <w:sz w:val="17"/>
                <w:szCs w:val="17"/>
              </w:rPr>
              <w:t xml:space="preserve">-- Run this one update when Lumi provides their logo and brand assets:</w:t>
            </w:r>
          </w:p>
          <w:p>
            <w:pPr>
              <w:spacing w:after="8" w:before="8"/>
            </w:pPr>
            <w:r>
              <w:rPr>
                <w:rFonts w:ascii="Courier New" w:cs="Courier New" w:eastAsia="Courier New" w:hAnsi="Courier New"/>
                <w:color w:val="7dd3fc"/>
                <w:sz w:val="17"/>
                <w:szCs w:val="17"/>
              </w:rPr>
              <w:t xml:space="preserve">UPDATE partners SET</w:t>
            </w:r>
          </w:p>
          <w:p>
            <w:pPr>
              <w:spacing w:after="8" w:before="8"/>
            </w:pPr>
            <w:r>
              <w:rPr>
                <w:rFonts w:ascii="Courier New" w:cs="Courier New" w:eastAsia="Courier New" w:hAnsi="Courier New"/>
                <w:color w:val="7dd3fc"/>
                <w:sz w:val="17"/>
                <w:szCs w:val="17"/>
              </w:rPr>
              <w:t xml:space="preserve">  logo_url               = 'https://[lumi-cdn-logo-url]',</w:t>
            </w:r>
          </w:p>
          <w:p>
            <w:pPr>
              <w:spacing w:after="8" w:before="8"/>
            </w:pPr>
            <w:r>
              <w:rPr>
                <w:rFonts w:ascii="Courier New" w:cs="Courier New" w:eastAsia="Courier New" w:hAnsi="Courier New"/>
                <w:color w:val="7dd3fc"/>
                <w:sz w:val="17"/>
                <w:szCs w:val="17"/>
              </w:rPr>
              <w:t xml:space="preserve">  primary_color          = '#[lumi-primary-colour]',</w:t>
            </w:r>
          </w:p>
          <w:p>
            <w:pPr>
              <w:spacing w:after="8" w:before="8"/>
            </w:pPr>
            <w:r>
              <w:rPr>
                <w:rFonts w:ascii="Courier New" w:cs="Courier New" w:eastAsia="Courier New" w:hAnsi="Courier New"/>
                <w:color w:val="7dd3fc"/>
                <w:sz w:val="17"/>
                <w:szCs w:val="17"/>
              </w:rPr>
              <w:t xml:space="preserve">  accent_color           = '#[lumi-dark-colour]',</w:t>
            </w:r>
          </w:p>
          <w:p>
            <w:pPr>
              <w:spacing w:after="8" w:before="8"/>
            </w:pPr>
            <w:r>
              <w:rPr>
                <w:rFonts w:ascii="Courier New" w:cs="Courier New" w:eastAsia="Courier New" w:hAnsi="Courier New"/>
                <w:color w:val="7dd3fc"/>
                <w:sz w:val="17"/>
                <w:szCs w:val="17"/>
              </w:rPr>
              <w:t xml:space="preserve">  custom_domain          = 'intelligence.lumigroup.com',</w:t>
            </w:r>
          </w:p>
          <w:p>
            <w:pPr>
              <w:spacing w:after="8" w:before="8"/>
            </w:pPr>
            <w:r>
              <w:rPr>
                <w:rFonts w:ascii="Courier New" w:cs="Courier New" w:eastAsia="Courier New" w:hAnsi="Courier New"/>
                <w:color w:val="7dd3fc"/>
                <w:sz w:val="17"/>
                <w:szCs w:val="17"/>
              </w:rPr>
              <w:t xml:space="preserve">  custom_domain_verified = true,</w:t>
            </w:r>
          </w:p>
          <w:p>
            <w:pPr>
              <w:spacing w:after="8" w:before="8"/>
            </w:pPr>
            <w:r>
              <w:rPr>
                <w:rFonts w:ascii="Courier New" w:cs="Courier New" w:eastAsia="Courier New" w:hAnsi="Courier New"/>
                <w:color w:val="7dd3fc"/>
                <w:sz w:val="17"/>
                <w:szCs w:val="17"/>
              </w:rPr>
              <w:t xml:space="preserve">  sending_domain         = 'lumigroup.com',</w:t>
            </w:r>
          </w:p>
          <w:p>
            <w:pPr>
              <w:spacing w:after="8" w:before="8"/>
            </w:pPr>
            <w:r>
              <w:rPr>
                <w:rFonts w:ascii="Courier New" w:cs="Courier New" w:eastAsia="Courier New" w:hAnsi="Courier New"/>
                <w:color w:val="7dd3fc"/>
                <w:sz w:val="17"/>
                <w:szCs w:val="17"/>
              </w:rPr>
              <w:t xml:space="preserve">  sending_name           = 'Lumi Intelligence',</w:t>
            </w:r>
          </w:p>
          <w:p>
            <w:pPr>
              <w:spacing w:after="8" w:before="8"/>
            </w:pPr>
            <w:r>
              <w:rPr>
                <w:rFonts w:ascii="Courier New" w:cs="Courier New" w:eastAsia="Courier New" w:hAnsi="Courier New"/>
                <w:color w:val="7dd3fc"/>
                <w:sz w:val="17"/>
                <w:szCs w:val="17"/>
              </w:rPr>
              <w:t xml:space="preserve">  sending_email          = 'noreply@lumigroup.com'</w:t>
            </w:r>
          </w:p>
          <w:p>
            <w:pPr>
              <w:spacing w:after="8" w:before="8"/>
            </w:pPr>
            <w:r>
              <w:rPr>
                <w:rFonts w:ascii="Courier New" w:cs="Courier New" w:eastAsia="Courier New" w:hAnsi="Courier New"/>
                <w:color w:val="7dd3fc"/>
                <w:sz w:val="17"/>
                <w:szCs w:val="17"/>
              </w:rPr>
              <w:t xml:space="preserve">WHERE slug = 'lumi';</w:t>
            </w:r>
          </w:p>
          <w:p>
            <w:pPr>
              <w:spacing w:after="8" w:before="8"/>
            </w:pPr>
            <w:r>
              <w:rPr>
                <w:rFonts w:ascii="Courier New" w:cs="Courier New" w:eastAsia="Courier New" w:hAnsi="Courier New"/>
                <w:color w:val="7dd3fc"/>
                <w:sz w:val="17"/>
                <w:szCs w:val="17"/>
              </w:rPr>
              <w:t xml:space="preserve"/>
            </w:r>
          </w:p>
          <w:p>
            <w:pPr>
              <w:spacing w:after="8" w:before="8"/>
            </w:pPr>
            <w:r>
              <w:rPr>
                <w:rFonts w:ascii="Courier New" w:cs="Courier New" w:eastAsia="Courier New" w:hAnsi="Courier New"/>
                <w:color w:val="7dd3fc"/>
                <w:sz w:val="17"/>
                <w:szCs w:val="17"/>
              </w:rPr>
              <w:t xml:space="preserve">-- Lumi IT adds these DNS records:</w:t>
            </w:r>
          </w:p>
          <w:p>
            <w:pPr>
              <w:spacing w:after="8" w:before="8"/>
            </w:pPr>
            <w:r>
              <w:rPr>
                <w:rFonts w:ascii="Courier New" w:cs="Courier New" w:eastAsia="Courier New" w:hAnsi="Courier New"/>
                <w:color w:val="7dd3fc"/>
                <w:sz w:val="17"/>
                <w:szCs w:val="17"/>
              </w:rPr>
              <w:t xml:space="preserve">-- CNAME  intelligence.lumigroup.com  →  [replit-app-url]</w:t>
            </w:r>
          </w:p>
          <w:p>
            <w:pPr>
              <w:spacing w:after="8" w:before="8"/>
            </w:pPr>
            <w:r>
              <w:rPr>
                <w:rFonts w:ascii="Courier New" w:cs="Courier New" w:eastAsia="Courier New" w:hAnsi="Courier New"/>
                <w:color w:val="7dd3fc"/>
                <w:sz w:val="17"/>
                <w:szCs w:val="17"/>
              </w:rPr>
              <w:t xml:space="preserve">-- TXT    lumigroup.com               →  Resend SPF record</w:t>
            </w:r>
          </w:p>
          <w:p>
            <w:pPr>
              <w:spacing w:after="8" w:before="8"/>
            </w:pPr>
            <w:r>
              <w:rPr>
                <w:rFonts w:ascii="Courier New" w:cs="Courier New" w:eastAsia="Courier New" w:hAnsi="Courier New"/>
                <w:color w:val="7dd3fc"/>
                <w:sz w:val="17"/>
                <w:szCs w:val="17"/>
              </w:rPr>
              <w:t xml:space="preserve">-- CNAME  resend._domainkey...        →  Resend DKIM record</w:t>
            </w:r>
          </w:p>
        </w:tc>
      </w:tr>
    </w:tbl>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3.3  What Lumi's Client Experiences, Start to Finish</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When</w:t>
            </w:r>
          </w:p>
        </w:tc>
        <w:tc>
          <w:tcPr>
            <w:tcW w:type="dxa" w:w="79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What Lumi's client sees and receives</w:t>
            </w:r>
          </w:p>
        </w:tc>
      </w:tr>
      <w:tr>
        <w:tc>
          <w:tcPr>
            <w:tcW w:type="dxa" w:w="14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60 min before</w:t>
            </w:r>
          </w:p>
        </w:tc>
        <w:tc>
          <w:tcPr>
            <w:tcW w:type="dxa" w:w="79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Email from noreply@lumigroup.com — "Your pre-event intelligence briefing." Lumi logo. Analyst consensus predictions, likely Q&amp;A topics, compliance hotspots to watch. All AI-generated.</w:t>
            </w:r>
          </w:p>
        </w:tc>
      </w:tr>
      <w:tr>
        <w:tc>
          <w:tcPr>
            <w:tcW w:type="dxa" w:w="14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Session goes live</w:t>
            </w:r>
          </w:p>
        </w:tc>
        <w:tc>
          <w:tcPr>
            <w:tcW w:type="dxa" w:w="79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Email from Lumi: "Your live intelligence dashboard is ready." Unique link to intelligence.lumigroup.com/live/[token]. Opens in browser — Lumi branding throughout.</w:t>
            </w:r>
          </w:p>
        </w:tc>
      </w:tr>
      <w:tr>
        <w:tc>
          <w:tcPr>
            <w:tcW w:type="dxa" w:w="14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During event</w:t>
            </w:r>
          </w:p>
        </w:tc>
        <w:tc>
          <w:tcPr>
            <w:tcW w:type="dxa" w:w="79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Client watches 5 tabs: transcript streaming, sentiment bars, compliance flags, Q&amp;A queue, AI summary. Taps 💬 to message the operator privately. All Lumi branded. No CuraLive visible.</w:t>
            </w:r>
          </w:p>
        </w:tc>
      </w:tr>
      <w:tr>
        <w:tc>
          <w:tcPr>
            <w:tcW w:type="dxa" w:w="14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sz w:val="18"/>
                <w:szCs w:val="18"/>
              </w:rPr>
              <w:t xml:space="preserve">Session closes</w:t>
            </w:r>
          </w:p>
        </w:tc>
        <w:tc>
          <w:tcPr>
            <w:tcW w:type="dxa" w:w="796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sz w:val="18"/>
                <w:szCs w:val="18"/>
              </w:rPr>
              <w:t xml:space="preserve">Compliance email arrives from Lumi within 2 minutes if flags were raised. Lists required actions with regulatory deadlines.</w:t>
            </w:r>
          </w:p>
        </w:tc>
      </w:tr>
      <w:tr>
        <w:tc>
          <w:tcPr>
            <w:tcW w:type="dxa" w:w="14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5 min post-close</w:t>
            </w:r>
          </w:p>
        </w:tc>
        <w:tc>
          <w:tcPr>
            <w:tcW w:type="dxa" w:w="79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Email from Lumi: "Your intelligence report is ready." Link to intelligence.lumigroup.com/report/[token]. Full 10-tab report, SENS draft, social media pack, blockchain certificate. All Lumi branded.</w:t>
            </w:r>
          </w:p>
        </w:tc>
      </w:tr>
      <w:tr>
        <w:tc>
          <w:tcPr>
            <w:tcW w:type="dxa" w:w="14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PDF download</w:t>
            </w:r>
          </w:p>
        </w:tc>
        <w:tc>
          <w:tcPr>
            <w:tcW w:type="dxa" w:w="79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Client downloads report PDF. Lumi-branded header, logo, colours. Blockchain certificate. CuraLive not mentioned anywhere. This is Lumi's product in every sense.</w:t>
            </w:r>
          </w:p>
        </w:tc>
      </w:tr>
    </w:tbl>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6"/>
              <w:left w:val="single" w:color="1D9E75" w:sz="6"/>
              <w:bottom w:val="single" w:color="1D9E75" w:sz="6"/>
              <w:right w:val="single" w:color="1D9E75" w:sz="6"/>
            </w:tcBorders>
            <w:shd w:fill="e6f7f3" w:val="clear"/>
            <w:tcMar>
              <w:top w:type="dxa" w:w="80"/>
              <w:left w:type="dxa" w:w="160"/>
              <w:bottom w:type="dxa" w:w="80"/>
              <w:right w:type="dxa" w:w="160"/>
            </w:tcMar>
          </w:tcPr>
          <w:p>
            <w:pPr>
              <w:spacing w:after="20" w:before="20"/>
            </w:pPr>
            <w:r>
              <w:rPr>
                <w:rFonts w:ascii="Arial" w:cs="Arial" w:eastAsia="Arial" w:hAnsi="Arial"/>
                <w:b/>
                <w:bCs/>
                <w:color w:val="1D9E75"/>
                <w:sz w:val="18"/>
                <w:szCs w:val="18"/>
              </w:rPr>
              <w:t xml:space="preserve">Demo:  </w:t>
            </w:r>
            <w:r>
              <w:rPr>
                <w:rFonts w:ascii="Arial" w:cs="Arial" w:eastAsia="Arial" w:hAnsi="Arial"/>
                <w:color w:val="1D9E75"/>
                <w:sz w:val="18"/>
                <w:szCs w:val="18"/>
              </w:rPr>
              <w:t xml:space="preserve">Open the Lumi white-label demo now to see exactly what their clients experience.</w:t>
            </w:r>
          </w:p>
        </w:tc>
      </w:tr>
    </w:tbl>
    <w:p>
      <w:pPr>
        <w:pStyle w:val="ListParagraph"/>
        <w:numPr>
          <w:ilvl w:val="0"/>
          <w:numId w:val="2"/>
        </w:numPr>
        <w:spacing w:after="30" w:before="30"/>
      </w:pPr>
      <w:hyperlink w:history="1" r:id="rIdutgeeepscukouos9dehrm">
        <w:r>
          <w:rPr>
            <w:rStyle w:val="Hyperlink"/>
            <w:rFonts w:ascii="Arial" w:cs="Arial" w:eastAsia="Arial" w:hAnsi="Arial"/>
            <w:color w:val="1246E8"/>
            <w:sz w:val="20"/>
            <w:szCs w:val="20"/>
            <w:u w:val="single"/>
          </w:rPr>
          <w:t xml:space="preserve">https://curalive-platform.replit.app/lumi-demo</w:t>
        </w:r>
      </w:hyperlink>
    </w:p>
    <w:p>
      <w:pPr>
        <w:spacing w:after="20" w:before="0"/>
      </w:pPr>
      <w:r>
        <w:rPr>
          <w:rFonts w:ascii="Arial" w:cs="Arial" w:eastAsia="Arial" w:hAnsi="Arial"/>
        </w:rPr>
        <w:t xml:space="preserve"> </w:t>
      </w:r>
    </w:p>
    <w:p>
      <w:r>
        <w:r>
          <w:br w:type="page"/>
        </w:r>
      </w:r>
    </w:p>
    <w:p>
      <w:pPr>
        <w:pStyle w:val="Heading1"/>
        <w:pBdr>
          <w:bottom w:val="single" w:color="1D9E75" w:sz="14" w:space="4"/>
        </w:pBdr>
        <w:spacing w:after="120" w:before="360"/>
      </w:pPr>
      <w:r>
        <w:rPr>
          <w:rFonts w:ascii="Arial" w:cs="Arial" w:eastAsia="Arial" w:hAnsi="Arial"/>
          <w:b/>
          <w:bCs/>
          <w:color w:val="0A2540"/>
          <w:sz w:val="38"/>
          <w:szCs w:val="38"/>
        </w:rPr>
        <w:t xml:space="preserve">Section 4 — Demo Script: The Lumi Meeting</w:t>
      </w:r>
    </w:p>
    <w:p>
      <w:pPr>
        <w:spacing w:after="80" w:before="40"/>
      </w:pPr>
      <w:r>
        <w:rPr>
          <w:rFonts w:ascii="Arial" w:cs="Arial" w:eastAsia="Arial" w:hAnsi="Arial"/>
          <w:sz w:val="20"/>
          <w:szCs w:val="20"/>
        </w:rPr>
        <w:t xml:space="preserve">45 minutes. 10 steps. Every step has a link. Rehearse twice before the meeting. The product demos itself — your job is to set up each screen and let it run.</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6"/>
              <w:left w:val="single" w:color="0A2540" w:sz="6"/>
              <w:bottom w:val="single" w:color="0A2540" w:sz="6"/>
              <w:right w:val="single" w:color="0A2540" w:sz="6"/>
            </w:tcBorders>
            <w:shd w:fill="f4f5f8" w:val="clear"/>
            <w:tcMar>
              <w:top w:type="dxa" w:w="80"/>
              <w:left w:type="dxa" w:w="160"/>
              <w:bottom w:type="dxa" w:w="80"/>
              <w:right w:type="dxa" w:w="160"/>
            </w:tcMar>
          </w:tcPr>
          <w:p>
            <w:pPr>
              <w:spacing w:after="20" w:before="20"/>
            </w:pPr>
            <w:r>
              <w:rPr>
                <w:rFonts w:ascii="Arial" w:cs="Arial" w:eastAsia="Arial" w:hAnsi="Arial"/>
                <w:b/>
                <w:bCs/>
                <w:color w:val="0A2540"/>
                <w:sz w:val="18"/>
                <w:szCs w:val="18"/>
              </w:rPr>
              <w:t xml:space="preserve">Pre-meeting setup:  </w:t>
            </w:r>
            <w:r>
              <w:rPr>
                <w:rFonts w:ascii="Arial" w:cs="Arial" w:eastAsia="Arial" w:hAnsi="Arial"/>
                <w:color w:val="0A2540"/>
                <w:sz w:val="18"/>
                <w:szCs w:val="18"/>
              </w:rPr>
              <w:t xml:space="preserve">Do this the day before: (1) Generate real demo tokens from Replit. (2) Test every link below opens on your machine. (3) Bookmark the Demo Studio URL. (4) Have the Lumi white-label demo open in a separate tab ready to go.</w:t>
            </w:r>
          </w:p>
        </w:tc>
      </w:tr>
    </w:tbl>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4.1  The 10-Step Demo</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560"/>
        <w:gridCol w:w="2000"/>
        <w:gridCol w:w="4600"/>
        <w:gridCol w:w="1820"/>
      </w:tblGrid>
      <w:tr>
        <w:tc>
          <w:tcPr>
            <w:tcW w:type="dxa" w:w="38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t>
            </w:r>
          </w:p>
        </w:tc>
        <w:tc>
          <w:tcPr>
            <w:tcW w:type="dxa" w:w="5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Time</w:t>
            </w:r>
          </w:p>
        </w:tc>
        <w:tc>
          <w:tcPr>
            <w:tcW w:type="dxa" w:w="20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What you do</w:t>
            </w:r>
          </w:p>
        </w:tc>
        <w:tc>
          <w:tcPr>
            <w:tcW w:type="dxa" w:w="46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Notes</w:t>
            </w:r>
          </w:p>
        </w:tc>
        <w:tc>
          <w:tcPr>
            <w:tcW w:type="dxa" w:w="182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Link</w:t>
            </w:r>
          </w:p>
        </w:tc>
      </w:tr>
      <w:tr>
        <w:tc>
          <w:tcPr>
            <w:tcW w:type="dxa" w:w="38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color w:val="0A2540"/>
                <w:sz w:val="18"/>
                <w:szCs w:val="18"/>
              </w:rPr>
              <w:t xml:space="preserve">1</w:t>
            </w:r>
          </w:p>
        </w:tc>
        <w:tc>
          <w:tcPr>
            <w:tcW w:type="dxa" w:w="5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2 min</w:t>
            </w:r>
          </w:p>
        </w:tc>
        <w:tc>
          <w:tcPr>
            <w:tcW w:type="dxa" w:w="20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Open with the one-sentence pitch</w:t>
            </w:r>
          </w:p>
        </w:tc>
        <w:tc>
          <w:tcPr>
            <w:tcW w:type="dxa" w:w="4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"CuraLive makes a regulated corporate event intelligent before it starts, compliant while it runs, and actionable before the operator leaves the room. One link. Any platform. Zero integration." Then stop and open the demo.</w:t>
            </w:r>
          </w:p>
        </w:tc>
        <w:tc>
          <w:tcPr>
            <w:tcW w:type="dxa" w:w="182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w:t>
            </w:r>
          </w:p>
        </w:tc>
      </w:tr>
      <w:tr>
        <w:tc>
          <w:tcPr>
            <w:tcW w:type="dxa" w:w="38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b/>
                <w:bCs/>
                <w:color w:val="1D9E75"/>
                <w:sz w:val="18"/>
                <w:szCs w:val="18"/>
              </w:rPr>
              <w:t xml:space="preserve">2</w:t>
            </w:r>
          </w:p>
        </w:tc>
        <w:tc>
          <w:tcPr>
            <w:tcW w:type="dxa" w:w="5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5 min</w:t>
            </w:r>
          </w:p>
        </w:tc>
        <w:tc>
          <w:tcPr>
            <w:tcW w:type="dxa" w:w="20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Launch the Demo Studio</w:t>
            </w:r>
          </w:p>
        </w:tc>
        <w:tc>
          <w:tcPr>
            <w:tcW w:type="dxa" w:w="46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Let it run for 2 minutes without speaking. They will see: transcript streaming, sentiment bars moving, a compliance flag firing with the JSE rule reference, Q&amp;A queue filling. Say: "This is a live earnings call. Everything you see is happening in real time."</w:t>
            </w:r>
          </w:p>
        </w:tc>
        <w:tc>
          <w:tcPr>
            <w:tcW w:type="dxa" w:w="182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kkrtcigwu8zfuc1be-hb6">
              <w:r>
                <w:rPr>
                  <w:rStyle w:val="Hyperlink"/>
                  <w:rFonts w:ascii="Arial" w:cs="Arial" w:eastAsia="Arial" w:hAnsi="Arial"/>
                  <w:color w:val="1246E8"/>
                  <w:sz w:val="20"/>
                  <w:szCs w:val="20"/>
                  <w:u w:val="single"/>
                </w:rPr>
                <w:t xml:space="preserve">Launch →</w:t>
              </w:r>
            </w:hyperlink>
          </w:p>
        </w:tc>
      </w:tr>
      <w:tr>
        <w:tc>
          <w:tcPr>
            <w:tcW w:type="dxa" w:w="38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color w:val="0A2540"/>
                <w:sz w:val="18"/>
                <w:szCs w:val="18"/>
              </w:rPr>
              <w:t xml:space="preserve">3</w:t>
            </w:r>
          </w:p>
        </w:tc>
        <w:tc>
          <w:tcPr>
            <w:tcW w:type="dxa" w:w="5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3 min</w:t>
            </w:r>
          </w:p>
        </w:tc>
        <w:tc>
          <w:tcPr>
            <w:tcW w:type="dxa" w:w="20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Explain what just happened</w:t>
            </w:r>
          </w:p>
        </w:tc>
        <w:tc>
          <w:tcPr>
            <w:tcW w:type="dxa" w:w="4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Walk back through it: AI agent joined the Zoom silently. Every word transcribed and analysed instantly. A compliance flag fired with the exact JSE rule and a 48-hour deadline. Q&amp;A moderated before the question reached the speaker. All automatic.</w:t>
            </w:r>
          </w:p>
        </w:tc>
        <w:tc>
          <w:tcPr>
            <w:tcW w:type="dxa" w:w="182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w:t>
            </w:r>
          </w:p>
        </w:tc>
      </w:tr>
      <w:tr>
        <w:tc>
          <w:tcPr>
            <w:tcW w:type="dxa" w:w="38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b/>
                <w:bCs/>
                <w:color w:val="1D9E75"/>
                <w:sz w:val="18"/>
                <w:szCs w:val="18"/>
              </w:rPr>
              <w:t xml:space="preserve">4</w:t>
            </w:r>
          </w:p>
        </w:tc>
        <w:tc>
          <w:tcPr>
            <w:tcW w:type="dxa" w:w="5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4 min</w:t>
            </w:r>
          </w:p>
        </w:tc>
        <w:tc>
          <w:tcPr>
            <w:tcW w:type="dxa" w:w="20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Show the operator console</w:t>
            </w:r>
          </w:p>
        </w:tc>
        <w:tc>
          <w:tcPr>
            <w:tcW w:type="dxa" w:w="46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Open Shadow Mode. Create a test session. Set tier to Intelligence. Add a recipient email. Run the readiness check — 5 green ticks. This is what your operator does 30 minutes before every event.</w:t>
            </w:r>
          </w:p>
        </w:tc>
        <w:tc>
          <w:tcPr>
            <w:tcW w:type="dxa" w:w="182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g6willvjtlqijyzq4om4s">
              <w:r>
                <w:rPr>
                  <w:rStyle w:val="Hyperlink"/>
                  <w:rFonts w:ascii="Arial" w:cs="Arial" w:eastAsia="Arial" w:hAnsi="Arial"/>
                  <w:color w:val="1246E8"/>
                  <w:sz w:val="20"/>
                  <w:szCs w:val="20"/>
                  <w:u w:val="single"/>
                </w:rPr>
                <w:t xml:space="preserve">Shadow Mode →</w:t>
              </w:r>
            </w:hyperlink>
          </w:p>
        </w:tc>
      </w:tr>
      <w:tr>
        <w:tc>
          <w:tcPr>
            <w:tcW w:type="dxa" w:w="38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color w:val="BA7517"/>
                <w:sz w:val="18"/>
                <w:szCs w:val="18"/>
              </w:rPr>
              <w:t xml:space="preserve">5</w:t>
            </w:r>
          </w:p>
        </w:tc>
        <w:tc>
          <w:tcPr>
            <w:tcW w:type="dxa" w:w="5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3 min</w:t>
            </w:r>
          </w:p>
        </w:tc>
        <w:tc>
          <w:tcPr>
            <w:tcW w:type="dxa" w:w="20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Show the presenter screen</w:t>
            </w:r>
          </w:p>
        </w:tc>
        <w:tc>
          <w:tcPr>
            <w:tcW w:type="dxa" w:w="4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Open on a second screen or tablet. This is what the CFO or CEO sees during Q&amp;A. Approved question in large text. AI talking points behind a toggle. 3 next questions queued. Say: "The speaker never sees an unapproved question."</w:t>
            </w:r>
          </w:p>
        </w:tc>
        <w:tc>
          <w:tcPr>
            <w:tcW w:type="dxa" w:w="182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m_o5e9gpbkb-ziarcgzhb">
              <w:r>
                <w:rPr>
                  <w:rStyle w:val="Hyperlink"/>
                  <w:rFonts w:ascii="Arial" w:cs="Arial" w:eastAsia="Arial" w:hAnsi="Arial"/>
                  <w:color w:val="1246E8"/>
                  <w:sz w:val="20"/>
                  <w:szCs w:val="20"/>
                  <w:u w:val="single"/>
                </w:rPr>
                <w:t xml:space="preserve">Presenter →</w:t>
              </w:r>
            </w:hyperlink>
          </w:p>
        </w:tc>
      </w:tr>
      <w:tr>
        <w:tc>
          <w:tcPr>
            <w:tcW w:type="dxa" w:w="38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b/>
                <w:bCs/>
                <w:color w:val="1D9E75"/>
                <w:sz w:val="18"/>
                <w:szCs w:val="18"/>
              </w:rPr>
              <w:t xml:space="preserve">6</w:t>
            </w:r>
          </w:p>
        </w:tc>
        <w:tc>
          <w:tcPr>
            <w:tcW w:type="dxa" w:w="5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5 min</w:t>
            </w:r>
          </w:p>
        </w:tc>
        <w:tc>
          <w:tcPr>
            <w:tcW w:type="dxa" w:w="20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Show the client live dashboard</w:t>
            </w:r>
          </w:p>
        </w:tc>
        <w:tc>
          <w:tcPr>
            <w:tcW w:type="dxa" w:w="46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Open /live/:token. Walk through all 5 tabs. Show the floating chat bubble — tap it, type "Please approve the Goldman question." Say: "This is what your IR team watches during the event — on their phone, at their desk, anywhere."</w:t>
            </w:r>
          </w:p>
        </w:tc>
        <w:tc>
          <w:tcPr>
            <w:tcW w:type="dxa" w:w="182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mrcl2jxyugd1cwik57gfv">
              <w:r>
                <w:rPr>
                  <w:rStyle w:val="Hyperlink"/>
                  <w:rFonts w:ascii="Arial" w:cs="Arial" w:eastAsia="Arial" w:hAnsi="Arial"/>
                  <w:color w:val="1246E8"/>
                  <w:sz w:val="20"/>
                  <w:szCs w:val="20"/>
                  <w:u w:val="single"/>
                </w:rPr>
                <w:t xml:space="preserve">Live dashboard →</w:t>
              </w:r>
            </w:hyperlink>
          </w:p>
        </w:tc>
      </w:tr>
      <w:tr>
        <w:tc>
          <w:tcPr>
            <w:tcW w:type="dxa" w:w="38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color w:val="0A2540"/>
                <w:sz w:val="18"/>
                <w:szCs w:val="18"/>
              </w:rPr>
              <w:t xml:space="preserve">7</w:t>
            </w:r>
          </w:p>
        </w:tc>
        <w:tc>
          <w:tcPr>
            <w:tcW w:type="dxa" w:w="5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5 min</w:t>
            </w:r>
          </w:p>
        </w:tc>
        <w:tc>
          <w:tcPr>
            <w:tcW w:type="dxa" w:w="20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Show the post-event report</w:t>
            </w:r>
          </w:p>
        </w:tc>
        <w:tc>
          <w:tcPr>
            <w:tcW w:type="dxa" w:w="4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Open /report/:token. Click through all 10 tabs deliberately. Pause on Compliance — show the JSE rule reference and 48-hour deadline. Show the SENS draft ready to file. Show the certificate. Say: "Delivered automatically within 5 minutes of the call ending."</w:t>
            </w:r>
          </w:p>
        </w:tc>
        <w:tc>
          <w:tcPr>
            <w:tcW w:type="dxa" w:w="182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shi2rt-6tevbjqqrgebby">
              <w:r>
                <w:rPr>
                  <w:rStyle w:val="Hyperlink"/>
                  <w:rFonts w:ascii="Arial" w:cs="Arial" w:eastAsia="Arial" w:hAnsi="Arial"/>
                  <w:color w:val="1246E8"/>
                  <w:sz w:val="20"/>
                  <w:szCs w:val="20"/>
                  <w:u w:val="single"/>
                </w:rPr>
                <w:t xml:space="preserve">Report →</w:t>
              </w:r>
            </w:hyperlink>
          </w:p>
        </w:tc>
      </w:tr>
      <w:tr>
        <w:tc>
          <w:tcPr>
            <w:tcW w:type="dxa" w:w="38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b/>
                <w:bCs/>
                <w:color w:val="1D9E75"/>
                <w:sz w:val="18"/>
                <w:szCs w:val="18"/>
              </w:rPr>
              <w:t xml:space="preserve">8</w:t>
            </w:r>
          </w:p>
        </w:tc>
        <w:tc>
          <w:tcPr>
            <w:tcW w:type="dxa" w:w="5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3 min</w:t>
            </w:r>
          </w:p>
        </w:tc>
        <w:tc>
          <w:tcPr>
            <w:tcW w:type="dxa" w:w="20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White label reveal</w:t>
            </w:r>
          </w:p>
        </w:tc>
        <w:tc>
          <w:tcPr>
            <w:tcW w:type="dxa" w:w="46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Open the Lumi white-label demo. Show: their brand, their domain, their email. Say: "Your clients never see CuraLive. This is your product." Then pause. Let that land. Do not fill the silence.</w:t>
            </w:r>
          </w:p>
        </w:tc>
        <w:tc>
          <w:tcPr>
            <w:tcW w:type="dxa" w:w="182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2r47mvd09xeuyeligkq1o">
              <w:r>
                <w:rPr>
                  <w:rStyle w:val="Hyperlink"/>
                  <w:rFonts w:ascii="Arial" w:cs="Arial" w:eastAsia="Arial" w:hAnsi="Arial"/>
                  <w:color w:val="1246E8"/>
                  <w:sz w:val="20"/>
                  <w:szCs w:val="20"/>
                  <w:u w:val="single"/>
                </w:rPr>
                <w:t xml:space="preserve">Lumi demo →</w:t>
              </w:r>
            </w:hyperlink>
          </w:p>
        </w:tc>
      </w:tr>
      <w:tr>
        <w:tc>
          <w:tcPr>
            <w:tcW w:type="dxa" w:w="380"/>
            <w:tcBorders>
              <w:top w:val="single" w:color="dde0e8" w:sz="4"/>
              <w:left w:val="single" w:color="dde0e8" w:sz="4"/>
              <w:bottom w:val="single" w:color="dde0e8" w:sz="4"/>
              <w:right w:val="single" w:color="dde0e8" w:sz="4"/>
            </w:tcBorders>
            <w:shd w:fill="f0eeff" w:val="clear"/>
            <w:tcMar>
              <w:top w:type="dxa" w:w="80"/>
              <w:left w:type="dxa" w:w="120"/>
              <w:bottom w:type="dxa" w:w="80"/>
              <w:right w:type="dxa" w:w="120"/>
            </w:tcMar>
          </w:tcPr>
          <w:p>
            <w:pPr>
              <w:spacing w:after="20" w:before="20"/>
            </w:pPr>
            <w:r>
              <w:rPr>
                <w:rFonts w:ascii="Arial" w:cs="Arial" w:eastAsia="Arial" w:hAnsi="Arial"/>
                <w:b/>
                <w:bCs/>
                <w:color w:val="534AB7"/>
                <w:sz w:val="18"/>
                <w:szCs w:val="18"/>
              </w:rPr>
              <w:t xml:space="preserve">9</w:t>
            </w:r>
          </w:p>
        </w:tc>
        <w:tc>
          <w:tcPr>
            <w:tcW w:type="dxa" w:w="560"/>
            <w:tcBorders>
              <w:top w:val="single" w:color="dde0e8" w:sz="4"/>
              <w:left w:val="single" w:color="dde0e8" w:sz="4"/>
              <w:bottom w:val="single" w:color="dde0e8" w:sz="4"/>
              <w:right w:val="single" w:color="dde0e8" w:sz="4"/>
            </w:tcBorders>
            <w:shd w:fill="f0eeff" w:val="clear"/>
            <w:tcMar>
              <w:top w:type="dxa" w:w="80"/>
              <w:left w:type="dxa" w:w="120"/>
              <w:bottom w:type="dxa" w:w="80"/>
              <w:right w:type="dxa" w:w="120"/>
            </w:tcMar>
          </w:tcPr>
          <w:p>
            <w:pPr>
              <w:spacing w:after="20" w:before="20"/>
            </w:pPr>
            <w:r>
              <w:rPr>
                <w:rFonts w:ascii="Arial" w:cs="Arial" w:eastAsia="Arial" w:hAnsi="Arial"/>
                <w:sz w:val="18"/>
                <w:szCs w:val="18"/>
              </w:rPr>
              <w:t xml:space="preserve">4 min</w:t>
            </w:r>
          </w:p>
        </w:tc>
        <w:tc>
          <w:tcPr>
            <w:tcW w:type="dxa" w:w="2000"/>
            <w:tcBorders>
              <w:top w:val="single" w:color="dde0e8" w:sz="4"/>
              <w:left w:val="single" w:color="dde0e8" w:sz="4"/>
              <w:bottom w:val="single" w:color="dde0e8" w:sz="4"/>
              <w:right w:val="single" w:color="dde0e8" w:sz="4"/>
            </w:tcBorders>
            <w:shd w:fill="f0eeff" w:val="clear"/>
            <w:tcMar>
              <w:top w:type="dxa" w:w="80"/>
              <w:left w:type="dxa" w:w="120"/>
              <w:bottom w:type="dxa" w:w="80"/>
              <w:right w:type="dxa" w:w="120"/>
            </w:tcMar>
          </w:tcPr>
          <w:p>
            <w:pPr>
              <w:spacing w:after="20" w:before="20"/>
            </w:pPr>
            <w:r>
              <w:rPr>
                <w:rFonts w:ascii="Arial" w:cs="Arial" w:eastAsia="Arial" w:hAnsi="Arial"/>
                <w:sz w:val="18"/>
                <w:szCs w:val="18"/>
              </w:rPr>
              <w:t xml:space="preserve">The AGM opportunity</w:t>
            </w:r>
          </w:p>
        </w:tc>
        <w:tc>
          <w:tcPr>
            <w:tcW w:type="dxa" w:w="4600"/>
            <w:tcBorders>
              <w:top w:val="single" w:color="dde0e8" w:sz="4"/>
              <w:left w:val="single" w:color="dde0e8" w:sz="4"/>
              <w:bottom w:val="single" w:color="dde0e8" w:sz="4"/>
              <w:right w:val="single" w:color="dde0e8" w:sz="4"/>
            </w:tcBorders>
            <w:shd w:fill="f0eeff" w:val="clear"/>
            <w:tcMar>
              <w:top w:type="dxa" w:w="80"/>
              <w:left w:type="dxa" w:w="120"/>
              <w:bottom w:type="dxa" w:w="80"/>
              <w:right w:type="dxa" w:w="120"/>
            </w:tcMar>
          </w:tcPr>
          <w:p>
            <w:pPr>
              <w:spacing w:after="20" w:before="20"/>
            </w:pPr>
            <w:r>
              <w:rPr>
                <w:rFonts w:ascii="Arial" w:cs="Arial" w:eastAsia="Arial" w:hAnsi="Arial"/>
                <w:sz w:val="18"/>
                <w:szCs w:val="18"/>
              </w:rPr>
              <w:t xml:space="preserve">Say: "You run hundreds of AGMs a year. No other platform does this for AGMs." Open AGM Intelligence. Show resolution tracking, dissent detection, proxy advisor alerts (ISS, Glass Lewis). Say: "Every activist shareholder signal, every proxy advisor reference — detected in real time and delivered to the board."</w:t>
            </w:r>
          </w:p>
        </w:tc>
        <w:tc>
          <w:tcPr>
            <w:tcW w:type="dxa" w:w="1820"/>
            <w:tcBorders>
              <w:top w:val="single" w:color="dde0e8" w:sz="4"/>
              <w:left w:val="single" w:color="dde0e8" w:sz="4"/>
              <w:bottom w:val="single" w:color="dde0e8" w:sz="4"/>
              <w:right w:val="single" w:color="dde0e8" w:sz="4"/>
            </w:tcBorders>
            <w:shd w:fill="f0eeff" w:val="clear"/>
            <w:tcMar>
              <w:top w:type="dxa" w:w="80"/>
              <w:left w:type="dxa" w:w="120"/>
              <w:bottom w:type="dxa" w:w="80"/>
              <w:right w:type="dxa" w:w="120"/>
            </w:tcMar>
          </w:tcPr>
          <w:p>
            <w:pPr>
              <w:spacing w:after="20" w:before="20"/>
            </w:pPr>
            <w:hyperlink w:history="1" r:id="rIdmg_czgwzckywvly5rksca">
              <w:r>
                <w:rPr>
                  <w:rStyle w:val="Hyperlink"/>
                  <w:rFonts w:ascii="Arial" w:cs="Arial" w:eastAsia="Arial" w:hAnsi="Arial"/>
                  <w:color w:val="1246E8"/>
                  <w:sz w:val="20"/>
                  <w:szCs w:val="20"/>
                  <w:u w:val="single"/>
                </w:rPr>
                <w:t xml:space="preserve">AGM Intel →</w:t>
              </w:r>
            </w:hyperlink>
          </w:p>
        </w:tc>
      </w:tr>
      <w:tr>
        <w:tc>
          <w:tcPr>
            <w:tcW w:type="dxa" w:w="380"/>
            <w:tcBorders>
              <w:top w:val="single" w:color="dde0e8" w:sz="4"/>
              <w:left w:val="single" w:color="dde0e8" w:sz="4"/>
              <w:bottom w:val="single" w:color="dde0e8" w:sz="4"/>
              <w:right w:val="single" w:color="dde0e8" w:sz="4"/>
            </w:tcBorders>
            <w:shd w:fill="fdf8e8" w:val="clear"/>
            <w:tcMar>
              <w:top w:type="dxa" w:w="80"/>
              <w:left w:type="dxa" w:w="120"/>
              <w:bottom w:type="dxa" w:w="80"/>
              <w:right w:type="dxa" w:w="120"/>
            </w:tcMar>
          </w:tcPr>
          <w:p>
            <w:pPr>
              <w:spacing w:after="20" w:before="20"/>
            </w:pPr>
            <w:r>
              <w:rPr>
                <w:rFonts w:ascii="Arial" w:cs="Arial" w:eastAsia="Arial" w:hAnsi="Arial"/>
                <w:b/>
                <w:bCs/>
                <w:color w:val="b8860b"/>
                <w:sz w:val="18"/>
                <w:szCs w:val="18"/>
              </w:rPr>
              <w:t xml:space="preserve">10</w:t>
            </w:r>
          </w:p>
        </w:tc>
        <w:tc>
          <w:tcPr>
            <w:tcW w:type="dxa" w:w="560"/>
            <w:tcBorders>
              <w:top w:val="single" w:color="dde0e8" w:sz="4"/>
              <w:left w:val="single" w:color="dde0e8" w:sz="4"/>
              <w:bottom w:val="single" w:color="dde0e8" w:sz="4"/>
              <w:right w:val="single" w:color="dde0e8" w:sz="4"/>
            </w:tcBorders>
            <w:shd w:fill="fdf8e8" w:val="clear"/>
            <w:tcMar>
              <w:top w:type="dxa" w:w="80"/>
              <w:left w:type="dxa" w:w="120"/>
              <w:bottom w:type="dxa" w:w="80"/>
              <w:right w:type="dxa" w:w="120"/>
            </w:tcMar>
          </w:tcPr>
          <w:p>
            <w:pPr>
              <w:spacing w:after="20" w:before="20"/>
            </w:pPr>
            <w:r>
              <w:rPr>
                <w:rFonts w:ascii="Arial" w:cs="Arial" w:eastAsia="Arial" w:hAnsi="Arial"/>
                <w:sz w:val="18"/>
                <w:szCs w:val="18"/>
              </w:rPr>
              <w:t xml:space="preserve">10 min</w:t>
            </w:r>
          </w:p>
        </w:tc>
        <w:tc>
          <w:tcPr>
            <w:tcW w:type="dxa" w:w="2000"/>
            <w:tcBorders>
              <w:top w:val="single" w:color="dde0e8" w:sz="4"/>
              <w:left w:val="single" w:color="dde0e8" w:sz="4"/>
              <w:bottom w:val="single" w:color="dde0e8" w:sz="4"/>
              <w:right w:val="single" w:color="dde0e8" w:sz="4"/>
            </w:tcBorders>
            <w:shd w:fill="fdf8e8" w:val="clear"/>
            <w:tcMar>
              <w:top w:type="dxa" w:w="80"/>
              <w:left w:type="dxa" w:w="120"/>
              <w:bottom w:type="dxa" w:w="80"/>
              <w:right w:type="dxa" w:w="120"/>
            </w:tcMar>
          </w:tcPr>
          <w:p>
            <w:pPr>
              <w:spacing w:after="20" w:before="20"/>
            </w:pPr>
            <w:r>
              <w:rPr>
                <w:rFonts w:ascii="Arial" w:cs="Arial" w:eastAsia="Arial" w:hAnsi="Arial"/>
                <w:sz w:val="18"/>
                <w:szCs w:val="18"/>
              </w:rPr>
              <w:t xml:space="preserve">Commercial conversation</w:t>
            </w:r>
          </w:p>
        </w:tc>
        <w:tc>
          <w:tcPr>
            <w:tcW w:type="dxa" w:w="4600"/>
            <w:tcBorders>
              <w:top w:val="single" w:color="dde0e8" w:sz="4"/>
              <w:left w:val="single" w:color="dde0e8" w:sz="4"/>
              <w:bottom w:val="single" w:color="dde0e8" w:sz="4"/>
              <w:right w:val="single" w:color="dde0e8" w:sz="4"/>
            </w:tcBorders>
            <w:shd w:fill="fdf8e8" w:val="clear"/>
            <w:tcMar>
              <w:top w:type="dxa" w:w="80"/>
              <w:left w:type="dxa" w:w="120"/>
              <w:bottom w:type="dxa" w:w="80"/>
              <w:right w:type="dxa" w:w="120"/>
            </w:tcMar>
          </w:tcPr>
          <w:p>
            <w:pPr>
              <w:spacing w:after="20" w:before="20"/>
            </w:pPr>
            <w:r>
              <w:rPr>
                <w:rFonts w:ascii="Arial" w:cs="Arial" w:eastAsia="Arial" w:hAnsi="Arial"/>
                <w:sz w:val="18"/>
                <w:szCs w:val="18"/>
              </w:rPr>
              <w:t xml:space="preserve">Revenue share to start: add a CuraLive fee to your existing per-event invoice, 70/30 split in your favour, zero upfront cost. White label licence when volume justifies it (R150K–R400K/year + per-event). First event: pick one JSE Top 40 client and run their next earnings call. Ask: "Which client would you most want to show this to first?"</w:t>
            </w:r>
          </w:p>
        </w:tc>
        <w:tc>
          <w:tcPr>
            <w:tcW w:type="dxa" w:w="1820"/>
            <w:tcBorders>
              <w:top w:val="single" w:color="dde0e8" w:sz="4"/>
              <w:left w:val="single" w:color="dde0e8" w:sz="4"/>
              <w:bottom w:val="single" w:color="dde0e8" w:sz="4"/>
              <w:right w:val="single" w:color="dde0e8" w:sz="4"/>
            </w:tcBorders>
            <w:shd w:fill="fdf8e8" w:val="clear"/>
            <w:tcMar>
              <w:top w:type="dxa" w:w="80"/>
              <w:left w:type="dxa" w:w="120"/>
              <w:bottom w:type="dxa" w:w="80"/>
              <w:right w:type="dxa" w:w="120"/>
            </w:tcMar>
          </w:tcPr>
          <w:p>
            <w:pPr>
              <w:spacing w:after="20" w:before="20"/>
            </w:pPr>
            <w:r>
              <w:rPr>
                <w:rFonts w:ascii="Arial" w:cs="Arial" w:eastAsia="Arial" w:hAnsi="Arial"/>
                <w:sz w:val="18"/>
                <w:szCs w:val="18"/>
              </w:rPr>
              <w:t xml:space="preserve">—</w:t>
            </w:r>
          </w:p>
        </w:tc>
      </w:tr>
    </w:tbl>
    <w:p>
      <w:pPr>
        <w:spacing w:after="30" w:before="0"/>
      </w:pPr>
      <w:r>
        <w:rPr>
          <w:rFonts w:ascii="Arial" w:cs="Arial" w:eastAsia="Arial" w:hAnsi="Arial"/>
        </w:rPr>
        <w:t xml:space="preserve"> </w:t>
      </w:r>
    </w:p>
    <w:p>
      <w:r>
        <w:r>
          <w:br w:type="page"/>
        </w:r>
      </w:r>
    </w:p>
    <w:p>
      <w:pPr>
        <w:pStyle w:val="Heading1"/>
        <w:pBdr>
          <w:bottom w:val="single" w:color="1D9E75" w:sz="14" w:space="4"/>
        </w:pBdr>
        <w:spacing w:after="120" w:before="360"/>
      </w:pPr>
      <w:r>
        <w:rPr>
          <w:rFonts w:ascii="Arial" w:cs="Arial" w:eastAsia="Arial" w:hAnsi="Arial"/>
          <w:b/>
          <w:bCs/>
          <w:color w:val="0A2540"/>
          <w:sz w:val="38"/>
          <w:szCs w:val="38"/>
        </w:rPr>
        <w:t xml:space="preserve">Section 5 — Your Action Items, In Priority Order</w:t>
      </w:r>
    </w:p>
    <w:p>
      <w:pPr>
        <w:spacing w:after="80" w:before="40"/>
      </w:pPr>
      <w:r>
        <w:rPr>
          <w:rFonts w:ascii="Arial" w:cs="Arial" w:eastAsia="Arial" w:hAnsi="Arial"/>
          <w:sz w:val="20"/>
          <w:szCs w:val="20"/>
        </w:rPr>
        <w:t xml:space="preserve">Honest and ranked by commercial impact. Items 1 and 2 must happen before the demo. Items 3 and 4 determine whether CuraLive reaches its exit target.</w:t>
      </w:r>
    </w:p>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5.1  This Week — Non-Negotiable</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4900"/>
        <w:gridCol w:w="2360"/>
      </w:tblGrid>
      <w:tr>
        <w:tc>
          <w:tcPr>
            <w:tcW w:type="dxa" w:w="15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Priority</w:t>
            </w:r>
          </w:p>
        </w:tc>
        <w:tc>
          <w:tcPr>
            <w:tcW w:type="dxa" w:w="6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t>
            </w:r>
          </w:p>
        </w:tc>
        <w:tc>
          <w:tcPr>
            <w:tcW w:type="dxa" w:w="49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Action + why</w:t>
            </w:r>
          </w:p>
        </w:tc>
        <w:tc>
          <w:tcPr>
            <w:tcW w:type="dxa" w:w="23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Owner</w:t>
            </w:r>
          </w:p>
        </w:tc>
      </w:tr>
      <w:tr>
        <w:tc>
          <w:tcPr>
            <w:tcW w:type="dxa" w:w="15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b/>
                <w:bCs/>
                <w:color w:val="C0291A"/>
                <w:sz w:val="18"/>
                <w:szCs w:val="18"/>
              </w:rPr>
              <w:t xml:space="preserve">🔴  URGENT</w:t>
            </w:r>
          </w:p>
        </w:tc>
        <w:tc>
          <w:tcPr>
            <w:tcW w:type="dxa" w:w="6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b/>
                <w:bCs/>
                <w:color w:val="C0291A"/>
                <w:sz w:val="18"/>
                <w:szCs w:val="18"/>
              </w:rPr>
              <w:t xml:space="preserve">1</w:t>
            </w:r>
          </w:p>
        </w:tc>
        <w:tc>
          <w:tcPr>
            <w:tcW w:type="dxa" w:w="49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8" w:before="16"/>
            </w:pPr>
            <w:r>
              <w:rPr>
                <w:rFonts w:ascii="Arial" w:cs="Arial" w:eastAsia="Arial" w:hAnsi="Arial"/>
                <w:b/>
                <w:bCs/>
                <w:color w:val="0A2540"/>
                <w:sz w:val="18"/>
                <w:szCs w:val="18"/>
              </w:rPr>
              <w:t xml:space="preserve">Generate real demo tokens (30 min)</w:t>
            </w:r>
          </w:p>
          <w:p>
            <w:pPr>
              <w:spacing w:after="16" w:before="0"/>
            </w:pPr>
            <w:r>
              <w:rPr>
                <w:rFonts w:ascii="Arial" w:cs="Arial" w:eastAsia="Arial" w:hAnsi="Arial"/>
                <w:color w:val="6b7280"/>
                <w:sz w:val="17"/>
                <w:szCs w:val="17"/>
              </w:rPr>
              <w:t xml:space="preserve">Ask Replit to generate demo tokens for /live/:token, /report/:token, and /presenter/:token pointing at a completed session with real compliance flags. The links in Section 4 open empty pages without real tokens.</w:t>
            </w:r>
          </w:p>
        </w:tc>
        <w:tc>
          <w:tcPr>
            <w:tcW w:type="dxa" w:w="236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b/>
                <w:bCs/>
                <w:sz w:val="18"/>
                <w:szCs w:val="18"/>
              </w:rPr>
              <w:t xml:space="preserve">Replit</w:t>
            </w:r>
          </w:p>
        </w:tc>
      </w:tr>
      <w:tr>
        <w:tc>
          <w:tcPr>
            <w:tcW w:type="dxa" w:w="15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b/>
                <w:bCs/>
                <w:color w:val="C0291A"/>
                <w:sz w:val="18"/>
                <w:szCs w:val="18"/>
              </w:rPr>
              <w:t xml:space="preserve">🔴  URGENT</w:t>
            </w:r>
          </w:p>
        </w:tc>
        <w:tc>
          <w:tcPr>
            <w:tcW w:type="dxa" w:w="6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b/>
                <w:bCs/>
                <w:color w:val="C0291A"/>
                <w:sz w:val="18"/>
                <w:szCs w:val="18"/>
              </w:rPr>
              <w:t xml:space="preserve">2</w:t>
            </w:r>
          </w:p>
        </w:tc>
        <w:tc>
          <w:tcPr>
            <w:tcW w:type="dxa" w:w="49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8" w:before="16"/>
            </w:pPr>
            <w:r>
              <w:rPr>
                <w:rFonts w:ascii="Arial" w:cs="Arial" w:eastAsia="Arial" w:hAnsi="Arial"/>
                <w:b/>
                <w:bCs/>
                <w:color w:val="0A2540"/>
                <w:sz w:val="18"/>
                <w:szCs w:val="18"/>
              </w:rPr>
              <w:t xml:space="preserve">Test every link in this document (1 hour)</w:t>
            </w:r>
          </w:p>
          <w:p>
            <w:pPr>
              <w:spacing w:after="16" w:before="0"/>
            </w:pPr>
            <w:r>
              <w:rPr>
                <w:rFonts w:ascii="Arial" w:cs="Arial" w:eastAsia="Arial" w:hAnsi="Arial"/>
                <w:color w:val="6b7280"/>
                <w:sz w:val="17"/>
                <w:szCs w:val="17"/>
              </w:rPr>
              <w:t xml:space="preserve">Open every clickable link on your machine. Confirm it loads. Fix any that do not. Do this two days before the meeting, not the morning of it.</w:t>
            </w:r>
          </w:p>
        </w:tc>
        <w:tc>
          <w:tcPr>
            <w:tcW w:type="dxa" w:w="236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b/>
                <w:bCs/>
                <w:sz w:val="18"/>
                <w:szCs w:val="18"/>
              </w:rPr>
              <w:t xml:space="preserve">You</w:t>
            </w:r>
          </w:p>
        </w:tc>
      </w:tr>
      <w:tr>
        <w:tc>
          <w:tcPr>
            <w:tcW w:type="dxa" w:w="15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b/>
                <w:bCs/>
                <w:color w:val="C0291A"/>
                <w:sz w:val="18"/>
                <w:szCs w:val="18"/>
              </w:rPr>
              <w:t xml:space="preserve">🔴  URGENT</w:t>
            </w:r>
          </w:p>
        </w:tc>
        <w:tc>
          <w:tcPr>
            <w:tcW w:type="dxa" w:w="6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b/>
                <w:bCs/>
                <w:color w:val="C0291A"/>
                <w:sz w:val="18"/>
                <w:szCs w:val="18"/>
              </w:rPr>
              <w:t xml:space="preserve">3</w:t>
            </w:r>
          </w:p>
        </w:tc>
        <w:tc>
          <w:tcPr>
            <w:tcW w:type="dxa" w:w="49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8" w:before="16"/>
            </w:pPr>
            <w:r>
              <w:rPr>
                <w:rFonts w:ascii="Arial" w:cs="Arial" w:eastAsia="Arial" w:hAnsi="Arial"/>
                <w:b/>
                <w:bCs/>
                <w:color w:val="0A2540"/>
                <w:sz w:val="18"/>
                <w:szCs w:val="18"/>
              </w:rPr>
              <w:t xml:space="preserve">Book the Lumi meeting — today</w:t>
            </w:r>
          </w:p>
          <w:p>
            <w:pPr>
              <w:spacing w:after="16" w:before="0"/>
            </w:pPr>
            <w:r>
              <w:rPr>
                <w:rFonts w:ascii="Arial" w:cs="Arial" w:eastAsia="Arial" w:hAnsi="Arial"/>
                <w:color w:val="6b7280"/>
                <w:sz w:val="17"/>
                <w:szCs w:val="17"/>
              </w:rPr>
              <w:t xml:space="preserve">Contact your C-suite connection at Lumi. Every week this waits is a week of commercial runway burning. You have everything you need: demos, commercial model, white label, AGM pitch. The only thing missing is the meeting.</w:t>
            </w:r>
          </w:p>
        </w:tc>
        <w:tc>
          <w:tcPr>
            <w:tcW w:type="dxa" w:w="236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b/>
                <w:bCs/>
                <w:sz w:val="18"/>
                <w:szCs w:val="18"/>
              </w:rPr>
              <w:t xml:space="preserve">You</w:t>
            </w:r>
          </w:p>
        </w:tc>
      </w:tr>
    </w:tbl>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5.2  This Month</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4900"/>
        <w:gridCol w:w="2360"/>
      </w:tblGrid>
      <w:tr>
        <w:tc>
          <w:tcPr>
            <w:tcW w:type="dxa" w:w="15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Priority</w:t>
            </w:r>
          </w:p>
        </w:tc>
        <w:tc>
          <w:tcPr>
            <w:tcW w:type="dxa" w:w="6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t>
            </w:r>
          </w:p>
        </w:tc>
        <w:tc>
          <w:tcPr>
            <w:tcW w:type="dxa" w:w="49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Action + why</w:t>
            </w:r>
          </w:p>
        </w:tc>
        <w:tc>
          <w:tcPr>
            <w:tcW w:type="dxa" w:w="23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Owner</w:t>
            </w:r>
          </w:p>
        </w:tc>
      </w:tr>
      <w:tr>
        <w:tc>
          <w:tcPr>
            <w:tcW w:type="dxa" w:w="15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b/>
                <w:bCs/>
                <w:color w:val="BA7517"/>
                <w:sz w:val="18"/>
                <w:szCs w:val="18"/>
              </w:rPr>
              <w:t xml:space="preserve">🟡  THIS MONTH</w:t>
            </w:r>
          </w:p>
        </w:tc>
        <w:tc>
          <w:tcPr>
            <w:tcW w:type="dxa" w:w="6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b/>
                <w:bCs/>
                <w:color w:val="BA7517"/>
                <w:sz w:val="18"/>
                <w:szCs w:val="18"/>
              </w:rPr>
              <w:t xml:space="preserve">4</w:t>
            </w:r>
          </w:p>
        </w:tc>
        <w:tc>
          <w:tcPr>
            <w:tcW w:type="dxa" w:w="49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8" w:before="16"/>
            </w:pPr>
            <w:r>
              <w:rPr>
                <w:rFonts w:ascii="Arial" w:cs="Arial" w:eastAsia="Arial" w:hAnsi="Arial"/>
                <w:b/>
                <w:bCs/>
                <w:color w:val="0A2540"/>
                <w:sz w:val="18"/>
                <w:szCs w:val="18"/>
              </w:rPr>
              <w:t xml:space="preserve">Send the CCSA employment exit email</w:t>
            </w:r>
          </w:p>
          <w:p>
            <w:pPr>
              <w:spacing w:after="16" w:before="0"/>
            </w:pPr>
            <w:r>
              <w:rPr>
                <w:rFonts w:ascii="Arial" w:cs="Arial" w:eastAsia="Arial" w:hAnsi="Arial"/>
                <w:color w:val="6b7280"/>
                <w:sz w:val="17"/>
                <w:szCs w:val="17"/>
              </w:rPr>
              <w:t xml:space="preserve">The email was drafted. It has been sitting. Your employment contract restricts commercial activity during employment — this is a live risk. The email asks one question and requests a written response. Send it.</w:t>
            </w:r>
          </w:p>
        </w:tc>
        <w:tc>
          <w:tcPr>
            <w:tcW w:type="dxa" w:w="236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b/>
                <w:bCs/>
                <w:sz w:val="18"/>
                <w:szCs w:val="18"/>
              </w:rPr>
              <w:t xml:space="preserve">You</w:t>
            </w:r>
          </w:p>
        </w:tc>
      </w:tr>
      <w:tr>
        <w:tc>
          <w:tcPr>
            <w:tcW w:type="dxa" w:w="15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b/>
                <w:bCs/>
                <w:color w:val="BA7517"/>
                <w:sz w:val="18"/>
                <w:szCs w:val="18"/>
              </w:rPr>
              <w:t xml:space="preserve">🟡  THIS MONTH</w:t>
            </w:r>
          </w:p>
        </w:tc>
        <w:tc>
          <w:tcPr>
            <w:tcW w:type="dxa" w:w="6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b/>
                <w:bCs/>
                <w:color w:val="BA7517"/>
                <w:sz w:val="18"/>
                <w:szCs w:val="18"/>
              </w:rPr>
              <w:t xml:space="preserve">5</w:t>
            </w:r>
          </w:p>
        </w:tc>
        <w:tc>
          <w:tcPr>
            <w:tcW w:type="dxa" w:w="49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8" w:before="16"/>
            </w:pPr>
            <w:r>
              <w:rPr>
                <w:rFonts w:ascii="Arial" w:cs="Arial" w:eastAsia="Arial" w:hAnsi="Arial"/>
                <w:b/>
                <w:bCs/>
                <w:color w:val="0A2540"/>
                <w:sz w:val="18"/>
                <w:szCs w:val="18"/>
              </w:rPr>
              <w:t xml:space="preserve">Submit Microsoft ISV Success Programme application</w:t>
            </w:r>
          </w:p>
          <w:p>
            <w:pPr>
              <w:spacing w:after="16" w:before="0"/>
            </w:pPr>
            <w:r>
              <w:rPr>
                <w:rFonts w:ascii="Arial" w:cs="Arial" w:eastAsia="Arial" w:hAnsi="Arial"/>
                <w:color w:val="6b7280"/>
                <w:sz w:val="17"/>
                <w:szCs w:val="17"/>
              </w:rPr>
              <w:t xml:space="preserve">partner.microsoft.com — straightforward application. Gets CuraLive on Microsoft's acquisition radar. Provides co-selling support. Direct route to the Teams integration and Copilot acquisition story.</w:t>
            </w:r>
          </w:p>
        </w:tc>
        <w:tc>
          <w:tcPr>
            <w:tcW w:type="dxa" w:w="236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b/>
                <w:bCs/>
                <w:sz w:val="18"/>
                <w:szCs w:val="18"/>
              </w:rPr>
              <w:t xml:space="preserve">You</w:t>
            </w:r>
          </w:p>
        </w:tc>
      </w:tr>
      <w:tr>
        <w:tc>
          <w:tcPr>
            <w:tcW w:type="dxa" w:w="15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b/>
                <w:bCs/>
                <w:color w:val="BA7517"/>
                <w:sz w:val="18"/>
                <w:szCs w:val="18"/>
              </w:rPr>
              <w:t xml:space="preserve">🟡  THIS MONTH</w:t>
            </w:r>
          </w:p>
        </w:tc>
        <w:tc>
          <w:tcPr>
            <w:tcW w:type="dxa" w:w="6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b/>
                <w:bCs/>
                <w:color w:val="BA7517"/>
                <w:sz w:val="18"/>
                <w:szCs w:val="18"/>
              </w:rPr>
              <w:t xml:space="preserve">6</w:t>
            </w:r>
          </w:p>
        </w:tc>
        <w:tc>
          <w:tcPr>
            <w:tcW w:type="dxa" w:w="49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8" w:before="16"/>
            </w:pPr>
            <w:r>
              <w:rPr>
                <w:rFonts w:ascii="Arial" w:cs="Arial" w:eastAsia="Arial" w:hAnsi="Arial"/>
                <w:b/>
                <w:bCs/>
                <w:color w:val="0A2540"/>
                <w:sz w:val="18"/>
                <w:szCs w:val="18"/>
              </w:rPr>
              <w:t xml:space="preserve">Run the first Lumi event</w:t>
            </w:r>
          </w:p>
          <w:p>
            <w:pPr>
              <w:spacing w:after="16" w:before="0"/>
            </w:pPr>
            <w:r>
              <w:rPr>
                <w:rFonts w:ascii="Arial" w:cs="Arial" w:eastAsia="Arial" w:hAnsi="Arial"/>
                <w:color w:val="6b7280"/>
                <w:sz w:val="17"/>
                <w:szCs w:val="17"/>
              </w:rPr>
              <w:t xml:space="preserve">After the Lumi meeting: identify one JSE Top 40 client and run their next earnings call through CuraLive. Produce the post-event report. Make it exceptional. One real deliverable from a real event is worth more than any pitch deck.</w:t>
            </w:r>
          </w:p>
        </w:tc>
        <w:tc>
          <w:tcPr>
            <w:tcW w:type="dxa" w:w="236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b/>
                <w:bCs/>
                <w:sz w:val="18"/>
                <w:szCs w:val="18"/>
              </w:rPr>
              <w:t xml:space="preserve">You + Steve</w:t>
            </w:r>
          </w:p>
        </w:tc>
      </w:tr>
      <w:tr>
        <w:tc>
          <w:tcPr>
            <w:tcW w:type="dxa" w:w="15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b/>
                <w:bCs/>
                <w:color w:val="BA7517"/>
                <w:sz w:val="18"/>
                <w:szCs w:val="18"/>
              </w:rPr>
              <w:t xml:space="preserve">🟡  THIS MONTH</w:t>
            </w:r>
          </w:p>
        </w:tc>
        <w:tc>
          <w:tcPr>
            <w:tcW w:type="dxa" w:w="6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b/>
                <w:bCs/>
                <w:color w:val="BA7517"/>
                <w:sz w:val="18"/>
                <w:szCs w:val="18"/>
              </w:rPr>
              <w:t xml:space="preserve">7</w:t>
            </w:r>
          </w:p>
        </w:tc>
        <w:tc>
          <w:tcPr>
            <w:tcW w:type="dxa" w:w="49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8" w:before="16"/>
            </w:pPr>
            <w:r>
              <w:rPr>
                <w:rFonts w:ascii="Arial" w:cs="Arial" w:eastAsia="Arial" w:hAnsi="Arial"/>
                <w:b/>
                <w:bCs/>
                <w:color w:val="0A2540"/>
                <w:sz w:val="18"/>
                <w:szCs w:val="18"/>
              </w:rPr>
              <w:t xml:space="preserve">Start PCT patent preparation</w:t>
            </w:r>
          </w:p>
          <w:p>
            <w:pPr>
              <w:spacing w:after="16" w:before="0"/>
            </w:pPr>
            <w:r>
              <w:rPr>
                <w:rFonts w:ascii="Arial" w:cs="Arial" w:eastAsia="Arial" w:hAnsi="Arial"/>
                <w:color w:val="6b7280"/>
                <w:sz w:val="17"/>
                <w:szCs w:val="17"/>
              </w:rPr>
              <w:t xml:space="preserve">Hard deadline: 12 March 2027. Self-filing a PCT covering South Africa, USPTO, and EPO is a substantial undertaking. Eleven months sounds long. It is not. Start the preparation process with Claude now.</w:t>
            </w:r>
          </w:p>
        </w:tc>
        <w:tc>
          <w:tcPr>
            <w:tcW w:type="dxa" w:w="236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b/>
                <w:bCs/>
                <w:sz w:val="18"/>
                <w:szCs w:val="18"/>
              </w:rPr>
              <w:t xml:space="preserve">You + Claude</w:t>
            </w:r>
          </w:p>
        </w:tc>
      </w:tr>
    </w:tbl>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5.3  Platform — Next 90 Days</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t>
            </w:r>
          </w:p>
        </w:tc>
        <w:tc>
          <w:tcPr>
            <w:tcW w:type="dxa" w:w="26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Build item</w:t>
            </w:r>
          </w:p>
        </w:tc>
        <w:tc>
          <w:tcPr>
            <w:tcW w:type="dxa" w:w="61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What it does and why it matters</w:t>
            </w:r>
          </w:p>
        </w:tc>
      </w:tr>
      <w:tr>
        <w:tc>
          <w:tcPr>
            <w:tcW w:type="dxa" w:w="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sz w:val="18"/>
                <w:szCs w:val="18"/>
              </w:rPr>
              <w:t xml:space="preserve">8</w:t>
            </w:r>
          </w:p>
        </w:tc>
        <w:tc>
          <w:tcPr>
            <w:tcW w:type="dxa" w:w="2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Live Q&amp;A analytics (Gap 7.2)</w:t>
            </w:r>
          </w:p>
        </w:tc>
        <w:tc>
          <w:tcPr>
            <w:tcW w:type="dxa" w:w="61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Pattern detection running live: which firm is asking the most questions, coordinated questioning detection, escalation alerts. High value for Intelligence and Enterprise tier clients wanting real-time analyst intelligence.</w:t>
            </w:r>
          </w:p>
        </w:tc>
      </w:tr>
      <w:tr>
        <w:tc>
          <w:tcPr>
            <w:tcW w:type="dxa" w:w="6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9</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Board Intelligence auto-populate (Gap 9.1)</w:t>
            </w:r>
          </w:p>
        </w:tc>
        <w:tc>
          <w:tcPr>
            <w:tcW w:type="dxa" w:w="6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Board Intelligence Compass currently requires manual trigger. Should auto-update from the live session as commitments are mentioned or avoided. Important for Enterprise clients using board governance features.</w:t>
            </w:r>
          </w:p>
        </w:tc>
      </w:tr>
      <w:tr>
        <w:tc>
          <w:tcPr>
            <w:tcW w:type="dxa" w:w="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sz w:val="18"/>
                <w:szCs w:val="18"/>
              </w:rPr>
              <w:t xml:space="preserve">10</w:t>
            </w:r>
          </w:p>
        </w:tc>
        <w:tc>
          <w:tcPr>
            <w:tcW w:type="dxa" w:w="26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Cross-event comparison (Gap 3.3)</w:t>
            </w:r>
          </w:p>
        </w:tc>
        <w:tc>
          <w:tcPr>
            <w:tcW w:type="dxa" w:w="61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Side-by-side view of two sessions for quarter-on-quarter benchmarking. High value for Enterprise clients who want to track management consistency over time.</w:t>
            </w:r>
          </w:p>
        </w:tc>
      </w:tr>
      <w:tr>
        <w:tc>
          <w:tcPr>
            <w:tcW w:type="dxa" w:w="6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11</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Batch archive upload (Gap 2.3)</w:t>
            </w:r>
          </w:p>
        </w:tc>
        <w:tc>
          <w:tcPr>
            <w:tcW w:type="dxa" w:w="6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Queue-based batch upload for onboarding new clients with historical recordings. Currently one file at a time. Becomes important when Lumi starts onboarding multiple clients simultaneously.</w:t>
            </w:r>
          </w:p>
        </w:tc>
      </w:tr>
    </w:tbl>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5.4  Patent Pipeline — Hard Deadlines</w:t>
      </w:r>
    </w:p>
    <w:p>
      <w:pPr>
        <w:spacing w:after="10" w:before="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W w:type="dxa" w:w="28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Filing</w:t>
            </w:r>
          </w:p>
        </w:tc>
        <w:tc>
          <w:tcPr>
            <w:tcW w:type="dxa" w:w="18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Target date</w:t>
            </w:r>
          </w:p>
        </w:tc>
        <w:tc>
          <w:tcPr>
            <w:tcW w:type="dxa" w:w="24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Status</w:t>
            </w:r>
          </w:p>
        </w:tc>
        <w:tc>
          <w:tcPr>
            <w:tcW w:type="dxa" w:w="23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Action needed</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CIP 7 — Module 33, Claims 83–90
Communication-to-Capital Causality Engine</w:t>
            </w:r>
          </w:p>
        </w:tc>
        <w:tc>
          <w:tcPr>
            <w:tcW w:type="dxa" w:w="1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September 2026</w:t>
            </w:r>
          </w:p>
        </w:tc>
        <w:tc>
          <w:tcPr>
            <w:tcW w:type="dxa" w:w="24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color w:val="BA7517"/>
                <w:sz w:val="18"/>
                <w:szCs w:val="18"/>
              </w:rPr>
              <w:t xml:space="preserve">Not drafted</w:t>
            </w:r>
          </w:p>
        </w:tc>
        <w:tc>
          <w:tcPr>
            <w:tcW w:type="dxa" w:w="23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Start with Claude — Q2 2026</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CIP 8 — Claims 91–94
Microsoft/Copilot acquisition readiness</w:t>
            </w:r>
          </w:p>
        </w:tc>
        <w:tc>
          <w:tcPr>
            <w:tcW w:type="dxa" w:w="1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Q4 2026</w:t>
            </w:r>
          </w:p>
        </w:tc>
        <w:tc>
          <w:tcPr>
            <w:tcW w:type="dxa" w:w="24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color w:val="BA7517"/>
                <w:sz w:val="18"/>
                <w:szCs w:val="18"/>
              </w:rPr>
              <w:t xml:space="preserve">Not drafted</w:t>
            </w:r>
          </w:p>
        </w:tc>
        <w:tc>
          <w:tcPr>
            <w:tcW w:type="dxa" w:w="23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After CIP 7 complete</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CIP 9 — Modules 43–46
Quantum-safe, Crypto-agile protocols</w:t>
            </w:r>
          </w:p>
        </w:tc>
        <w:tc>
          <w:tcPr>
            <w:tcW w:type="dxa" w:w="1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Q4 2026</w:t>
            </w:r>
          </w:p>
        </w:tc>
        <w:tc>
          <w:tcPr>
            <w:tcW w:type="dxa" w:w="24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tcPr>
          <w:p>
            <w:pPr>
              <w:spacing w:after="20" w:before="20"/>
            </w:pPr>
            <w:r>
              <w:rPr>
                <w:rFonts w:ascii="Arial" w:cs="Arial" w:eastAsia="Arial" w:hAnsi="Arial"/>
                <w:color w:val="BA7517"/>
                <w:sz w:val="18"/>
                <w:szCs w:val="18"/>
              </w:rPr>
              <w:t xml:space="preserve">Not drafted</w:t>
            </w:r>
          </w:p>
        </w:tc>
        <w:tc>
          <w:tcPr>
            <w:tcW w:type="dxa" w:w="23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With Claude</w:t>
            </w:r>
          </w:p>
        </w:tc>
      </w:tr>
      <w:tr>
        <w:tc>
          <w:tcPr>
            <w:tcW w:type="dxa" w:w="28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b/>
                <w:bCs/>
                <w:color w:val="C0291A"/>
                <w:sz w:val="18"/>
                <w:szCs w:val="18"/>
              </w:rPr>
              <w:t xml:space="preserve">PCT International Filing</w:t>
            </w:r>
            <w:r>
              <w:rPr>
                <w:rFonts w:ascii="Arial" w:cs="Arial" w:eastAsia="Arial" w:hAnsi="Arial"/>
                <w:color w:val="C0291A"/>
                <w:sz w:val="17"/>
                <w:szCs w:val="17"/>
              </w:rPr>
              <w:t xml:space="preserve">
South Africa, USPTO, EPO</w:t>
            </w:r>
          </w:p>
        </w:tc>
        <w:tc>
          <w:tcPr>
            <w:tcW w:type="dxa" w:w="18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b/>
                <w:bCs/>
                <w:color w:val="C0291A"/>
                <w:sz w:val="18"/>
                <w:szCs w:val="18"/>
              </w:rPr>
              <w:t xml:space="preserve">12 March 2027</w:t>
            </w:r>
            <w:r>
              <w:rPr>
                <w:rFonts w:ascii="Arial" w:cs="Arial" w:eastAsia="Arial" w:hAnsi="Arial"/>
                <w:b/>
                <w:bCs/>
                <w:color w:val="C0291A"/>
                <w:sz w:val="16"/>
                <w:szCs w:val="16"/>
              </w:rPr>
              <w:t xml:space="preserve">
HARD DEADLINE</w:t>
            </w:r>
          </w:p>
        </w:tc>
        <w:tc>
          <w:tcPr>
            <w:tcW w:type="dxa" w:w="24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b/>
                <w:bCs/>
                <w:color w:val="C0291A"/>
                <w:sz w:val="18"/>
                <w:szCs w:val="18"/>
              </w:rPr>
              <w:t xml:space="preserve">⚠  Preparation must start now</w:t>
            </w:r>
          </w:p>
        </w:tc>
        <w:tc>
          <w:tcPr>
            <w:tcW w:type="dxa" w:w="236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tcPr>
          <w:p>
            <w:pPr>
              <w:spacing w:after="20" w:before="20"/>
            </w:pPr>
            <w:r>
              <w:rPr>
                <w:rFonts w:ascii="Arial" w:cs="Arial" w:eastAsia="Arial" w:hAnsi="Arial"/>
                <w:color w:val="C0291A"/>
                <w:sz w:val="18"/>
                <w:szCs w:val="18"/>
              </w:rPr>
              <w:t xml:space="preserve">Missing this loses all international protection</w:t>
            </w:r>
          </w:p>
        </w:tc>
      </w:tr>
    </w:tbl>
    <w:p>
      <w:pPr>
        <w:spacing w:after="30" w:before="0"/>
      </w:pPr>
      <w:r>
        <w:rPr>
          <w:rFonts w:ascii="Arial" w:cs="Arial" w:eastAsia="Arial" w:hAnsi="Arial"/>
        </w:rPr>
        <w:t xml:space="preserve"> </w:t>
      </w:r>
    </w:p>
    <w:p>
      <w:r>
        <w:r>
          <w:br w:type="page"/>
        </w:r>
      </w:r>
    </w:p>
    <w:p>
      <w:pPr>
        <w:pStyle w:val="Heading1"/>
        <w:pBdr>
          <w:bottom w:val="single" w:color="1D9E75" w:sz="14" w:space="4"/>
        </w:pBdr>
        <w:spacing w:after="120" w:before="360"/>
      </w:pPr>
      <w:r>
        <w:rPr>
          <w:rFonts w:ascii="Arial" w:cs="Arial" w:eastAsia="Arial" w:hAnsi="Arial"/>
          <w:b/>
          <w:bCs/>
          <w:color w:val="0A2540"/>
          <w:sz w:val="38"/>
          <w:szCs w:val="38"/>
        </w:rPr>
        <w:t xml:space="preserve">Section 6 — Quick Reference: Every Link</w:t>
      </w:r>
    </w:p>
    <w:p>
      <w:pPr>
        <w:spacing w:after="80" w:before="40"/>
      </w:pPr>
      <w:r>
        <w:rPr>
          <w:rFonts w:ascii="Arial" w:cs="Arial" w:eastAsia="Arial" w:hAnsi="Arial"/>
          <w:sz w:val="20"/>
          <w:szCs w:val="20"/>
        </w:rPr>
        <w:t xml:space="preserve">Replace your-app.replit.app with your actual Replit URL. Print or bookmark this page.</w:t>
      </w:r>
    </w:p>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Operator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Screen</w:t>
            </w:r>
          </w:p>
        </w:tc>
        <w:tc>
          <w:tcPr>
            <w:tcW w:type="dxa" w:w="38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URL</w:t>
            </w:r>
          </w:p>
        </w:tc>
        <w:tc>
          <w:tcPr>
            <w:tcW w:type="dxa" w:w="31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What it does</w:t>
            </w:r>
          </w:p>
        </w:tc>
      </w:tr>
      <w:tr>
        <w:tc>
          <w:tcPr>
            <w:tcW w:type="dxa" w:w="24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Main dashboard</w:t>
            </w:r>
          </w:p>
        </w:tc>
        <w:tc>
          <w:tcPr>
            <w:tcW w:type="dxa" w:w="3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cmkzvnz5wwcrsfpewvagx">
              <w:r>
                <w:rPr>
                  <w:rStyle w:val="Hyperlink"/>
                  <w:rFonts w:ascii="Arial" w:cs="Arial" w:eastAsia="Arial" w:hAnsi="Arial"/>
                  <w:color w:val="1246E8"/>
                  <w:sz w:val="20"/>
                  <w:szCs w:val="20"/>
                  <w:u w:val="single"/>
                </w:rPr>
                <w:t xml:space="preserve">https://curalive-platform.replit.app/</w:t>
              </w:r>
            </w:hyperlink>
          </w:p>
        </w:tc>
        <w:tc>
          <w:tcPr>
            <w:tcW w:type="dxa" w:w="31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Operator home — 6 tabs</w:t>
            </w:r>
          </w:p>
        </w:tc>
      </w:tr>
      <w:tr>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Shadow Mode — Live Intel</w:t>
            </w:r>
          </w:p>
        </w:tc>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1cvud16rsfy9mgfzhrkxc">
              <w:r>
                <w:rPr>
                  <w:rStyle w:val="Hyperlink"/>
                  <w:rFonts w:ascii="Arial" w:cs="Arial" w:eastAsia="Arial" w:hAnsi="Arial"/>
                  <w:color w:val="1246E8"/>
                  <w:sz w:val="20"/>
                  <w:szCs w:val="20"/>
                  <w:u w:val="single"/>
                </w:rPr>
                <w:t xml:space="preserve">https://curalive-platform.replit.app/?tab=shadow</w:t>
              </w:r>
            </w:hyperlink>
          </w:p>
        </w:tc>
        <w:tc>
          <w:tcPr>
            <w:tcW w:type="dxa" w:w="3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Active session monitoring</w:t>
            </w:r>
          </w:p>
        </w:tc>
      </w:tr>
      <w:tr>
        <w:tc>
          <w:tcPr>
            <w:tcW w:type="dxa" w:w="24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Shadow Mode — Live Q&amp;A</w:t>
            </w:r>
          </w:p>
        </w:tc>
        <w:tc>
          <w:tcPr>
            <w:tcW w:type="dxa" w:w="3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nfj7t3h8-yvql_c8qizxj">
              <w:r>
                <w:rPr>
                  <w:rStyle w:val="Hyperlink"/>
                  <w:rFonts w:ascii="Arial" w:cs="Arial" w:eastAsia="Arial" w:hAnsi="Arial"/>
                  <w:color w:val="1246E8"/>
                  <w:sz w:val="20"/>
                  <w:szCs w:val="20"/>
                  <w:u w:val="single"/>
                </w:rPr>
                <w:t xml:space="preserve">https://curalive-platform.replit.app/?tab=shadow&amp;sub=qa</w:t>
              </w:r>
            </w:hyperlink>
          </w:p>
        </w:tc>
        <w:tc>
          <w:tcPr>
            <w:tcW w:type="dxa" w:w="31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Q&amp;A moderation console</w:t>
            </w:r>
          </w:p>
        </w:tc>
      </w:tr>
      <w:tr>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Shadow Mode — Board Compass</w:t>
            </w:r>
          </w:p>
        </w:tc>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dx-bathwvapggckcgpirq">
              <w:r>
                <w:rPr>
                  <w:rStyle w:val="Hyperlink"/>
                  <w:rFonts w:ascii="Arial" w:cs="Arial" w:eastAsia="Arial" w:hAnsi="Arial"/>
                  <w:color w:val="1246E8"/>
                  <w:sz w:val="20"/>
                  <w:szCs w:val="20"/>
                  <w:u w:val="single"/>
                </w:rPr>
                <w:t xml:space="preserve">https://curalive-platform.replit.app/?tab=shadow&amp;sub=board</w:t>
              </w:r>
            </w:hyperlink>
          </w:p>
        </w:tc>
        <w:tc>
          <w:tcPr>
            <w:tcW w:type="dxa" w:w="3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Governance intelligence</w:t>
            </w:r>
          </w:p>
        </w:tc>
      </w:tr>
      <w:tr>
        <w:tc>
          <w:tcPr>
            <w:tcW w:type="dxa" w:w="24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Shadow Mode — Pre-Event Intel</w:t>
            </w:r>
          </w:p>
        </w:tc>
        <w:tc>
          <w:tcPr>
            <w:tcW w:type="dxa" w:w="3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pzpchigyum3mxz6f54gim">
              <w:r>
                <w:rPr>
                  <w:rStyle w:val="Hyperlink"/>
                  <w:rFonts w:ascii="Arial" w:cs="Arial" w:eastAsia="Arial" w:hAnsi="Arial"/>
                  <w:color w:val="1246E8"/>
                  <w:sz w:val="20"/>
                  <w:szCs w:val="20"/>
                  <w:u w:val="single"/>
                </w:rPr>
                <w:t xml:space="preserve">https://curalive-platform.replit.app/?tab=shadow&amp;sub=prebriefing</w:t>
              </w:r>
            </w:hyperlink>
          </w:p>
        </w:tc>
        <w:tc>
          <w:tcPr>
            <w:tcW w:type="dxa" w:w="31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Pre-event briefing viewer</w:t>
            </w:r>
          </w:p>
        </w:tc>
      </w:tr>
      <w:tr>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Shadow Mode — Compliance</w:t>
            </w:r>
          </w:p>
        </w:tc>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zsdhxhrqsv8wv0jc8vuto">
              <w:r>
                <w:rPr>
                  <w:rStyle w:val="Hyperlink"/>
                  <w:rFonts w:ascii="Arial" w:cs="Arial" w:eastAsia="Arial" w:hAnsi="Arial"/>
                  <w:color w:val="1246E8"/>
                  <w:sz w:val="20"/>
                  <w:szCs w:val="20"/>
                  <w:u w:val="single"/>
                </w:rPr>
                <w:t xml:space="preserve">https://curalive-platform.replit.app/?tab=shadow&amp;sub=compliance</w:t>
              </w:r>
            </w:hyperlink>
          </w:p>
        </w:tc>
        <w:tc>
          <w:tcPr>
            <w:tcW w:type="dxa" w:w="3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Live regulatory monitoring</w:t>
            </w:r>
          </w:p>
        </w:tc>
      </w:tr>
      <w:tr>
        <w:tc>
          <w:tcPr>
            <w:tcW w:type="dxa" w:w="24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Shadow Mode — AGM Intel</w:t>
            </w:r>
          </w:p>
        </w:tc>
        <w:tc>
          <w:tcPr>
            <w:tcW w:type="dxa" w:w="3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0oily1ifj7hy2mggscsql">
              <w:r>
                <w:rPr>
                  <w:rStyle w:val="Hyperlink"/>
                  <w:rFonts w:ascii="Arial" w:cs="Arial" w:eastAsia="Arial" w:hAnsi="Arial"/>
                  <w:color w:val="1246E8"/>
                  <w:sz w:val="20"/>
                  <w:szCs w:val="20"/>
                  <w:u w:val="single"/>
                </w:rPr>
                <w:t xml:space="preserve">https://curalive-platform.replit.app/?tab=shadow&amp;sub=agm</w:t>
              </w:r>
            </w:hyperlink>
          </w:p>
        </w:tc>
        <w:tc>
          <w:tcPr>
            <w:tcW w:type="dxa" w:w="31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AGM resolution tracking</w:t>
            </w:r>
          </w:p>
        </w:tc>
      </w:tr>
      <w:tr>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System Diagnostics</w:t>
            </w:r>
          </w:p>
        </w:tc>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5rislyipgeteyrmitrzoz">
              <w:r>
                <w:rPr>
                  <w:rStyle w:val="Hyperlink"/>
                  <w:rFonts w:ascii="Arial" w:cs="Arial" w:eastAsia="Arial" w:hAnsi="Arial"/>
                  <w:color w:val="1246E8"/>
                  <w:sz w:val="20"/>
                  <w:szCs w:val="20"/>
                  <w:u w:val="single"/>
                </w:rPr>
                <w:t xml:space="preserve">https://curalive-platform.replit.app/?tab=shadow&amp;sub=diagnostics</w:t>
              </w:r>
            </w:hyperlink>
          </w:p>
        </w:tc>
        <w:tc>
          <w:tcPr>
            <w:tcW w:type="dxa" w:w="3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Health Guardian — 6 services</w:t>
            </w:r>
          </w:p>
        </w:tc>
      </w:tr>
      <w:tr>
        <w:tc>
          <w:tcPr>
            <w:tcW w:type="dxa" w:w="24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Events &amp; Booking</w:t>
            </w:r>
          </w:p>
        </w:tc>
        <w:tc>
          <w:tcPr>
            <w:tcW w:type="dxa" w:w="3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dcwgghgkqdvvkuhiky8vt">
              <w:r>
                <w:rPr>
                  <w:rStyle w:val="Hyperlink"/>
                  <w:rFonts w:ascii="Arial" w:cs="Arial" w:eastAsia="Arial" w:hAnsi="Arial"/>
                  <w:color w:val="1246E8"/>
                  <w:sz w:val="20"/>
                  <w:szCs w:val="20"/>
                  <w:u w:val="single"/>
                </w:rPr>
                <w:t xml:space="preserve">https://curalive-platform.replit.app/?tab=events</w:t>
              </w:r>
            </w:hyperlink>
          </w:p>
        </w:tc>
        <w:tc>
          <w:tcPr>
            <w:tcW w:type="dxa" w:w="31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Schedule sessions</w:t>
            </w:r>
          </w:p>
        </w:tc>
      </w:tr>
      <w:tr>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Partners</w:t>
            </w:r>
          </w:p>
        </w:tc>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vvdzsndpwod19maxsznno">
              <w:r>
                <w:rPr>
                  <w:rStyle w:val="Hyperlink"/>
                  <w:rFonts w:ascii="Arial" w:cs="Arial" w:eastAsia="Arial" w:hAnsi="Arial"/>
                  <w:color w:val="1246E8"/>
                  <w:sz w:val="20"/>
                  <w:szCs w:val="20"/>
                  <w:u w:val="single"/>
                </w:rPr>
                <w:t xml:space="preserve">https://curalive-platform.replit.app/?tab=partners</w:t>
              </w:r>
            </w:hyperlink>
          </w:p>
        </w:tc>
        <w:tc>
          <w:tcPr>
            <w:tcW w:type="dxa" w:w="3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Lumi and Bastion config</w:t>
            </w:r>
          </w:p>
        </w:tc>
      </w:tr>
      <w:tr>
        <w:tc>
          <w:tcPr>
            <w:tcW w:type="dxa" w:w="24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Billing</w:t>
            </w:r>
          </w:p>
        </w:tc>
        <w:tc>
          <w:tcPr>
            <w:tcW w:type="dxa" w:w="3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hyperlink w:history="1" r:id="rIdtyxhudoy5rbnslonf3m17">
              <w:r>
                <w:rPr>
                  <w:rStyle w:val="Hyperlink"/>
                  <w:rFonts w:ascii="Arial" w:cs="Arial" w:eastAsia="Arial" w:hAnsi="Arial"/>
                  <w:color w:val="1246E8"/>
                  <w:sz w:val="20"/>
                  <w:szCs w:val="20"/>
                  <w:u w:val="single"/>
                </w:rPr>
                <w:t xml:space="preserve">https://curalive-platform.replit.app/?tab=billing</w:t>
              </w:r>
            </w:hyperlink>
          </w:p>
        </w:tc>
        <w:tc>
          <w:tcPr>
            <w:tcW w:type="dxa" w:w="31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Quotes, invoices, Stripe</w:t>
            </w:r>
          </w:p>
        </w:tc>
      </w:tr>
    </w:tbl>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Demo and Client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Page</w:t>
            </w:r>
          </w:p>
        </w:tc>
        <w:tc>
          <w:tcPr>
            <w:tcW w:type="dxa" w:w="38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URL</w:t>
            </w:r>
          </w:p>
        </w:tc>
        <w:tc>
          <w:tcPr>
            <w:tcW w:type="dxa" w:w="31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Notes</w:t>
            </w:r>
          </w:p>
        </w:tc>
      </w:tr>
      <w:tr>
        <w:tc>
          <w:tcPr>
            <w:tcW w:type="dxa" w:w="24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Demo Studio (webcast)</w:t>
            </w:r>
          </w:p>
        </w:tc>
        <w:tc>
          <w:tcPr>
            <w:tcW w:type="dxa" w:w="38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ocotksdo_apnqnhtqaqnw">
              <w:r>
                <w:rPr>
                  <w:rStyle w:val="Hyperlink"/>
                  <w:rFonts w:ascii="Arial" w:cs="Arial" w:eastAsia="Arial" w:hAnsi="Arial"/>
                  <w:color w:val="1246E8"/>
                  <w:sz w:val="20"/>
                  <w:szCs w:val="20"/>
                  <w:u w:val="single"/>
                </w:rPr>
                <w:t xml:space="preserve">https://curalive-platform.replit.app/live-video/webcast/demo?simulate=1</w:t>
              </w:r>
            </w:hyperlink>
          </w:p>
        </w:tc>
        <w:tc>
          <w:tcPr>
            <w:tcW w:type="dxa" w:w="31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Use in every demo meeting</w:t>
            </w:r>
          </w:p>
        </w:tc>
      </w:tr>
      <w:tr>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Client Live Dashboard</w:t>
            </w:r>
          </w:p>
        </w:tc>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_7kgs9pxnxgx0k855ymje">
              <w:r>
                <w:rPr>
                  <w:rStyle w:val="Hyperlink"/>
                  <w:rFonts w:ascii="Arial" w:cs="Arial" w:eastAsia="Arial" w:hAnsi="Arial"/>
                  <w:color w:val="1246E8"/>
                  <w:sz w:val="20"/>
                  <w:szCs w:val="20"/>
                  <w:u w:val="single"/>
                </w:rPr>
                <w:t xml:space="preserve">https://curalive-platform.replit.app/live/demo-live-001</w:t>
              </w:r>
            </w:hyperlink>
          </w:p>
        </w:tc>
        <w:tc>
          <w:tcPr>
            <w:tcW w:type="dxa" w:w="3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Replace demo-token with real token</w:t>
            </w:r>
          </w:p>
        </w:tc>
      </w:tr>
      <w:tr>
        <w:tc>
          <w:tcPr>
            <w:tcW w:type="dxa" w:w="24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Post-Event Report</w:t>
            </w:r>
          </w:p>
        </w:tc>
        <w:tc>
          <w:tcPr>
            <w:tcW w:type="dxa" w:w="38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vo7arby5b_ipvrb9hppaa">
              <w:r>
                <w:rPr>
                  <w:rStyle w:val="Hyperlink"/>
                  <w:rFonts w:ascii="Arial" w:cs="Arial" w:eastAsia="Arial" w:hAnsi="Arial"/>
                  <w:color w:val="1246E8"/>
                  <w:sz w:val="20"/>
                  <w:szCs w:val="20"/>
                  <w:u w:val="single"/>
                </w:rPr>
                <w:t xml:space="preserve">https://curalive-platform.replit.app/report/demo-report-001</w:t>
              </w:r>
            </w:hyperlink>
          </w:p>
        </w:tc>
        <w:tc>
          <w:tcPr>
            <w:tcW w:type="dxa" w:w="31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Replace demo-token with real token</w:t>
            </w:r>
          </w:p>
        </w:tc>
      </w:tr>
      <w:tr>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Presenter Screen</w:t>
            </w:r>
          </w:p>
        </w:tc>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mizztwqm6y62nodd4nn21">
              <w:r>
                <w:rPr>
                  <w:rStyle w:val="Hyperlink"/>
                  <w:rFonts w:ascii="Arial" w:cs="Arial" w:eastAsia="Arial" w:hAnsi="Arial"/>
                  <w:color w:val="1246E8"/>
                  <w:sz w:val="20"/>
                  <w:szCs w:val="20"/>
                  <w:u w:val="single"/>
                </w:rPr>
                <w:t xml:space="preserve">https://curalive-platform.replit.app/presenter/demo-presenter-001</w:t>
              </w:r>
            </w:hyperlink>
          </w:p>
        </w:tc>
        <w:tc>
          <w:tcPr>
            <w:tcW w:type="dxa" w:w="3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Replace demo-token with real token</w:t>
            </w:r>
          </w:p>
        </w:tc>
      </w:tr>
      <w:tr>
        <w:tc>
          <w:tcPr>
            <w:tcW w:type="dxa" w:w="24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Attendee Q&amp;A Page</w:t>
            </w:r>
          </w:p>
        </w:tc>
        <w:tc>
          <w:tcPr>
            <w:tcW w:type="dxa" w:w="38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xynklzoacieh2g8murhli">
              <w:r>
                <w:rPr>
                  <w:rStyle w:val="Hyperlink"/>
                  <w:rFonts w:ascii="Arial" w:cs="Arial" w:eastAsia="Arial" w:hAnsi="Arial"/>
                  <w:color w:val="1246E8"/>
                  <w:sz w:val="20"/>
                  <w:szCs w:val="20"/>
                  <w:u w:val="single"/>
                </w:rPr>
                <w:t xml:space="preserve">https://curalive-platform.replit.app/qa/ACCESS-CODE</w:t>
              </w:r>
            </w:hyperlink>
          </w:p>
        </w:tc>
        <w:tc>
          <w:tcPr>
            <w:tcW w:type="dxa" w:w="31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Webcast attendees submit here</w:t>
            </w:r>
          </w:p>
        </w:tc>
      </w:tr>
      <w:tr>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Lumi White-Label Demo</w:t>
            </w:r>
          </w:p>
        </w:tc>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j8dpulg4xtuwrrsv6_ayt">
              <w:r>
                <w:rPr>
                  <w:rStyle w:val="Hyperlink"/>
                  <w:rFonts w:ascii="Arial" w:cs="Arial" w:eastAsia="Arial" w:hAnsi="Arial"/>
                  <w:color w:val="1246E8"/>
                  <w:sz w:val="20"/>
                  <w:szCs w:val="20"/>
                  <w:u w:val="single"/>
                </w:rPr>
                <w:t xml:space="preserve">https://curalive-platform.replit.app/lumi-demo</w:t>
              </w:r>
            </w:hyperlink>
          </w:p>
        </w:tc>
        <w:tc>
          <w:tcPr>
            <w:tcW w:type="dxa" w:w="3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Show in partner meeting</w:t>
            </w:r>
          </w:p>
        </w:tc>
      </w:tr>
      <w:tr>
        <w:tc>
          <w:tcPr>
            <w:tcW w:type="dxa" w:w="24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Tier Comparison Demo</w:t>
            </w:r>
          </w:p>
        </w:tc>
        <w:tc>
          <w:tcPr>
            <w:tcW w:type="dxa" w:w="38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amrafr90hzt0f1664letu">
              <w:r>
                <w:rPr>
                  <w:rStyle w:val="Hyperlink"/>
                  <w:rFonts w:ascii="Arial" w:cs="Arial" w:eastAsia="Arial" w:hAnsi="Arial"/>
                  <w:color w:val="1246E8"/>
                  <w:sz w:val="20"/>
                  <w:szCs w:val="20"/>
                  <w:u w:val="single"/>
                </w:rPr>
                <w:t xml:space="preserve">https://curalive-platform.replit.app/tier-demo</w:t>
              </w:r>
            </w:hyperlink>
          </w:p>
        </w:tc>
        <w:tc>
          <w:tcPr>
            <w:tcW w:type="dxa" w:w="31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Essential vs Intelligence vs Enterprise</w:t>
            </w:r>
          </w:p>
        </w:tc>
      </w:tr>
      <w:tr>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Platform Video</w:t>
            </w:r>
          </w:p>
        </w:tc>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hyperlink w:history="1" r:id="rId7mdrseq3xf0ifw9gxuydk">
              <w:r>
                <w:rPr>
                  <w:rStyle w:val="Hyperlink"/>
                  <w:rFonts w:ascii="Arial" w:cs="Arial" w:eastAsia="Arial" w:hAnsi="Arial"/>
                  <w:color w:val="1246E8"/>
                  <w:sz w:val="20"/>
                  <w:szCs w:val="20"/>
                  <w:u w:val="single"/>
                </w:rPr>
                <w:t xml:space="preserve">https://curalive-platform.replit.app/platform-video</w:t>
              </w:r>
            </w:hyperlink>
          </w:p>
        </w:tc>
        <w:tc>
          <w:tcPr>
            <w:tcW w:type="dxa" w:w="3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21-scene cinematic walkthrough</w:t>
            </w:r>
          </w:p>
        </w:tc>
      </w:tr>
      <w:tr>
        <w:tc>
          <w:tcPr>
            <w:tcW w:type="dxa" w:w="24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Virtual Studio</w:t>
            </w:r>
          </w:p>
        </w:tc>
        <w:tc>
          <w:tcPr>
            <w:tcW w:type="dxa" w:w="38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hyperlink w:history="1" r:id="rId_msfwwnkv5ihed_on9yut">
              <w:r>
                <w:rPr>
                  <w:rStyle w:val="Hyperlink"/>
                  <w:rFonts w:ascii="Arial" w:cs="Arial" w:eastAsia="Arial" w:hAnsi="Arial"/>
                  <w:color w:val="1246E8"/>
                  <w:sz w:val="20"/>
                  <w:szCs w:val="20"/>
                  <w:u w:val="single"/>
                </w:rPr>
                <w:t xml:space="preserve">https://curalive-platform.replit.app/virtual-studio</w:t>
              </w:r>
            </w:hyperlink>
          </w:p>
        </w:tc>
        <w:tc>
          <w:tcPr>
            <w:tcW w:type="dxa" w:w="316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tcPr>
          <w:p>
            <w:pPr>
              <w:spacing w:after="20" w:before="20"/>
            </w:pPr>
            <w:r>
              <w:rPr>
                <w:rFonts w:ascii="Arial" w:cs="Arial" w:eastAsia="Arial" w:hAnsi="Arial"/>
                <w:sz w:val="18"/>
                <w:szCs w:val="18"/>
              </w:rPr>
              <w:t xml:space="preserve">AI-enhanced broadcast studio</w:t>
            </w:r>
          </w:p>
        </w:tc>
      </w:tr>
    </w:tbl>
    <w:p>
      <w:pPr>
        <w:spacing w:after="20" w:before="0"/>
      </w:pPr>
      <w:r>
        <w:rPr>
          <w:rFonts w:ascii="Arial" w:cs="Arial" w:eastAsia="Arial" w:hAnsi="Arial"/>
        </w:rPr>
        <w:t xml:space="preserve"> </w:t>
      </w:r>
    </w:p>
    <w:p>
      <w:pPr>
        <w:pStyle w:val="Heading2"/>
        <w:spacing w:after="100" w:before="260"/>
      </w:pPr>
      <w:r>
        <w:rPr>
          <w:rFonts w:ascii="Arial" w:cs="Arial" w:eastAsia="Arial" w:hAnsi="Arial"/>
          <w:b/>
          <w:bCs/>
          <w:color w:val="0A2540"/>
          <w:sz w:val="28"/>
          <w:szCs w:val="28"/>
        </w:rPr>
        <w:t xml:space="preserve">Key Commercial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Metric</w:t>
            </w:r>
          </w:p>
        </w:tc>
        <w:tc>
          <w:tcPr>
            <w:tcW w:type="dxa" w:w="61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Figure</w:t>
            </w:r>
          </w:p>
        </w:tc>
      </w:tr>
      <w:tr>
        <w:tc>
          <w:tcPr>
            <w:tcW w:type="dxa" w:w="32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sz w:val="18"/>
                <w:szCs w:val="18"/>
              </w:rPr>
              <w:t xml:space="preserve">Exit target</w:t>
            </w:r>
          </w:p>
        </w:tc>
        <w:tc>
          <w:tcPr>
            <w:tcW w:type="dxa" w:w="61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$80M–$120M strategic acquisition</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b/>
                <w:bCs/>
                <w:sz w:val="18"/>
                <w:szCs w:val="18"/>
              </w:rPr>
              <w:t xml:space="preserve">Timeline</w:t>
            </w:r>
          </w:p>
        </w:tc>
        <w:tc>
          <w:tcPr>
            <w:tcW w:type="dxa" w:w="6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24–36 months from commercial launch</w:t>
            </w:r>
          </w:p>
        </w:tc>
      </w:tr>
      <w:tr>
        <w:tc>
          <w:tcPr>
            <w:tcW w:type="dxa" w:w="32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sz w:val="18"/>
                <w:szCs w:val="18"/>
              </w:rPr>
              <w:t xml:space="preserve">Lumi event volume</w:t>
            </w:r>
          </w:p>
        </w:tc>
        <w:tc>
          <w:tcPr>
            <w:tcW w:type="dxa" w:w="61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~4,000 events per year</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b/>
                <w:bCs/>
                <w:sz w:val="18"/>
                <w:szCs w:val="18"/>
              </w:rPr>
              <w:t xml:space="preserve">Bastion event volume</w:t>
            </w:r>
          </w:p>
        </w:tc>
        <w:tc>
          <w:tcPr>
            <w:tcW w:type="dxa" w:w="6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~500 events per year</w:t>
            </w:r>
          </w:p>
        </w:tc>
      </w:tr>
      <w:tr>
        <w:tc>
          <w:tcPr>
            <w:tcW w:type="dxa" w:w="32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sz w:val="18"/>
                <w:szCs w:val="18"/>
              </w:rPr>
              <w:t xml:space="preserve">Revenue share split</w:t>
            </w:r>
          </w:p>
        </w:tc>
        <w:tc>
          <w:tcPr>
            <w:tcW w:type="dxa" w:w="61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70% CuraLive / 30% channel partner on the CuraLive fee component</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b/>
                <w:bCs/>
                <w:sz w:val="18"/>
                <w:szCs w:val="18"/>
              </w:rPr>
              <w:t xml:space="preserve">White label licence</w:t>
            </w:r>
          </w:p>
        </w:tc>
        <w:tc>
          <w:tcPr>
            <w:tcW w:type="dxa" w:w="6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R150,000–R400,000 per year depending on volume, plus per-event processing fees</w:t>
            </w:r>
          </w:p>
        </w:tc>
      </w:tr>
      <w:tr>
        <w:tc>
          <w:tcPr>
            <w:tcW w:type="dxa" w:w="32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sz w:val="18"/>
                <w:szCs w:val="18"/>
              </w:rPr>
              <w:t xml:space="preserve">Primary acquirers</w:t>
            </w:r>
          </w:p>
        </w:tc>
        <w:tc>
          <w:tcPr>
            <w:tcW w:type="dxa" w:w="61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Microsoft (Teams/Copilot), Bloomberg, Nasdaq, Lumi Global, Broadridge</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b/>
                <w:bCs/>
                <w:sz w:val="18"/>
                <w:szCs w:val="18"/>
              </w:rPr>
              <w:t xml:space="preserve">Platform scale</w:t>
            </w:r>
          </w:p>
        </w:tc>
        <w:tc>
          <w:tcPr>
            <w:tcW w:type="dxa" w:w="6160"/>
            <w:tcBorders>
              <w:top w:val="single" w:color="dde0e8" w:sz="4"/>
              <w:left w:val="single" w:color="dde0e8" w:sz="4"/>
              <w:bottom w:val="single" w:color="dde0e8" w:sz="4"/>
              <w:right w:val="single" w:color="dde0e8" w:sz="4"/>
            </w:tcBorders>
            <w:tcMar>
              <w:top w:type="dxa" w:w="80"/>
              <w:left w:type="dxa" w:w="120"/>
              <w:bottom w:type="dxa" w:w="80"/>
              <w:right w:type="dxa" w:w="120"/>
            </w:tcMar>
          </w:tcPr>
          <w:p>
            <w:pPr>
              <w:spacing w:after="20" w:before="20"/>
            </w:pPr>
            <w:r>
              <w:rPr>
                <w:rFonts w:ascii="Arial" w:cs="Arial" w:eastAsia="Arial" w:hAnsi="Arial"/>
                <w:sz w:val="18"/>
                <w:szCs w:val="18"/>
              </w:rPr>
              <w:t xml:space="preserve">110 routers · 208 tables · 211 pages · 7 background services · Health Guardian 100%</w:t>
            </w:r>
          </w:p>
        </w:tc>
      </w:tr>
      <w:tr>
        <w:tc>
          <w:tcPr>
            <w:tcW w:type="dxa" w:w="32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b/>
                <w:bCs/>
                <w:sz w:val="18"/>
                <w:szCs w:val="18"/>
              </w:rPr>
              <w:t xml:space="preserve">Patent</w:t>
            </w:r>
          </w:p>
        </w:tc>
        <w:tc>
          <w:tcPr>
            <w:tcW w:type="dxa" w:w="616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tcPr>
          <w:p>
            <w:pPr>
              <w:spacing w:after="20" w:before="20"/>
            </w:pPr>
            <w:r>
              <w:rPr>
                <w:rFonts w:ascii="Arial" w:cs="Arial" w:eastAsia="Arial" w:hAnsi="Arial"/>
                <w:sz w:val="18"/>
                <w:szCs w:val="18"/>
              </w:rPr>
              <w:t xml:space="preserve">CIPC App ID 1773575338868 · Priority 12 March 2026 · PCT deadline 12 March 2027</w:t>
            </w:r>
          </w:p>
        </w:tc>
      </w:tr>
    </w:tbl>
    <w:p>
      <w:pPr>
        <w:spacing w:after="40" w:before="0"/>
      </w:pPr>
      <w:r>
        <w:rPr>
          <w:rFonts w:ascii="Arial" w:cs="Arial" w:eastAsia="Arial" w:hAnsi="Arial"/>
        </w:rPr>
        <w:t xml:space="preserve"> </w:t>
      </w:r>
    </w:p>
    <w:sectPr>
      <w:headerReference w:type="default" r:id="rId7"/>
      <w:footerReference w:type="default" r:id="rId8"/>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0e8" w:sz="4" w:space="4"/>
      </w:pBdr>
      <w:spacing w:after="0" w:before="80"/>
      <w:jc w:val="center"/>
    </w:pPr>
    <w:r>
      <w:rPr>
        <w:rFonts w:ascii="Arial" w:cs="Arial" w:eastAsia="Arial" w:hAnsi="Arial"/>
        <w:color w:val="6b7280"/>
        <w:sz w:val="16"/>
        <w:szCs w:val="16"/>
      </w:rPr>
      <w:t xml:space="preserve">CuraLive  ·  Confidential  ·  Page </w:t>
    </w:r>
    <w:r>
      <w:rPr>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spacing w:after="80" w:before="0"/>
      <w:jc w:val="center"/>
    </w:pPr>
    <w:r>
      <w:rPr>
        <w:rFonts w:ascii="Arial" w:cs="Arial" w:eastAsia="Arial" w:hAnsi="Arial"/>
        <w:color w:val="6b7280"/>
        <w:sz w:val="16"/>
        <w:szCs w:val="16"/>
      </w:rPr>
      <w:t xml:space="preserve">CuraLive  ·  Rollout Roadmap &amp; Demo Guide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2540"/>
      <w:sz w:val="38"/>
      <w:szCs w:val="38"/>
    </w:rPr>
  </w:style>
  <w:style w:type="paragraph" w:styleId="Heading2">
    <w:name w:val="Heading 2"/>
    <w:basedOn w:val="Normal"/>
    <w:next w:val="Normal"/>
    <w:qFormat/>
    <w:pPr>
      <w:spacing w:after="100" w:before="260"/>
      <w:outlineLvl w:val="1"/>
    </w:pPr>
    <w:rPr>
      <w:rFonts w:ascii="Arial" w:cs="Arial" w:eastAsia="Arial" w:hAnsi="Arial"/>
      <w:b/>
      <w:bCs/>
      <w:color w:val="0A2540"/>
      <w:sz w:val="28"/>
      <w:szCs w:val="28"/>
    </w:rPr>
  </w:style>
  <w:style w:type="paragraph" w:styleId="Heading3">
    <w:name w:val="Heading 3"/>
    <w:basedOn w:val="Normal"/>
    <w:next w:val="Normal"/>
    <w:qFormat/>
    <w:pPr>
      <w:spacing w:after="60" w:before="180"/>
      <w:outlineLvl w:val="2"/>
    </w:pPr>
    <w:rPr>
      <w:rFonts w:ascii="Arial" w:cs="Arial" w:eastAsia="Arial" w:hAnsi="Arial"/>
      <w:b/>
      <w:bCs/>
      <w:color w:val="0c2d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w8fpif56md1n0lp4njkv" Type="http://schemas.openxmlformats.org/officeDocument/2006/relationships/hyperlink" Target="https://curalive-platform.replit.app/" TargetMode="External"/><Relationship Id="rIdgbujd0sbq_bug0c55zckn" Type="http://schemas.openxmlformats.org/officeDocument/2006/relationships/hyperlink" Target="https://curalive-platform.replit.app/?tab=shadow" TargetMode="External"/><Relationship Id="rIdvzy5n_cfg89jsgu7n7bgx" Type="http://schemas.openxmlformats.org/officeDocument/2006/relationships/hyperlink" Target="https://curalive-platform.replit.app/?tab=shadow&amp;sub=qa" TargetMode="External"/><Relationship Id="rIdpzil2oovx1tr4zbh4ucag" Type="http://schemas.openxmlformats.org/officeDocument/2006/relationships/hyperlink" Target="https://curalive-platform.replit.app/?tab=shadow&amp;sub=board" TargetMode="External"/><Relationship Id="rIdxftzo8xvwjxlc1anugif9" Type="http://schemas.openxmlformats.org/officeDocument/2006/relationships/hyperlink" Target="https://curalive-platform.replit.app/?tab=shadow&amp;sub=prebriefing" TargetMode="External"/><Relationship Id="rIdpz_5m-z9m_q_u0bashszv" Type="http://schemas.openxmlformats.org/officeDocument/2006/relationships/hyperlink" Target="https://curalive-platform.replit.app/?tab=shadow&amp;sub=compliance" TargetMode="External"/><Relationship Id="rIdcr1an-kcktyfsjo2bmq0j" Type="http://schemas.openxmlformats.org/officeDocument/2006/relationships/hyperlink" Target="https://curalive-platform.replit.app/?tab=shadow&amp;sub=agm" TargetMode="External"/><Relationship Id="rIdu3pme4kyavjiny_yscl5u" Type="http://schemas.openxmlformats.org/officeDocument/2006/relationships/hyperlink" Target="https://curalive-platform.replit.app/?tab=shadow&amp;sub=diagnostics" TargetMode="External"/><Relationship Id="rId4kul2kzscdh1nwtemjc34" Type="http://schemas.openxmlformats.org/officeDocument/2006/relationships/hyperlink" Target="https://curalive-platform.replit.app/?tab=events" TargetMode="External"/><Relationship Id="rIdutmccozinf6yxfjup6ill" Type="http://schemas.openxmlformats.org/officeDocument/2006/relationships/hyperlink" Target="https://curalive-platform.replit.app/?tab=partners" TargetMode="External"/><Relationship Id="rIdstit-8mhh9ljgzngrs5o4" Type="http://schemas.openxmlformats.org/officeDocument/2006/relationships/hyperlink" Target="https://curalive-platform.replit.app/?tab=billing" TargetMode="External"/><Relationship Id="rIdazabhe4_7cjhv9dh1cilx" Type="http://schemas.openxmlformats.org/officeDocument/2006/relationships/hyperlink" Target="https://curalive-platform.replit.app/live-video/webcast/demo?simulate=1" TargetMode="External"/><Relationship Id="rIdmjbsojm0jb1ucregd1igp" Type="http://schemas.openxmlformats.org/officeDocument/2006/relationships/hyperlink" Target="https://curalive-platform.replit.app/live-demo" TargetMode="External"/><Relationship Id="rIdmmfjlqzjhbe2qhajrx_aw" Type="http://schemas.openxmlformats.org/officeDocument/2006/relationships/hyperlink" Target="https://curalive-platform.replit.app/tier-demo" TargetMode="External"/><Relationship Id="rIdbezxsqzayaohr83fdppwj" Type="http://schemas.openxmlformats.org/officeDocument/2006/relationships/hyperlink" Target="https://curalive-platform.replit.app/platform-video" TargetMode="External"/><Relationship Id="rId06h4bkxofnu9qllabwzp-" Type="http://schemas.openxmlformats.org/officeDocument/2006/relationships/hyperlink" Target="https://curalive-platform.replit.app/lumi-demo" TargetMode="External"/><Relationship Id="rIdsb0cin_j48conlhc949oo" Type="http://schemas.openxmlformats.org/officeDocument/2006/relationships/hyperlink" Target="https://curalive-platform.replit.app/live/demo-live-001" TargetMode="External"/><Relationship Id="rIdrgevu-14jmvnctla79nkk" Type="http://schemas.openxmlformats.org/officeDocument/2006/relationships/hyperlink" Target="https://curalive-platform.replit.app/report/demo-report-001" TargetMode="External"/><Relationship Id="rIdzsmbmezrj-mjfhrlk8izj" Type="http://schemas.openxmlformats.org/officeDocument/2006/relationships/hyperlink" Target="https://curalive-platform.replit.app/presenter/demo-presenter-001" TargetMode="External"/><Relationship Id="rIdv1e0da0z7v1b8ozqi448l" Type="http://schemas.openxmlformats.org/officeDocument/2006/relationships/hyperlink" Target="https://curalive-platform.replit.app/?tab=events" TargetMode="External"/><Relationship Id="rIdbyfhd1pj4ak1kinpmmeg0" Type="http://schemas.openxmlformats.org/officeDocument/2006/relationships/hyperlink" Target="https://curalive-platform.replit.app/?tab=shadow" TargetMode="External"/><Relationship Id="rIdi6m0sjlo00t7nj5z8ocv3" Type="http://schemas.openxmlformats.org/officeDocument/2006/relationships/hyperlink" Target="https://curalive-platform.replit.app/live/demo-live-001" TargetMode="External"/><Relationship Id="rIdpt4_fd1cwhrnkcrmhzufd" Type="http://schemas.openxmlformats.org/officeDocument/2006/relationships/hyperlink" Target="https://curalive-platform.replit.app/?tab=shadow&amp;sub=qa" TargetMode="External"/><Relationship Id="rIdoyz--aix1mcwwj4y9cmav" Type="http://schemas.openxmlformats.org/officeDocument/2006/relationships/hyperlink" Target="https://curalive-platform.replit.app/presenter/demo-presenter-001" TargetMode="External"/><Relationship Id="rIdr15njfpsdi_phjg7ni-d_" Type="http://schemas.openxmlformats.org/officeDocument/2006/relationships/hyperlink" Target="https://curalive-platform.replit.app/report/demo-report-001" TargetMode="External"/><Relationship Id="rIdtkrhzrjzkn8jo6m9dqw-g" Type="http://schemas.openxmlformats.org/officeDocument/2006/relationships/hyperlink" Target="https://curalive-platform.replit.app/?tab=shadow&amp;sub=compliance" TargetMode="External"/><Relationship Id="rIdyapdi6e1mnz7ivivcoc2l" Type="http://schemas.openxmlformats.org/officeDocument/2006/relationships/hyperlink" Target="https://curalive-platform.replit.app/?tab=shadow&amp;sub=archives" TargetMode="External"/><Relationship Id="rIdutgeeepscukouos9dehrm" Type="http://schemas.openxmlformats.org/officeDocument/2006/relationships/hyperlink" Target="https://curalive-platform.replit.app/lumi-demo" TargetMode="External"/><Relationship Id="rIdkkrtcigwu8zfuc1be-hb6" Type="http://schemas.openxmlformats.org/officeDocument/2006/relationships/hyperlink" Target="https://curalive-platform.replit.app/live-video/webcast/demo?simulate=1" TargetMode="External"/><Relationship Id="rIdg6willvjtlqijyzq4om4s" Type="http://schemas.openxmlformats.org/officeDocument/2006/relationships/hyperlink" Target="https://curalive-platform.replit.app/?tab=shadow" TargetMode="External"/><Relationship Id="rIdm_o5e9gpbkb-ziarcgzhb" Type="http://schemas.openxmlformats.org/officeDocument/2006/relationships/hyperlink" Target="https://curalive-platform.replit.app/presenter/demo-presenter-001" TargetMode="External"/><Relationship Id="rIdmrcl2jxyugd1cwik57gfv" Type="http://schemas.openxmlformats.org/officeDocument/2006/relationships/hyperlink" Target="https://curalive-platform.replit.app/live/demo-live-001" TargetMode="External"/><Relationship Id="rIdshi2rt-6tevbjqqrgebby" Type="http://schemas.openxmlformats.org/officeDocument/2006/relationships/hyperlink" Target="https://curalive-platform.replit.app/report/demo-report-001" TargetMode="External"/><Relationship Id="rId2r47mvd09xeuyeligkq1o" Type="http://schemas.openxmlformats.org/officeDocument/2006/relationships/hyperlink" Target="https://curalive-platform.replit.app/lumi-demo" TargetMode="External"/><Relationship Id="rIdmg_czgwzckywvly5rksca" Type="http://schemas.openxmlformats.org/officeDocument/2006/relationships/hyperlink" Target="https://curalive-platform.replit.app/?tab=shadow&amp;sub=agm" TargetMode="External"/><Relationship Id="rIdcmkzvnz5wwcrsfpewvagx" Type="http://schemas.openxmlformats.org/officeDocument/2006/relationships/hyperlink" Target="https://curalive-platform.replit.app/" TargetMode="External"/><Relationship Id="rId1cvud16rsfy9mgfzhrkxc" Type="http://schemas.openxmlformats.org/officeDocument/2006/relationships/hyperlink" Target="https://curalive-platform.replit.app/?tab=shadow" TargetMode="External"/><Relationship Id="rIdnfj7t3h8-yvql_c8qizxj" Type="http://schemas.openxmlformats.org/officeDocument/2006/relationships/hyperlink" Target="https://curalive-platform.replit.app/?tab=shadow&amp;sub=qa" TargetMode="External"/><Relationship Id="rIddx-bathwvapggckcgpirq" Type="http://schemas.openxmlformats.org/officeDocument/2006/relationships/hyperlink" Target="https://curalive-platform.replit.app/?tab=shadow&amp;sub=board" TargetMode="External"/><Relationship Id="rIdpzpchigyum3mxz6f54gim" Type="http://schemas.openxmlformats.org/officeDocument/2006/relationships/hyperlink" Target="https://curalive-platform.replit.app/?tab=shadow&amp;sub=prebriefing" TargetMode="External"/><Relationship Id="rIdzsdhxhrqsv8wv0jc8vuto" Type="http://schemas.openxmlformats.org/officeDocument/2006/relationships/hyperlink" Target="https://curalive-platform.replit.app/?tab=shadow&amp;sub=compliance" TargetMode="External"/><Relationship Id="rId0oily1ifj7hy2mggscsql" Type="http://schemas.openxmlformats.org/officeDocument/2006/relationships/hyperlink" Target="https://curalive-platform.replit.app/?tab=shadow&amp;sub=agm" TargetMode="External"/><Relationship Id="rId5rislyipgeteyrmitrzoz" Type="http://schemas.openxmlformats.org/officeDocument/2006/relationships/hyperlink" Target="https://curalive-platform.replit.app/?tab=shadow&amp;sub=diagnostics" TargetMode="External"/><Relationship Id="rIddcwgghgkqdvvkuhiky8vt" Type="http://schemas.openxmlformats.org/officeDocument/2006/relationships/hyperlink" Target="https://curalive-platform.replit.app/?tab=events" TargetMode="External"/><Relationship Id="rIdvvdzsndpwod19maxsznno" Type="http://schemas.openxmlformats.org/officeDocument/2006/relationships/hyperlink" Target="https://curalive-platform.replit.app/?tab=partners" TargetMode="External"/><Relationship Id="rIdtyxhudoy5rbnslonf3m17" Type="http://schemas.openxmlformats.org/officeDocument/2006/relationships/hyperlink" Target="https://curalive-platform.replit.app/?tab=billing" TargetMode="External"/><Relationship Id="rIdocotksdo_apnqnhtqaqnw" Type="http://schemas.openxmlformats.org/officeDocument/2006/relationships/hyperlink" Target="https://curalive-platform.replit.app/live-video/webcast/demo?simulate=1" TargetMode="External"/><Relationship Id="rId_7kgs9pxnxgx0k855ymje" Type="http://schemas.openxmlformats.org/officeDocument/2006/relationships/hyperlink" Target="https://curalive-platform.replit.app/live/demo-live-001" TargetMode="External"/><Relationship Id="rIdvo7arby5b_ipvrb9hppaa" Type="http://schemas.openxmlformats.org/officeDocument/2006/relationships/hyperlink" Target="https://curalive-platform.replit.app/report/demo-report-001" TargetMode="External"/><Relationship Id="rIdmizztwqm6y62nodd4nn21" Type="http://schemas.openxmlformats.org/officeDocument/2006/relationships/hyperlink" Target="https://curalive-platform.replit.app/presenter/demo-presenter-001" TargetMode="External"/><Relationship Id="rIdxynklzoacieh2g8murhli" Type="http://schemas.openxmlformats.org/officeDocument/2006/relationships/hyperlink" Target="https://curalive-platform.replit.app/qa/ACCESS-CODE" TargetMode="External"/><Relationship Id="rIdj8dpulg4xtuwrrsv6_ayt" Type="http://schemas.openxmlformats.org/officeDocument/2006/relationships/hyperlink" Target="https://curalive-platform.replit.app/lumi-demo" TargetMode="External"/><Relationship Id="rIdamrafr90hzt0f1664letu" Type="http://schemas.openxmlformats.org/officeDocument/2006/relationships/hyperlink" Target="https://curalive-platform.replit.app/tier-demo" TargetMode="External"/><Relationship Id="rId7mdrseq3xf0ifw9gxuydk" Type="http://schemas.openxmlformats.org/officeDocument/2006/relationships/hyperlink" Target="https://curalive-platform.replit.app/platform-video" TargetMode="External"/><Relationship Id="rId_msfwwnkv5ihed_on9yut" Type="http://schemas.openxmlformats.org/officeDocument/2006/relationships/hyperlink" Target="https://curalive-platform.replit.app/virtual-studio" TargetMode="External"/><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2026-04-03T17:20:02.056Z</dcterms:created>
  <dcterms:modified xsi:type="dcterms:W3CDTF">2026-04-03T17:20:02.056Z</dcterms:modified>
</cp:coreProperties>
</file>

<file path=docProps/custom.xml><?xml version="1.0" encoding="utf-8"?>
<Properties xmlns="http://schemas.openxmlformats.org/officeDocument/2006/custom-properties" xmlns:vt="http://schemas.openxmlformats.org/officeDocument/2006/docPropsVTypes"/>
</file>