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60" w:before="0"/>
        <w:jc w:val="center"/>
      </w:pPr>
      <w:r>
        <w:rPr>
          <w:rFonts w:ascii="Calibri" w:cs="Calibri" w:eastAsia="Calibri" w:hAnsi="Calibri"/>
          <w:b/>
          <w:bCs/>
          <w:i w:val="false"/>
          <w:iCs w:val="false"/>
          <w:color w:val="1B3A5C"/>
          <w:sz w:val="32"/>
          <w:szCs w:val="32"/>
        </w:rPr>
        <w:t xml:space="preserve">CONTINUATION-IN-PART (CIP)</w:t>
      </w:r>
    </w:p>
    <w:p>
      <w:pPr>
        <w:spacing w:after="120" w:before="0"/>
        <w:jc w:val="center"/>
      </w:pPr>
      <w:r>
        <w:rPr>
          <w:rFonts w:ascii="Calibri" w:cs="Calibri" w:eastAsia="Calibri" w:hAnsi="Calibri"/>
          <w:b/>
          <w:bCs/>
          <w:i w:val="false"/>
          <w:iCs w:val="false"/>
          <w:color w:val="1B3A5C"/>
          <w:sz w:val="28"/>
          <w:szCs w:val="28"/>
        </w:rPr>
        <w:t xml:space="preserve">SUPPLEMENTARY PATENT SPECIFICATION</w:t>
      </w:r>
    </w:p>
    <w:p>
      <w:pPr>
        <w:spacing w:after="300" w:before="0"/>
        <w:jc w:val="center"/>
      </w:pPr>
      <w:r>
        <w:rPr>
          <w:rFonts w:ascii="Calibri" w:cs="Calibri" w:eastAsia="Calibri" w:hAnsi="Calibri"/>
          <w:b/>
          <w:bCs/>
          <w:i/>
          <w:iCs/>
          <w:color w:val="1B3A5C"/>
          <w:sz w:val="26"/>
          <w:szCs w:val="26"/>
        </w:rPr>
        <w:t xml:space="preserve">Sixth Submission to CIPC</w:t>
      </w:r>
    </w:p>
    <w:p>
      <w:pPr>
        <w:spacing w:after="200" w:before="0"/>
        <w:jc w:val="center"/>
      </w:pPr>
      <w:r>
        <w:rPr>
          <w:rFonts w:ascii="Calibri" w:cs="Calibri" w:eastAsia="Calibri" w:hAnsi="Calibri"/>
          <w:b/>
          <w:bCs/>
          <w:i w:val="false"/>
          <w:iCs w:val="false"/>
          <w:color w:val="1B3A5C"/>
          <w:sz w:val="30"/>
          <w:szCs w:val="30"/>
        </w:rPr>
        <w:t xml:space="preserve">CuraLive Platform</w:t>
      </w:r>
    </w:p>
    <w:p>
      <w:pPr>
        <w:spacing w:after="40" w:before="0"/>
        <w:jc w:val="center"/>
      </w:pPr>
      <w:r>
        <w:rPr>
          <w:rFonts w:ascii="Calibri" w:cs="Calibri" w:eastAsia="Calibri" w:hAnsi="Calibri"/>
          <w:b/>
          <w:bCs/>
          <w:i w:val="false"/>
          <w:iCs w:val="false"/>
          <w:color w:val="1B3A5C"/>
          <w:sz w:val="22"/>
          <w:szCs w:val="22"/>
        </w:rPr>
        <w:t xml:space="preserve">Autonomous Enterprise Operating System (AEOS) with Cross-Platform</w:t>
      </w:r>
    </w:p>
    <w:p>
      <w:pPr>
        <w:spacing w:after="40" w:before="0"/>
        <w:jc w:val="center"/>
      </w:pPr>
      <w:r>
        <w:rPr>
          <w:rFonts w:ascii="Calibri" w:cs="Calibri" w:eastAsia="Calibri" w:hAnsi="Calibri"/>
          <w:b/>
          <w:bCs/>
          <w:i w:val="false"/>
          <w:iCs w:val="false"/>
          <w:color w:val="1B3A5C"/>
          <w:sz w:val="22"/>
          <w:szCs w:val="22"/>
        </w:rPr>
        <w:t xml:space="preserve">Event Orchestration, Governance Gateway, Polarity-to-Priority Triage,</w:t>
      </w:r>
    </w:p>
    <w:p>
      <w:pPr>
        <w:spacing w:after="200" w:before="0"/>
        <w:jc w:val="center"/>
      </w:pPr>
      <w:r>
        <w:rPr>
          <w:rFonts w:ascii="Calibri" w:cs="Calibri" w:eastAsia="Calibri" w:hAnsi="Calibri"/>
          <w:b/>
          <w:bCs/>
          <w:i w:val="false"/>
          <w:iCs w:val="false"/>
          <w:color w:val="1B3A5C"/>
          <w:sz w:val="22"/>
          <w:szCs w:val="22"/>
        </w:rPr>
        <w:t xml:space="preserve">and Predictive Jitter-Buffer Synchronization</w:t>
      </w:r>
    </w:p>
    <w:p>
      <w:pPr>
        <w:spacing w:after="20" w:before="0"/>
        <w:jc w:val="center"/>
      </w:pPr>
      <w:r>
        <w:rPr>
          <w:rFonts w:ascii="Calibri" w:cs="Calibri" w:eastAsia="Calibri" w:hAnsi="Calibri"/>
          <w:b w:val="false"/>
          <w:bCs w:val="false"/>
          <w:i/>
          <w:iCs/>
          <w:color w:val="666666"/>
          <w:sz w:val="19"/>
          <w:szCs w:val="19"/>
        </w:rPr>
        <w:t xml:space="preserve">(Extending Modules 1–31 and Claims 1–55 of the Parent Provisional,</w:t>
      </w:r>
    </w:p>
    <w:p>
      <w:pPr>
        <w:spacing w:after="400" w:before="0"/>
        <w:jc w:val="center"/>
      </w:pPr>
      <w:r>
        <w:rPr>
          <w:rFonts w:ascii="Calibri" w:cs="Calibri" w:eastAsia="Calibri" w:hAnsi="Calibri"/>
          <w:b w:val="false"/>
          <w:bCs w:val="false"/>
          <w:i/>
          <w:iCs/>
          <w:color w:val="666666"/>
          <w:sz w:val="19"/>
          <w:szCs w:val="19"/>
        </w:rPr>
        <w:t xml:space="preserve">CIP Submission 2, CIP Submission 3, CIP Submission 4, and CIP Submission 5)</w:t>
      </w:r>
    </w:p>
    <w:p>
      <w:pPr>
        <w:spacing w:after="100"/>
        <w:jc w:val="center"/>
      </w:pPr>
      <w:r>
        <w:rPr>
          <w:rFonts w:ascii="Calibri" w:cs="Calibri" w:eastAsia="Calibri" w:hAnsi="Calibri"/>
          <w:b/>
          <w:bCs/>
          <w:color w:val="1B3A5C"/>
          <w:sz w:val="24"/>
          <w:szCs w:val="24"/>
        </w:rPr>
        <w:t xml:space="preserve">Applicant and Inventor</w:t>
      </w:r>
    </w:p>
    <w:p>
      <w:pPr>
        <w:spacing w:after="40" w:before="0"/>
        <w:jc w:val="center"/>
      </w:pPr>
      <w:r>
        <w:rPr>
          <w:rFonts w:ascii="Calibri" w:cs="Calibri" w:eastAsia="Calibri" w:hAnsi="Calibri"/>
          <w:b w:val="false"/>
          <w:bCs w:val="false"/>
          <w:i w:val="false"/>
          <w:iCs w:val="false"/>
          <w:color w:val="000000"/>
          <w:sz w:val="22"/>
          <w:szCs w:val="22"/>
        </w:rPr>
        <w:t xml:space="preserve">David Cameron</w:t>
      </w:r>
    </w:p>
    <w:p>
      <w:pPr>
        <w:spacing w:after="40" w:before="0"/>
        <w:jc w:val="center"/>
      </w:pPr>
      <w:r>
        <w:rPr>
          <w:rFonts w:ascii="Calibri" w:cs="Calibri" w:eastAsia="Calibri" w:hAnsi="Calibri"/>
          <w:b w:val="false"/>
          <w:bCs w:val="false"/>
          <w:i w:val="false"/>
          <w:iCs w:val="false"/>
          <w:color w:val="000000"/>
          <w:sz w:val="20"/>
          <w:szCs w:val="20"/>
        </w:rPr>
        <w:t xml:space="preserve">41 Rooigras Avenue, 73 Tiffani Gardens, Bassonia, 2090, Johannesburg, South Africa</w:t>
      </w:r>
    </w:p>
    <w:p>
      <w:pPr>
        <w:spacing w:after="300" w:before="0"/>
        <w:jc w:val="center"/>
      </w:pPr>
      <w:r>
        <w:rPr>
          <w:rFonts w:ascii="Calibri" w:cs="Calibri" w:eastAsia="Calibri" w:hAnsi="Calibri"/>
          <w:b w:val="false"/>
          <w:bCs w:val="false"/>
          <w:i w:val="false"/>
          <w:iCs w:val="false"/>
          <w:color w:val="000000"/>
          <w:sz w:val="20"/>
          <w:szCs w:val="20"/>
        </w:rPr>
        <w:t xml:space="preserve">+27 84 444 6001</w:t>
      </w:r>
    </w:p>
    <w:tbl>
      <w:tblPr>
        <w:tblW w:type="pct" w:w="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tcBorders>
              <w:top w:val="none"/>
              <w:left w:val="none"/>
              <w:bottom w:val="none"/>
              <w:right w:val="none"/>
            </w:tcBorders>
          </w:tcPr>
          <w:p>
            <w:pPr>
              <w:spacing w:after="40"/>
              <w:jc w:val="right"/>
            </w:pPr>
            <w:r>
              <w:rPr>
                <w:rFonts w:ascii="Calibri" w:cs="Calibri" w:eastAsia="Calibri" w:hAnsi="Calibri"/>
                <w:b/>
                <w:bCs/>
                <w:sz w:val="20"/>
                <w:szCs w:val="20"/>
              </w:rPr>
              <w:t xml:space="preserve">Prepared:</w:t>
            </w:r>
          </w:p>
        </w:tc>
        <w:tc>
          <w:tcPr>
            <w:tcBorders>
              <w:top w:val="none"/>
              <w:left w:val="none"/>
              <w:bottom w:val="none"/>
              <w:right w:val="none"/>
            </w:tcBorders>
          </w:tcPr>
          <w:p>
            <w:pPr>
              <w:spacing w:after="40"/>
            </w:pPr>
            <w:r>
              <w:rPr>
                <w:rFonts w:ascii="Calibri" w:cs="Calibri" w:eastAsia="Calibri" w:hAnsi="Calibri"/>
                <w:sz w:val="20"/>
                <w:szCs w:val="20"/>
              </w:rPr>
              <w:t xml:space="preserve">  20 March 2026</w:t>
            </w:r>
          </w:p>
        </w:tc>
      </w:tr>
      <w:tr>
        <w:tc>
          <w:tcPr>
            <w:tcW w:type="pct" w:w="40%"/>
            <w:tcBorders>
              <w:top w:val="none"/>
              <w:left w:val="none"/>
              <w:bottom w:val="none"/>
              <w:right w:val="none"/>
            </w:tcBorders>
          </w:tcPr>
          <w:p>
            <w:pPr>
              <w:spacing w:after="40"/>
              <w:jc w:val="right"/>
            </w:pPr>
            <w:r>
              <w:rPr>
                <w:rFonts w:ascii="Calibri" w:cs="Calibri" w:eastAsia="Calibri" w:hAnsi="Calibri"/>
                <w:b/>
                <w:bCs/>
                <w:sz w:val="20"/>
                <w:szCs w:val="20"/>
              </w:rPr>
              <w:t xml:space="preserve">Parent Application:</w:t>
            </w:r>
          </w:p>
        </w:tc>
        <w:tc>
          <w:tcPr>
            <w:tcBorders>
              <w:top w:val="none"/>
              <w:left w:val="none"/>
              <w:bottom w:val="none"/>
              <w:right w:val="none"/>
            </w:tcBorders>
          </w:tcPr>
          <w:p>
            <w:pPr>
              <w:spacing w:after="40"/>
            </w:pPr>
            <w:r>
              <w:rPr>
                <w:rFonts w:ascii="Calibri" w:cs="Calibri" w:eastAsia="Calibri" w:hAnsi="Calibri"/>
                <w:sz w:val="20"/>
                <w:szCs w:val="20"/>
              </w:rPr>
              <w:t xml:space="preserve">  No. 1773575338868 (12 March 2026)</w:t>
            </w:r>
          </w:p>
        </w:tc>
      </w:tr>
      <w:tr>
        <w:tc>
          <w:tcPr>
            <w:tcW w:type="pct" w:w="40%"/>
            <w:tcBorders>
              <w:top w:val="none"/>
              <w:left w:val="none"/>
              <w:bottom w:val="none"/>
              <w:right w:val="none"/>
            </w:tcBorders>
          </w:tcPr>
          <w:p>
            <w:pPr>
              <w:spacing w:after="40"/>
              <w:jc w:val="right"/>
            </w:pPr>
            <w:r>
              <w:rPr>
                <w:rFonts w:ascii="Calibri" w:cs="Calibri" w:eastAsia="Calibri" w:hAnsi="Calibri"/>
                <w:b/>
                <w:bCs/>
                <w:sz w:val="20"/>
                <w:szCs w:val="20"/>
              </w:rPr>
              <w:t xml:space="preserve">Filing Authority:</w:t>
            </w:r>
          </w:p>
        </w:tc>
        <w:tc>
          <w:tcPr>
            <w:tcBorders>
              <w:top w:val="none"/>
              <w:left w:val="none"/>
              <w:bottom w:val="none"/>
              <w:right w:val="none"/>
            </w:tcBorders>
          </w:tcPr>
          <w:p>
            <w:pPr>
              <w:spacing w:after="40"/>
            </w:pPr>
            <w:r>
              <w:rPr>
                <w:rFonts w:ascii="Calibri" w:cs="Calibri" w:eastAsia="Calibri" w:hAnsi="Calibri"/>
                <w:sz w:val="20"/>
                <w:szCs w:val="20"/>
              </w:rPr>
              <w:t xml:space="preserve">  Companies and Intellectual Property Commission (CIPC)</w:t>
            </w:r>
          </w:p>
        </w:tc>
      </w:tr>
      <w:tr>
        <w:tc>
          <w:tcPr>
            <w:tcW w:type="pct" w:w="40%"/>
            <w:tcBorders>
              <w:top w:val="none"/>
              <w:left w:val="none"/>
              <w:bottom w:val="none"/>
              <w:right w:val="none"/>
            </w:tcBorders>
          </w:tcPr>
          <w:p>
            <w:pPr>
              <w:spacing w:after="40"/>
              <w:jc w:val="right"/>
            </w:pPr>
            <w:r>
              <w:rPr>
                <w:rFonts w:ascii="Calibri" w:cs="Calibri" w:eastAsia="Calibri" w:hAnsi="Calibri"/>
                <w:b/>
                <w:bCs/>
                <w:sz w:val="20"/>
                <w:szCs w:val="20"/>
              </w:rPr>
              <w:t xml:space="preserve">Jurisdiction:</w:t>
            </w:r>
          </w:p>
        </w:tc>
        <w:tc>
          <w:tcPr>
            <w:tcBorders>
              <w:top w:val="none"/>
              <w:left w:val="none"/>
              <w:bottom w:val="none"/>
              <w:right w:val="none"/>
            </w:tcBorders>
          </w:tcPr>
          <w:p>
            <w:pPr>
              <w:spacing w:after="40"/>
            </w:pPr>
            <w:r>
              <w:rPr>
                <w:rFonts w:ascii="Calibri" w:cs="Calibri" w:eastAsia="Calibri" w:hAnsi="Calibri"/>
                <w:sz w:val="20"/>
                <w:szCs w:val="20"/>
              </w:rPr>
              <w:t xml:space="preserve">  Republic of South Africa</w:t>
            </w:r>
          </w:p>
        </w:tc>
      </w:tr>
      <w:tr>
        <w:tc>
          <w:tcPr>
            <w:tcW w:type="pct" w:w="40%"/>
            <w:tcBorders>
              <w:top w:val="none"/>
              <w:left w:val="none"/>
              <w:bottom w:val="none"/>
              <w:right w:val="none"/>
            </w:tcBorders>
          </w:tcPr>
          <w:p>
            <w:pPr>
              <w:spacing w:after="40"/>
              <w:jc w:val="right"/>
            </w:pPr>
            <w:r>
              <w:rPr>
                <w:rFonts w:ascii="Calibri" w:cs="Calibri" w:eastAsia="Calibri" w:hAnsi="Calibri"/>
                <w:b/>
                <w:bCs/>
                <w:sz w:val="20"/>
                <w:szCs w:val="20"/>
              </w:rPr>
              <w:t xml:space="preserve">Production URL:</w:t>
            </w:r>
          </w:p>
        </w:tc>
        <w:tc>
          <w:tcPr>
            <w:tcBorders>
              <w:top w:val="none"/>
              <w:left w:val="none"/>
              <w:bottom w:val="none"/>
              <w:right w:val="none"/>
            </w:tcBorders>
          </w:tcPr>
          <w:p>
            <w:pPr>
              <w:spacing w:after="40"/>
            </w:pPr>
            <w:r>
              <w:rPr>
                <w:rFonts w:ascii="Calibri" w:cs="Calibri" w:eastAsia="Calibri" w:hAnsi="Calibri"/>
                <w:sz w:val="20"/>
                <w:szCs w:val="20"/>
              </w:rPr>
              <w:t xml:space="preserve">  https://curalive-platform.replit.app</w:t>
            </w:r>
          </w:p>
        </w:tc>
      </w:tr>
      <w:tr>
        <w:tc>
          <w:tcPr>
            <w:tcW w:type="pct" w:w="40%"/>
            <w:tcBorders>
              <w:top w:val="none"/>
              <w:left w:val="none"/>
              <w:bottom w:val="none"/>
              <w:right w:val="none"/>
            </w:tcBorders>
          </w:tcPr>
          <w:p>
            <w:pPr>
              <w:spacing w:after="40"/>
              <w:jc w:val="right"/>
            </w:pPr>
            <w:r>
              <w:rPr>
                <w:rFonts w:ascii="Calibri" w:cs="Calibri" w:eastAsia="Calibri" w:hAnsi="Calibri"/>
                <w:b/>
                <w:bCs/>
                <w:sz w:val="20"/>
                <w:szCs w:val="20"/>
              </w:rPr>
              <w:t xml:space="preserve">GitHub:</w:t>
            </w:r>
          </w:p>
        </w:tc>
        <w:tc>
          <w:tcPr>
            <w:tcBorders>
              <w:top w:val="none"/>
              <w:left w:val="none"/>
              <w:bottom w:val="none"/>
              <w:right w:val="none"/>
            </w:tcBorders>
          </w:tcPr>
          <w:p>
            <w:pPr>
              <w:spacing w:after="40"/>
            </w:pPr>
            <w:r>
              <w:rPr>
                <w:rFonts w:ascii="Calibri" w:cs="Calibri" w:eastAsia="Calibri" w:hAnsi="Calibri"/>
                <w:sz w:val="20"/>
                <w:szCs w:val="20"/>
              </w:rPr>
              <w:t xml:space="preserve">  github.com/davecameron187-sys/curalive-platform</w:t>
            </w:r>
          </w:p>
        </w:tc>
      </w:tr>
      <w:tr>
        <w:tc>
          <w:tcPr>
            <w:tcW w:type="pct" w:w="40%"/>
            <w:tcBorders>
              <w:top w:val="none"/>
              <w:left w:val="none"/>
              <w:bottom w:val="none"/>
              <w:right w:val="none"/>
            </w:tcBorders>
          </w:tcPr>
          <w:p>
            <w:pPr>
              <w:spacing w:after="40"/>
              <w:jc w:val="right"/>
            </w:pPr>
            <w:r>
              <w:rPr>
                <w:rFonts w:ascii="Calibri" w:cs="Calibri" w:eastAsia="Calibri" w:hAnsi="Calibri"/>
                <w:b/>
                <w:bCs/>
                <w:sz w:val="20"/>
                <w:szCs w:val="20"/>
              </w:rPr>
              <w:t xml:space="preserve">Document Classification:</w:t>
            </w:r>
          </w:p>
        </w:tc>
        <w:tc>
          <w:tcPr>
            <w:tcBorders>
              <w:top w:val="none"/>
              <w:left w:val="none"/>
              <w:bottom w:val="none"/>
              <w:right w:val="none"/>
            </w:tcBorders>
          </w:tcPr>
          <w:p>
            <w:pPr>
              <w:spacing w:after="40"/>
            </w:pPr>
            <w:r>
              <w:rPr>
                <w:rFonts w:ascii="Calibri" w:cs="Calibri" w:eastAsia="Calibri" w:hAnsi="Calibri"/>
                <w:sz w:val="20"/>
                <w:szCs w:val="20"/>
              </w:rPr>
              <w:t xml:space="preserve">  Confidential — Patent Filing Support Material</w:t>
            </w:r>
          </w:p>
        </w:tc>
      </w:tr>
    </w:tbl>
    <w:p>
      <w:pPr>
        <w:pageBreakBefore/>
      </w:pPr>
      <w:r>
        <w:br/>
      </w:r>
    </w:p>
    <w:p>
      <w:pPr>
        <w:spacing w:after="200" w:before="0"/>
        <w:jc w:val="center"/>
      </w:pPr>
      <w:r>
        <w:rPr>
          <w:rFonts w:ascii="Calibri" w:cs="Calibri" w:eastAsia="Calibri" w:hAnsi="Calibri"/>
          <w:b/>
          <w:bCs/>
          <w:i w:val="false"/>
          <w:iCs w:val="false"/>
          <w:color w:val="1B3A5C"/>
          <w:sz w:val="26"/>
          <w:szCs w:val="26"/>
        </w:rPr>
        <w:t xml:space="preserve">Table of Contents</w:t>
      </w:r>
    </w:p>
    <w:p>
      <w:pPr>
        <w:spacing w:after="80" w:before="0"/>
      </w:pPr>
      <w:r>
        <w:rPr>
          <w:rFonts w:ascii="Calibri" w:cs="Calibri" w:eastAsia="Calibri" w:hAnsi="Calibri"/>
          <w:b w:val="false"/>
          <w:bCs w:val="false"/>
          <w:i w:val="false"/>
          <w:iCs w:val="false"/>
          <w:color w:val="000000"/>
          <w:sz w:val="21"/>
          <w:szCs w:val="21"/>
        </w:rPr>
        <w:t xml:space="preserve">1. Title of Invention</w:t>
      </w:r>
    </w:p>
    <w:p>
      <w:pPr>
        <w:spacing w:after="80" w:before="0"/>
      </w:pPr>
      <w:r>
        <w:rPr>
          <w:rFonts w:ascii="Calibri" w:cs="Calibri" w:eastAsia="Calibri" w:hAnsi="Calibri"/>
          <w:b w:val="false"/>
          <w:bCs w:val="false"/>
          <w:i w:val="false"/>
          <w:iCs w:val="false"/>
          <w:color w:val="000000"/>
          <w:sz w:val="21"/>
          <w:szCs w:val="21"/>
        </w:rPr>
        <w:t xml:space="preserve">2. Abstract</w:t>
      </w:r>
    </w:p>
    <w:p>
      <w:pPr>
        <w:spacing w:after="80" w:before="0"/>
      </w:pPr>
      <w:r>
        <w:rPr>
          <w:rFonts w:ascii="Calibri" w:cs="Calibri" w:eastAsia="Calibri" w:hAnsi="Calibri"/>
          <w:b w:val="false"/>
          <w:bCs w:val="false"/>
          <w:i w:val="false"/>
          <w:iCs w:val="false"/>
          <w:color w:val="000000"/>
          <w:sz w:val="21"/>
          <w:szCs w:val="21"/>
        </w:rPr>
        <w:t xml:space="preserve">3. Cross-Reference to Related Applications</w:t>
      </w:r>
    </w:p>
    <w:p>
      <w:pPr>
        <w:spacing w:after="80" w:before="0"/>
      </w:pPr>
      <w:r>
        <w:rPr>
          <w:rFonts w:ascii="Calibri" w:cs="Calibri" w:eastAsia="Calibri" w:hAnsi="Calibri"/>
          <w:b w:val="false"/>
          <w:bCs w:val="false"/>
          <w:i w:val="false"/>
          <w:iCs w:val="false"/>
          <w:color w:val="000000"/>
          <w:sz w:val="21"/>
          <w:szCs w:val="21"/>
        </w:rPr>
        <w:t xml:space="preserve">4. Field of the Invention</w:t>
      </w:r>
    </w:p>
    <w:p>
      <w:pPr>
        <w:spacing w:after="80" w:before="0"/>
      </w:pPr>
      <w:r>
        <w:rPr>
          <w:rFonts w:ascii="Calibri" w:cs="Calibri" w:eastAsia="Calibri" w:hAnsi="Calibri"/>
          <w:b w:val="false"/>
          <w:bCs w:val="false"/>
          <w:i w:val="false"/>
          <w:iCs w:val="false"/>
          <w:color w:val="000000"/>
          <w:sz w:val="21"/>
          <w:szCs w:val="21"/>
        </w:rPr>
        <w:t xml:space="preserve">5. Relationship to Parent and Prior CIP Specifications</w:t>
      </w:r>
    </w:p>
    <w:p>
      <w:pPr>
        <w:spacing w:after="80" w:before="0"/>
      </w:pPr>
      <w:r>
        <w:rPr>
          <w:rFonts w:ascii="Calibri" w:cs="Calibri" w:eastAsia="Calibri" w:hAnsi="Calibri"/>
          <w:b w:val="false"/>
          <w:bCs w:val="false"/>
          <w:i w:val="false"/>
          <w:iCs w:val="false"/>
          <w:color w:val="000000"/>
          <w:sz w:val="21"/>
          <w:szCs w:val="21"/>
        </w:rPr>
        <w:t xml:space="preserve">6. Background of the Invention (Updated)</w:t>
      </w:r>
    </w:p>
    <w:p>
      <w:pPr>
        <w:spacing w:after="80" w:before="0"/>
      </w:pPr>
      <w:r>
        <w:rPr>
          <w:rFonts w:ascii="Calibri" w:cs="Calibri" w:eastAsia="Calibri" w:hAnsi="Calibri"/>
          <w:b w:val="false"/>
          <w:bCs w:val="false"/>
          <w:i w:val="false"/>
          <w:iCs w:val="false"/>
          <w:color w:val="000000"/>
          <w:sz w:val="21"/>
          <w:szCs w:val="21"/>
        </w:rPr>
        <w:t xml:space="preserve">7. Summary of the Invention (Updated)</w:t>
      </w:r>
    </w:p>
    <w:p>
      <w:pPr>
        <w:spacing w:after="80" w:before="0"/>
      </w:pPr>
      <w:r>
        <w:rPr>
          <w:rFonts w:ascii="Calibri" w:cs="Calibri" w:eastAsia="Calibri" w:hAnsi="Calibri"/>
          <w:b w:val="false"/>
          <w:bCs w:val="false"/>
          <w:i w:val="false"/>
          <w:iCs w:val="false"/>
          <w:color w:val="000000"/>
          <w:sz w:val="21"/>
          <w:szCs w:val="21"/>
        </w:rPr>
        <w:t xml:space="preserve">8. Complete Module Registry (Modules 1–32)</w:t>
      </w:r>
    </w:p>
    <w:p>
      <w:pPr>
        <w:spacing w:after="80" w:before="0"/>
      </w:pPr>
      <w:r>
        <w:rPr>
          <w:rFonts w:ascii="Calibri" w:cs="Calibri" w:eastAsia="Calibri" w:hAnsi="Calibri"/>
          <w:b w:val="false"/>
          <w:bCs w:val="false"/>
          <w:i w:val="false"/>
          <w:iCs w:val="false"/>
          <w:color w:val="000000"/>
          <w:sz w:val="21"/>
          <w:szCs w:val="21"/>
        </w:rPr>
        <w:t xml:space="preserve">9. Detailed Technical Description — CIP Submission 6 Innovations</w:t>
      </w:r>
    </w:p>
    <w:p>
      <w:pPr>
        <w:spacing w:after="80" w:before="0"/>
      </w:pPr>
      <w:r>
        <w:rPr>
          <w:rFonts w:ascii="Calibri" w:cs="Calibri" w:eastAsia="Calibri" w:hAnsi="Calibri"/>
          <w:b w:val="false"/>
          <w:bCs w:val="false"/>
          <w:i w:val="false"/>
          <w:iCs w:val="false"/>
          <w:color w:val="000000"/>
          <w:sz w:val="21"/>
          <w:szCs w:val="21"/>
        </w:rPr>
        <w:t xml:space="preserve">10. Detailed Technical Description — Module 32: AEOS</w:t>
      </w:r>
    </w:p>
    <w:p>
      <w:pPr>
        <w:spacing w:after="80" w:before="0"/>
      </w:pPr>
      <w:r>
        <w:rPr>
          <w:rFonts w:ascii="Calibri" w:cs="Calibri" w:eastAsia="Calibri" w:hAnsi="Calibri"/>
          <w:b w:val="false"/>
          <w:bCs w:val="false"/>
          <w:i w:val="false"/>
          <w:iCs w:val="false"/>
          <w:color w:val="000000"/>
          <w:sz w:val="21"/>
          <w:szCs w:val="21"/>
        </w:rPr>
        <w:t xml:space="preserve">11. Embodiments</w:t>
      </w:r>
    </w:p>
    <w:p>
      <w:pPr>
        <w:spacing w:after="80" w:before="0"/>
      </w:pPr>
      <w:r>
        <w:rPr>
          <w:rFonts w:ascii="Calibri" w:cs="Calibri" w:eastAsia="Calibri" w:hAnsi="Calibri"/>
          <w:b w:val="false"/>
          <w:bCs w:val="false"/>
          <w:i w:val="false"/>
          <w:iCs w:val="false"/>
          <w:color w:val="000000"/>
          <w:sz w:val="21"/>
          <w:szCs w:val="21"/>
        </w:rPr>
        <w:t xml:space="preserve">12. Industrial Applicability</w:t>
      </w:r>
    </w:p>
    <w:p>
      <w:pPr>
        <w:spacing w:after="80" w:before="0"/>
      </w:pPr>
      <w:r>
        <w:rPr>
          <w:rFonts w:ascii="Calibri" w:cs="Calibri" w:eastAsia="Calibri" w:hAnsi="Calibri"/>
          <w:b w:val="false"/>
          <w:bCs w:val="false"/>
          <w:i w:val="false"/>
          <w:iCs w:val="false"/>
          <w:color w:val="000000"/>
          <w:sz w:val="21"/>
          <w:szCs w:val="21"/>
        </w:rPr>
        <w:t xml:space="preserve">13. Alternative Implementations</w:t>
      </w:r>
    </w:p>
    <w:p>
      <w:pPr>
        <w:spacing w:after="80" w:before="0"/>
      </w:pPr>
      <w:r>
        <w:rPr>
          <w:rFonts w:ascii="Calibri" w:cs="Calibri" w:eastAsia="Calibri" w:hAnsi="Calibri"/>
          <w:b w:val="false"/>
          <w:bCs w:val="false"/>
          <w:i w:val="false"/>
          <w:iCs w:val="false"/>
          <w:color w:val="000000"/>
          <w:sz w:val="21"/>
          <w:szCs w:val="21"/>
        </w:rPr>
        <w:t xml:space="preserve">14. New Claims (CIP Submission 6) — Claims 56–75</w:t>
      </w:r>
    </w:p>
    <w:p>
      <w:pPr>
        <w:spacing w:after="80" w:before="0"/>
      </w:pPr>
      <w:r>
        <w:rPr>
          <w:rFonts w:ascii="Calibri" w:cs="Calibri" w:eastAsia="Calibri" w:hAnsi="Calibri"/>
          <w:b w:val="false"/>
          <w:bCs w:val="false"/>
          <w:i w:val="false"/>
          <w:iCs w:val="false"/>
          <w:color w:val="000000"/>
          <w:sz w:val="21"/>
          <w:szCs w:val="21"/>
        </w:rPr>
        <w:t xml:space="preserve">15. Updated Drawings (FIG 31–35)</w:t>
      </w:r>
    </w:p>
    <w:p>
      <w:pPr>
        <w:spacing w:after="80" w:before="0"/>
      </w:pPr>
      <w:r>
        <w:rPr>
          <w:rFonts w:ascii="Calibri" w:cs="Calibri" w:eastAsia="Calibri" w:hAnsi="Calibri"/>
          <w:b w:val="false"/>
          <w:bCs w:val="false"/>
          <w:i w:val="false"/>
          <w:iCs w:val="false"/>
          <w:color w:val="000000"/>
          <w:sz w:val="21"/>
          <w:szCs w:val="21"/>
        </w:rPr>
        <w:t xml:space="preserve">16. Incorporation by Reference</w:t>
      </w:r>
    </w:p>
    <w:p>
      <w:pPr>
        <w:spacing w:after="80" w:before="0"/>
      </w:pPr>
      <w:r>
        <w:rPr>
          <w:rFonts w:ascii="Calibri" w:cs="Calibri" w:eastAsia="Calibri" w:hAnsi="Calibri"/>
          <w:b w:val="false"/>
          <w:bCs w:val="false"/>
          <w:i w:val="false"/>
          <w:iCs w:val="false"/>
          <w:color w:val="000000"/>
          <w:sz w:val="21"/>
          <w:szCs w:val="21"/>
        </w:rPr>
        <w:t xml:space="preserve">17. Declaration</w:t>
      </w:r>
    </w:p>
    <w:p>
      <w:pPr>
        <w:pageBreakBefore/>
      </w:pPr>
      <w:r>
        <w:br/>
      </w:r>
    </w:p>
    <w:p>
      <w:pPr>
        <w:spacing w:after="160" w:before="360"/>
      </w:pPr>
      <w:r>
        <w:rPr>
          <w:rFonts w:ascii="Calibri" w:cs="Calibri" w:eastAsia="Calibri" w:hAnsi="Calibri"/>
          <w:b/>
          <w:bCs/>
          <w:color w:val="1B3A5C"/>
          <w:sz w:val="26"/>
          <w:szCs w:val="26"/>
        </w:rPr>
        <w:t xml:space="preserve">1. Title of Invention</w:t>
      </w:r>
    </w:p>
    <w:p>
      <w:pPr>
        <w:spacing w:after="120" w:before="0"/>
      </w:pPr>
      <w:r>
        <w:rPr>
          <w:rFonts w:ascii="Calibri" w:cs="Calibri" w:eastAsia="Calibri" w:hAnsi="Calibri"/>
          <w:b w:val="false"/>
          <w:bCs w:val="false"/>
          <w:i w:val="false"/>
          <w:iCs w:val="false"/>
          <w:color w:val="000000"/>
          <w:sz w:val="21"/>
          <w:szCs w:val="21"/>
        </w:rPr>
        <w:t xml:space="preserve">System and Method for Autonomous Intelligence Orchestration, Self-Healing Regulatory Compliance, Multi-Event Integrity Certification, Autonomous Agent Swarm Command, Real-Time Valuation Simulation, Self-Auditing Investor Engagement ROI, Autonomous IR Assistant Layer, Autonomous Live Q&amp;A Intelligence Engine, and Autonomous Enterprise Operating System (AEOS) with Cross-Platform Event Orchestration, Governance Gateway, Polarity-to-Priority Triage, Predictive Jitter-Buffer Synchronization, Quote-to-Cash Financial Nervous System, and Organizational Digital Twin for Investor Communication Events</w:t>
      </w:r>
    </w:p>
    <w:p>
      <w:pPr>
        <w:spacing w:after="160" w:before="360"/>
      </w:pPr>
      <w:r>
        <w:rPr>
          <w:rFonts w:ascii="Calibri" w:cs="Calibri" w:eastAsia="Calibri" w:hAnsi="Calibri"/>
          <w:b/>
          <w:bCs/>
          <w:color w:val="1B3A5C"/>
          <w:sz w:val="26"/>
          <w:szCs w:val="26"/>
        </w:rPr>
        <w:t xml:space="preserve">2. Abstract</w:t>
      </w:r>
    </w:p>
    <w:p>
      <w:pPr>
        <w:spacing w:after="120" w:before="0"/>
      </w:pPr>
      <w:r>
        <w:rPr>
          <w:rFonts w:ascii="Calibri" w:cs="Calibri" w:eastAsia="Calibri" w:hAnsi="Calibri"/>
          <w:b w:val="false"/>
          <w:bCs w:val="false"/>
          <w:i w:val="false"/>
          <w:iCs w:val="false"/>
          <w:color w:val="000000"/>
          <w:sz w:val="21"/>
          <w:szCs w:val="21"/>
        </w:rPr>
        <w:t xml:space="preserve">This Continuation-in-Part (CIP) Submission 6 extends the parent provisional (12 March 2026) and prior CIP submissions with cross-platform event orchestration, autonomous governance gateways, sentiment-weighted triage logic, predictive jitter-buffer synchronization, and the new Autonomous Enterprise Operating System (AEOS) — Module 32.</w:t>
      </w:r>
    </w:p>
    <w:p>
      <w:pPr>
        <w:spacing w:after="60"/>
      </w:pPr>
    </w:p>
    <w:p>
      <w:pPr>
        <w:spacing w:after="120" w:before="0"/>
      </w:pPr>
      <w:r>
        <w:rPr>
          <w:rFonts w:ascii="Calibri" w:cs="Calibri" w:eastAsia="Calibri" w:hAnsi="Calibri"/>
          <w:b w:val="false"/>
          <w:bCs w:val="false"/>
          <w:i w:val="false"/>
          <w:iCs w:val="false"/>
          <w:color w:val="000000"/>
          <w:sz w:val="21"/>
          <w:szCs w:val="21"/>
        </w:rPr>
        <w:t xml:space="preserve">The system introduces: (a) a Programmatic DTMF Handshake Protocol enabling autonomous silent bridge entry on any telephony platform; (b) a Cross-Platform Control Translation Layer that maps Q&amp;A attendee identifiers to native conferencing participant IDs for remote audio control via Microsoft Graph, Zoom REST, and Webex APIs; (c) a Metadata-Triggered State Authorization system where "Go Live" commands are only authorised when the participant's Q&amp;A submission achieves a minimum Triage Score and passes real-time multi-jurisdictional compliance screening; (d) an Autonomous Governance Gateway that subjects all AI-generated tools to synthetic stress testing and deterministic stability validation before production deployment; (e) a Polarity-to-Priority (P2P) Algorithm that calculates priority rank by cross-referencing sentiment polarity with disclosure urgency; (f) a Predictive Jitter-Buffer Synchronization method that aligns real-time transcripts with high-latency telephony bridges; and (g) the AEOS with Quote-to-Cash Financial Nervous System, Organizational Digital Twin Knowledge Graph, Predictive Resource Allocation, and AGI-Ready Universal Sync.</w:t>
      </w:r>
    </w:p>
    <w:p>
      <w:pPr>
        <w:spacing w:after="60"/>
      </w:pPr>
    </w:p>
    <w:p>
      <w:pPr>
        <w:spacing w:after="120" w:before="0"/>
      </w:pPr>
      <w:r>
        <w:rPr>
          <w:rFonts w:ascii="Calibri" w:cs="Calibri" w:eastAsia="Calibri" w:hAnsi="Calibri"/>
          <w:b w:val="false"/>
          <w:bCs w:val="false"/>
          <w:i w:val="false"/>
          <w:iCs w:val="false"/>
          <w:color w:val="000000"/>
          <w:sz w:val="21"/>
          <w:szCs w:val="21"/>
        </w:rPr>
        <w:t xml:space="preserve">These innovations apply across Modules 28, 30, 31 and the platform's silent monitoring infrastructure. This submission adds 20 new claims (Claims 56–75), extending the patent to 75 total claims across 32 modules.</w:t>
      </w:r>
    </w:p>
    <w:p>
      <w:pPr>
        <w:spacing w:after="160" w:before="360"/>
      </w:pPr>
      <w:r>
        <w:rPr>
          <w:rFonts w:ascii="Calibri" w:cs="Calibri" w:eastAsia="Calibri" w:hAnsi="Calibri"/>
          <w:b/>
          <w:bCs/>
          <w:color w:val="1B3A5C"/>
          <w:sz w:val="26"/>
          <w:szCs w:val="26"/>
        </w:rPr>
        <w:t xml:space="preserve">3. Cross-Reference to Related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19"/>
                <w:szCs w:val="19"/>
              </w:rPr>
              <w:t xml:space="preserve">Application ID</w:t>
            </w:r>
          </w:p>
        </w:tc>
        <w:tc>
          <w:tcPr>
            <w:tcW w:type="pct" w:w="16%"/>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19"/>
                <w:szCs w:val="19"/>
              </w:rPr>
              <w:t xml:space="preserve">Filing Date</w:t>
            </w:r>
          </w:p>
        </w:tc>
        <w:tc>
          <w:tcPr>
            <w:tcW w:type="pct" w:w="18%"/>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19"/>
                <w:szCs w:val="19"/>
              </w:rPr>
              <w:t xml:space="preserve">Status</w:t>
            </w:r>
          </w:p>
        </w:tc>
        <w:tc>
          <w:tcPr>
            <w:tcW w:type="pct" w:w="44%"/>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19"/>
                <w:szCs w:val="19"/>
              </w:rPr>
              <w:t xml:space="preserve">Scope</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1773575338868</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12 March 2026</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Filed (Parent Provisional)</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Modules 1–13, Claims 1–25, FIG 1–12</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2</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16 March 2026</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Filed</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Modules 19–27, Claims 26–33, FIG 13–20</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3</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18 March 2026</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Filed</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Module 28, Claims 34–43, FIG 21–27</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4</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19 March 2026</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Filed</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Module 30, Claims 44–45, FIG 28–30</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5</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20 March 2026</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Filed</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Module 31, Claims 46–55, FIG 28–30</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bCs/>
                <w:sz w:val="19"/>
                <w:szCs w:val="19"/>
              </w:rPr>
              <w:t xml:space="preserve">This Filing (CIP 6)</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20 March 2026</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bCs/>
                <w:sz w:val="19"/>
                <w:szCs w:val="19"/>
              </w:rPr>
              <w:t xml:space="preserve">Pending</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bCs/>
                <w:sz w:val="19"/>
                <w:szCs w:val="19"/>
              </w:rPr>
              <w:t xml:space="preserve">Module 32, Claims 56–75, FIG 31–35</w:t>
            </w:r>
          </w:p>
        </w:tc>
      </w:tr>
    </w:tbl>
    <w:p>
      <w:pPr>
        <w:spacing w:after="60"/>
      </w:pPr>
    </w:p>
    <w:p>
      <w:pPr>
        <w:spacing w:after="120" w:before="0"/>
      </w:pPr>
      <w:r>
        <w:rPr>
          <w:rFonts w:ascii="Calibri" w:cs="Calibri" w:eastAsia="Calibri" w:hAnsi="Calibri"/>
          <w:b w:val="false"/>
          <w:bCs w:val="false"/>
          <w:i/>
          <w:iCs/>
          <w:color w:val="666666"/>
          <w:sz w:val="21"/>
          <w:szCs w:val="21"/>
        </w:rPr>
        <w:t xml:space="preserve">All prior disclosures are incorporated by reference in their entirety.</w:t>
      </w:r>
    </w:p>
    <w:p>
      <w:pPr>
        <w:spacing w:after="160" w:before="360"/>
      </w:pPr>
      <w:r>
        <w:rPr>
          <w:rFonts w:ascii="Calibri" w:cs="Calibri" w:eastAsia="Calibri" w:hAnsi="Calibri"/>
          <w:b/>
          <w:bCs/>
          <w:color w:val="1B3A5C"/>
          <w:sz w:val="26"/>
          <w:szCs w:val="26"/>
        </w:rPr>
        <w:t xml:space="preserve">4. Field of the Invention</w:t>
      </w:r>
    </w:p>
    <w:p>
      <w:pPr>
        <w:spacing w:after="120" w:before="0"/>
      </w:pPr>
      <w:r>
        <w:rPr>
          <w:rFonts w:ascii="Calibri" w:cs="Calibri" w:eastAsia="Calibri" w:hAnsi="Calibri"/>
          <w:b w:val="false"/>
          <w:bCs w:val="false"/>
          <w:i w:val="false"/>
          <w:iCs w:val="false"/>
          <w:color w:val="000000"/>
          <w:sz w:val="21"/>
          <w:szCs w:val="21"/>
        </w:rPr>
        <w:t xml:space="preserve">This invention relates to the field of automated regulatory compliance, generative artificial intelligence, and telecommunications. Specifically, it relates to an autonomous system for the real-time monitoring and active orchestration of communication bridges using programmatic telephony, self-correcting algorithmic logic, and cross-platform API synchronization, now extended to a full Autonomous Enterprise Operating System.</w:t>
      </w:r>
    </w:p>
    <w:p>
      <w:pPr>
        <w:pageBreakBefore/>
      </w:pPr>
      <w:r>
        <w:br/>
      </w:r>
    </w:p>
    <w:p>
      <w:pPr>
        <w:spacing w:after="160" w:before="360"/>
      </w:pPr>
      <w:r>
        <w:rPr>
          <w:rFonts w:ascii="Calibri" w:cs="Calibri" w:eastAsia="Calibri" w:hAnsi="Calibri"/>
          <w:b/>
          <w:bCs/>
          <w:color w:val="1B3A5C"/>
          <w:sz w:val="26"/>
          <w:szCs w:val="26"/>
        </w:rPr>
        <w:t xml:space="preserve">5. Relationship to Parent and Prior CIP Specifications</w:t>
      </w:r>
    </w:p>
    <w:p>
      <w:pPr>
        <w:spacing w:after="120" w:before="0"/>
      </w:pPr>
      <w:r>
        <w:rPr>
          <w:rFonts w:ascii="Calibri" w:cs="Calibri" w:eastAsia="Calibri" w:hAnsi="Calibri"/>
          <w:b w:val="false"/>
          <w:bCs w:val="false"/>
          <w:i w:val="false"/>
          <w:iCs w:val="false"/>
          <w:color w:val="000000"/>
          <w:sz w:val="21"/>
          <w:szCs w:val="21"/>
        </w:rPr>
        <w:t xml:space="preserve">This CIP Submission 6 builds upon and extends all prior filings:</w:t>
      </w:r>
    </w:p>
    <w:p>
      <w:pPr>
        <w:spacing w:after="60"/>
      </w:pPr>
    </w:p>
    <w:p>
      <w:pPr>
        <w:spacing w:after="100"/>
      </w:pPr>
      <w:r>
        <w:rPr>
          <w:rFonts w:ascii="Calibri" w:cs="Calibri" w:eastAsia="Calibri" w:hAnsi="Calibri"/>
          <w:b/>
          <w:bCs/>
          <w:sz w:val="21"/>
          <w:szCs w:val="21"/>
        </w:rPr>
        <w:t xml:space="preserve">Parent Provisional Specification </w:t>
      </w:r>
      <w:r>
        <w:rPr>
          <w:rFonts w:ascii="Calibri" w:cs="Calibri" w:eastAsia="Calibri" w:hAnsi="Calibri"/>
          <w:sz w:val="21"/>
          <w:szCs w:val="21"/>
        </w:rPr>
        <w:t xml:space="preserve">(Application ID 1773575338868, filed 12 March 2026):</w:t>
      </w:r>
    </w:p>
    <w:p>
      <w:pPr>
        <w:spacing w:after="120" w:before="0"/>
      </w:pPr>
      <w:r>
        <w:rPr>
          <w:rFonts w:ascii="Calibri" w:cs="Calibri" w:eastAsia="Calibri" w:hAnsi="Calibri"/>
          <w:b w:val="false"/>
          <w:bCs w:val="false"/>
          <w:i w:val="false"/>
          <w:iCs w:val="false"/>
          <w:color w:val="000000"/>
          <w:sz w:val="21"/>
          <w:szCs w:val="21"/>
        </w:rPr>
        <w:t xml:space="preserve">Disclosed 13 subsystems (Modules 1–13) with 25 independent claims and 12 figures covering real-time event monitoring, AI communication analysis, cross-platform capture via silent agents, OCC operator integration, anonymised benchmarking, autonomous compliance intervention, self-improving models, predictive intelligence, communication indexes, autonomous event intervention, and autonomous self-evolving platform intelligence.</w:t>
      </w:r>
    </w:p>
    <w:p>
      <w:pPr>
        <w:spacing w:after="60"/>
      </w:pPr>
    </w:p>
    <w:p>
      <w:pPr>
        <w:spacing w:after="100"/>
      </w:pPr>
      <w:r>
        <w:rPr>
          <w:rFonts w:ascii="Calibri" w:cs="Calibri" w:eastAsia="Calibri" w:hAnsi="Calibri"/>
          <w:b/>
          <w:bCs/>
          <w:sz w:val="21"/>
          <w:szCs w:val="21"/>
        </w:rPr>
        <w:t xml:space="preserve">CIP Submission 2 </w:t>
      </w:r>
      <w:r>
        <w:rPr>
          <w:rFonts w:ascii="Calibri" w:cs="Calibri" w:eastAsia="Calibri" w:hAnsi="Calibri"/>
          <w:sz w:val="21"/>
          <w:szCs w:val="21"/>
        </w:rPr>
        <w:t xml:space="preserve">(filed 16 March 2026):</w:t>
      </w:r>
    </w:p>
    <w:p>
      <w:pPr>
        <w:spacing w:after="120" w:before="0"/>
      </w:pPr>
      <w:r>
        <w:rPr>
          <w:rFonts w:ascii="Calibri" w:cs="Calibri" w:eastAsia="Calibri" w:hAnsi="Calibri"/>
          <w:b w:val="false"/>
          <w:bCs w:val="false"/>
          <w:i w:val="false"/>
          <w:iCs w:val="false"/>
          <w:color w:val="000000"/>
          <w:sz w:val="21"/>
          <w:szCs w:val="21"/>
        </w:rPr>
        <w:t xml:space="preserve">Extended the parent with 9 autonomous modules (Modules 19–27) adding 8 new independent claims (Claims 26–33) and 8 new figures (FIG 13–20).</w:t>
      </w:r>
    </w:p>
    <w:p>
      <w:pPr>
        <w:spacing w:after="60"/>
      </w:pPr>
    </w:p>
    <w:p>
      <w:pPr>
        <w:spacing w:after="100"/>
      </w:pPr>
      <w:r>
        <w:rPr>
          <w:rFonts w:ascii="Calibri" w:cs="Calibri" w:eastAsia="Calibri" w:hAnsi="Calibri"/>
          <w:b/>
          <w:bCs/>
          <w:sz w:val="21"/>
          <w:szCs w:val="21"/>
        </w:rPr>
        <w:t xml:space="preserve">CIP Submission 3 </w:t>
      </w:r>
      <w:r>
        <w:rPr>
          <w:rFonts w:ascii="Calibri" w:cs="Calibri" w:eastAsia="Calibri" w:hAnsi="Calibri"/>
          <w:sz w:val="21"/>
          <w:szCs w:val="21"/>
        </w:rPr>
        <w:t xml:space="preserve">(filed 18 March 2026):</w:t>
      </w:r>
    </w:p>
    <w:p>
      <w:pPr>
        <w:spacing w:after="120" w:before="0"/>
      </w:pPr>
      <w:r>
        <w:rPr>
          <w:rFonts w:ascii="Calibri" w:cs="Calibri" w:eastAsia="Calibri" w:hAnsi="Calibri"/>
          <w:b w:val="false"/>
          <w:bCs w:val="false"/>
          <w:i w:val="false"/>
          <w:iCs w:val="false"/>
          <w:color w:val="000000"/>
          <w:sz w:val="21"/>
          <w:szCs w:val="21"/>
        </w:rPr>
        <w:t xml:space="preserve">Added Module 28 (Autonomous AI Self-Evolution Engine with Algorithmic Evidence Scoring), contributing 10 new claims (Claims 34–43) and 7 new figures (FIG 21–27).</w:t>
      </w:r>
    </w:p>
    <w:p>
      <w:pPr>
        <w:spacing w:after="60"/>
      </w:pPr>
    </w:p>
    <w:p>
      <w:pPr>
        <w:spacing w:after="100"/>
      </w:pPr>
      <w:r>
        <w:rPr>
          <w:rFonts w:ascii="Calibri" w:cs="Calibri" w:eastAsia="Calibri" w:hAnsi="Calibri"/>
          <w:b/>
          <w:bCs/>
          <w:sz w:val="21"/>
          <w:szCs w:val="21"/>
        </w:rPr>
        <w:t xml:space="preserve">CIP Submission 4 </w:t>
      </w:r>
      <w:r>
        <w:rPr>
          <w:rFonts w:ascii="Calibri" w:cs="Calibri" w:eastAsia="Calibri" w:hAnsi="Calibri"/>
          <w:sz w:val="21"/>
          <w:szCs w:val="21"/>
        </w:rPr>
        <w:t xml:space="preserve">(filed 19 March 2026):</w:t>
      </w:r>
    </w:p>
    <w:p>
      <w:pPr>
        <w:spacing w:after="120" w:before="0"/>
      </w:pPr>
      <w:r>
        <w:rPr>
          <w:rFonts w:ascii="Calibri" w:cs="Calibri" w:eastAsia="Calibri" w:hAnsi="Calibri"/>
          <w:b w:val="false"/>
          <w:bCs w:val="false"/>
          <w:i w:val="false"/>
          <w:iCs w:val="false"/>
          <w:color w:val="000000"/>
          <w:sz w:val="21"/>
          <w:szCs w:val="21"/>
        </w:rPr>
        <w:t xml:space="preserve">Added Module 30 (Autonomous IR Assistant Layer), contributing 2 new claims (Claims 44–45).</w:t>
      </w:r>
    </w:p>
    <w:p>
      <w:pPr>
        <w:spacing w:after="60"/>
      </w:pPr>
    </w:p>
    <w:p>
      <w:pPr>
        <w:spacing w:after="100"/>
      </w:pPr>
      <w:r>
        <w:rPr>
          <w:rFonts w:ascii="Calibri" w:cs="Calibri" w:eastAsia="Calibri" w:hAnsi="Calibri"/>
          <w:b/>
          <w:bCs/>
          <w:sz w:val="21"/>
          <w:szCs w:val="21"/>
        </w:rPr>
        <w:t xml:space="preserve">CIP Submission 5 </w:t>
      </w:r>
      <w:r>
        <w:rPr>
          <w:rFonts w:ascii="Calibri" w:cs="Calibri" w:eastAsia="Calibri" w:hAnsi="Calibri"/>
          <w:sz w:val="21"/>
          <w:szCs w:val="21"/>
        </w:rPr>
        <w:t xml:space="preserve">(filed 20 March 2026):</w:t>
      </w:r>
    </w:p>
    <w:p>
      <w:pPr>
        <w:spacing w:after="120" w:before="0"/>
      </w:pPr>
      <w:r>
        <w:rPr>
          <w:rFonts w:ascii="Calibri" w:cs="Calibri" w:eastAsia="Calibri" w:hAnsi="Calibri"/>
          <w:b w:val="false"/>
          <w:bCs w:val="false"/>
          <w:i w:val="false"/>
          <w:iCs w:val="false"/>
          <w:color w:val="000000"/>
          <w:sz w:val="21"/>
          <w:szCs w:val="21"/>
        </w:rPr>
        <w:t xml:space="preserve">Added Module 31 (Autonomous Live Q&amp;A Intelligence Engine with AGI Tool Generator, AGI Corporate Compliance Layer, and Platform Integration), contributing 10 new claims (Claims 46–55) and 3 new figures (FIG 28–30).</w:t>
      </w:r>
    </w:p>
    <w:p>
      <w:pPr>
        <w:spacing w:after="60"/>
      </w:pPr>
    </w:p>
    <w:p>
      <w:pPr>
        <w:spacing w:after="100"/>
      </w:pPr>
      <w:r>
        <w:rPr>
          <w:rFonts w:ascii="Calibri" w:cs="Calibri" w:eastAsia="Calibri" w:hAnsi="Calibri"/>
          <w:b/>
          <w:bCs/>
          <w:sz w:val="21"/>
          <w:szCs w:val="21"/>
        </w:rPr>
        <w:t xml:space="preserve">This CIP Submission 6 </w:t>
      </w:r>
      <w:r>
        <w:rPr>
          <w:rFonts w:ascii="Calibri" w:cs="Calibri" w:eastAsia="Calibri" w:hAnsi="Calibri"/>
          <w:sz w:val="21"/>
          <w:szCs w:val="21"/>
        </w:rPr>
        <w:t xml:space="preserve">(20 March 2026):</w:t>
      </w:r>
    </w:p>
    <w:p>
      <w:pPr>
        <w:spacing w:after="120" w:before="0"/>
      </w:pPr>
      <w:r>
        <w:rPr>
          <w:rFonts w:ascii="Calibri" w:cs="Calibri" w:eastAsia="Calibri" w:hAnsi="Calibri"/>
          <w:b w:val="false"/>
          <w:bCs w:val="false"/>
          <w:i w:val="false"/>
          <w:iCs w:val="false"/>
          <w:color w:val="000000"/>
          <w:sz w:val="21"/>
          <w:szCs w:val="21"/>
        </w:rPr>
        <w:t xml:space="preserve">Adds Module 32 (Autonomous Enterprise Operating System) and 6 cross-cutting innovations spanning programmatic telephony, cross-platform orchestration, metadata-triggered authorization, governance gateways, sentiment-weighted triage, and network-latency compensation. The new AEOS is a capstone innovation that unifies the platform into a self-thinking enterprise system. This submission adds 20 new claims (Claims 56–75), extending the patent to 75 total claims across 32 modules.</w:t>
      </w:r>
    </w:p>
    <w:p>
      <w:pPr>
        <w:pageBreakBefore/>
      </w:pPr>
      <w:r>
        <w:br/>
      </w:r>
    </w:p>
    <w:p>
      <w:pPr>
        <w:spacing w:after="160" w:before="360"/>
      </w:pPr>
      <w:r>
        <w:rPr>
          <w:rFonts w:ascii="Calibri" w:cs="Calibri" w:eastAsia="Calibri" w:hAnsi="Calibri"/>
          <w:b/>
          <w:bCs/>
          <w:color w:val="1B3A5C"/>
          <w:sz w:val="26"/>
          <w:szCs w:val="26"/>
        </w:rPr>
        <w:t xml:space="preserve">6. Background of the Invention (Updated)</w:t>
      </w:r>
    </w:p>
    <w:p>
      <w:pPr>
        <w:spacing w:after="120" w:before="240"/>
      </w:pPr>
      <w:r>
        <w:rPr>
          <w:rFonts w:ascii="Calibri" w:cs="Calibri" w:eastAsia="Calibri" w:hAnsi="Calibri"/>
          <w:b/>
          <w:bCs/>
          <w:color w:val="1B3A5C"/>
          <w:sz w:val="23"/>
          <w:szCs w:val="23"/>
        </w:rPr>
        <w:t xml:space="preserve">6.1 Current State of the Art</w:t>
      </w:r>
    </w:p>
    <w:p>
      <w:pPr>
        <w:spacing w:after="120" w:before="0"/>
      </w:pPr>
      <w:r>
        <w:rPr>
          <w:rFonts w:ascii="Calibri" w:cs="Calibri" w:eastAsia="Calibri" w:hAnsi="Calibri"/>
          <w:b w:val="false"/>
          <w:bCs w:val="false"/>
          <w:i w:val="false"/>
          <w:iCs w:val="false"/>
          <w:color w:val="000000"/>
          <w:sz w:val="21"/>
          <w:szCs w:val="21"/>
        </w:rPr>
        <w:t xml:space="preserve">Investor communication events increasingly require operators to manage live Q&amp;A across multiple conferencing platforms (Teams, Zoom, Webex) simultaneously. Beyond event management, investor relations firms face fragmented administrative systems — separate tools for bookings, registrations, invoicing, and reconciliation — with no autonomous integration.</w:t>
      </w:r>
    </w:p>
    <w:p>
      <w:pPr>
        <w:spacing w:after="60"/>
      </w:pPr>
    </w:p>
    <w:p>
      <w:pPr>
        <w:spacing w:after="100"/>
      </w:pPr>
      <w:r>
        <w:rPr>
          <w:rFonts w:ascii="Calibri" w:cs="Calibri" w:eastAsia="Calibri" w:hAnsi="Calibri"/>
          <w:b/>
          <w:bCs/>
          <w:sz w:val="21"/>
          <w:szCs w:val="21"/>
        </w:rPr>
        <w:t xml:space="preserve">Operator-Managed Platforms (Chorus Call, Lumi): </w:t>
      </w:r>
      <w:r>
        <w:rPr>
          <w:rFonts w:ascii="Calibri" w:cs="Calibri" w:eastAsia="Calibri" w:hAnsi="Calibri"/>
          <w:sz w:val="21"/>
          <w:szCs w:val="21"/>
        </w:rPr>
        <w:t xml:space="preserve">Require dedicated conferencing infrastructure. Operators manage calls through proprietary switchboards that do not integrate with client platforms. No AI-powered question screening, no autonomous compliance monitoring, no cross-platform identity mapping.</w:t>
      </w:r>
    </w:p>
    <w:p>
      <w:pPr>
        <w:spacing w:after="60"/>
      </w:pPr>
    </w:p>
    <w:p>
      <w:pPr>
        <w:spacing w:after="100"/>
      </w:pPr>
      <w:r>
        <w:rPr>
          <w:rFonts w:ascii="Calibri" w:cs="Calibri" w:eastAsia="Calibri" w:hAnsi="Calibri"/>
          <w:b/>
          <w:bCs/>
          <w:sz w:val="21"/>
          <w:szCs w:val="21"/>
        </w:rPr>
        <w:t xml:space="preserve">Conference Platforms (Teams, Zoom, Webex): </w:t>
      </w:r>
      <w:r>
        <w:rPr>
          <w:rFonts w:ascii="Calibri" w:cs="Calibri" w:eastAsia="Calibri" w:hAnsi="Calibri"/>
          <w:sz w:val="21"/>
          <w:szCs w:val="21"/>
        </w:rPr>
        <w:t xml:space="preserve">Provide native Q&amp;A and raise-hand features. No AI triage, no compliance screening, no operator intelligence layer. Mute/unmute control is limited to platform-native interfaces with no programmatic access from external systems.</w:t>
      </w:r>
    </w:p>
    <w:p>
      <w:pPr>
        <w:spacing w:after="60"/>
      </w:pPr>
    </w:p>
    <w:p>
      <w:pPr>
        <w:spacing w:after="100"/>
      </w:pPr>
      <w:r>
        <w:rPr>
          <w:rFonts w:ascii="Calibri" w:cs="Calibri" w:eastAsia="Calibri" w:hAnsi="Calibri"/>
          <w:b/>
          <w:bCs/>
          <w:sz w:val="21"/>
          <w:szCs w:val="21"/>
        </w:rPr>
        <w:t xml:space="preserve">AI Transcription Services (Otter.ai, Rev, Descript): </w:t>
      </w:r>
      <w:r>
        <w:rPr>
          <w:rFonts w:ascii="Calibri" w:cs="Calibri" w:eastAsia="Calibri" w:hAnsi="Calibri"/>
          <w:sz w:val="21"/>
          <w:szCs w:val="21"/>
        </w:rPr>
        <w:t xml:space="preserve">Provide post-hoc transcription. No real-time alignment with live audio, no jitter compensation for telephony bridges, no temporal synchronization between audio signals and transcript generation.</w:t>
      </w:r>
    </w:p>
    <w:p>
      <w:pPr>
        <w:spacing w:after="60"/>
      </w:pPr>
    </w:p>
    <w:p>
      <w:pPr>
        <w:spacing w:after="100"/>
      </w:pPr>
      <w:r>
        <w:rPr>
          <w:rFonts w:ascii="Calibri" w:cs="Calibri" w:eastAsia="Calibri" w:hAnsi="Calibri"/>
          <w:b/>
          <w:bCs/>
          <w:sz w:val="21"/>
          <w:szCs w:val="21"/>
        </w:rPr>
        <w:t xml:space="preserve">Enterprise Management Tools (Salesforce, HubSpot, Xero): </w:t>
      </w:r>
      <w:r>
        <w:rPr>
          <w:rFonts w:ascii="Calibri" w:cs="Calibri" w:eastAsia="Calibri" w:hAnsi="Calibri"/>
          <w:sz w:val="21"/>
          <w:szCs w:val="21"/>
        </w:rPr>
        <w:t xml:space="preserve">Provide CRM, invoicing, and accounting as separate products. No autonomous Quote-to-Cash lifecycle, no event-triggered invoicing, no self-healing bank reconciliation, no organizational knowledge graph, no predictive resource allocation tied to live event intelligence.</w:t>
      </w:r>
    </w:p>
    <w:p>
      <w:pPr>
        <w:spacing w:after="120" w:before="240"/>
      </w:pPr>
      <w:r>
        <w:rPr>
          <w:rFonts w:ascii="Calibri" w:cs="Calibri" w:eastAsia="Calibri" w:hAnsi="Calibri"/>
          <w:b/>
          <w:bCs/>
          <w:color w:val="1B3A5C"/>
          <w:sz w:val="23"/>
          <w:szCs w:val="23"/>
        </w:rPr>
        <w:t xml:space="preserve">6.2 Unsolved Problems</w:t>
      </w:r>
    </w:p>
    <w:p>
      <w:pPr>
        <w:spacing w:after="120" w:before="0"/>
      </w:pPr>
      <w:r>
        <w:rPr>
          <w:rFonts w:ascii="Calibri" w:cs="Calibri" w:eastAsia="Calibri" w:hAnsi="Calibri"/>
          <w:b w:val="false"/>
          <w:bCs w:val="false"/>
          <w:i w:val="false"/>
          <w:iCs w:val="false"/>
          <w:color w:val="000000"/>
          <w:sz w:val="21"/>
          <w:szCs w:val="21"/>
        </w:rPr>
        <w:t xml:space="preserve">No known system combines all of the following capabilities:</w:t>
      </w:r>
    </w:p>
    <w:p>
      <w:pPr>
        <w:pStyle w:val="ListParagraph"/>
        <w:numPr>
          <w:ilvl w:val="0"/>
          <w:numId w:val="1"/>
        </w:numPr>
        <w:spacing w:after="60"/>
        <w:ind w:left="720"/>
      </w:pPr>
      <w:r>
        <w:rPr>
          <w:rFonts w:ascii="Calibri" w:cs="Calibri" w:eastAsia="Calibri" w:hAnsi="Calibri"/>
          <w:sz w:val="21"/>
          <w:szCs w:val="21"/>
        </w:rPr>
        <w:t xml:space="preserve">Programmatic autonomous entry into third-party telephony bridges using DTMF handshake sequences for persistent silent monitoring</w:t>
      </w:r>
    </w:p>
    <w:p>
      <w:pPr>
        <w:pStyle w:val="ListParagraph"/>
        <w:numPr>
          <w:ilvl w:val="0"/>
          <w:numId w:val="1"/>
        </w:numPr>
        <w:spacing w:after="60"/>
        <w:ind w:left="720"/>
      </w:pPr>
      <w:r>
        <w:rPr>
          <w:rFonts w:ascii="Calibri" w:cs="Calibri" w:eastAsia="Calibri" w:hAnsi="Calibri"/>
          <w:sz w:val="21"/>
          <w:szCs w:val="21"/>
        </w:rPr>
        <w:t xml:space="preserve">Cross-platform identity mapping between an external Q&amp;A database and native conferencing participant rosters for remote audio state control</w:t>
      </w:r>
    </w:p>
    <w:p>
      <w:pPr>
        <w:pStyle w:val="ListParagraph"/>
        <w:numPr>
          <w:ilvl w:val="0"/>
          <w:numId w:val="1"/>
        </w:numPr>
        <w:spacing w:after="60"/>
        <w:ind w:left="720"/>
      </w:pPr>
      <w:r>
        <w:rPr>
          <w:rFonts w:ascii="Calibri" w:cs="Calibri" w:eastAsia="Calibri" w:hAnsi="Calibri"/>
          <w:sz w:val="21"/>
          <w:szCs w:val="21"/>
        </w:rPr>
        <w:t xml:space="preserve">Metadata-triggered authorization where AI triage scores and compliance clearance determine whether a participant may be unmuted on a live call</w:t>
      </w:r>
    </w:p>
    <w:p>
      <w:pPr>
        <w:pStyle w:val="ListParagraph"/>
        <w:numPr>
          <w:ilvl w:val="0"/>
          <w:numId w:val="1"/>
        </w:numPr>
        <w:spacing w:after="60"/>
        <w:ind w:left="720"/>
      </w:pPr>
      <w:r>
        <w:rPr>
          <w:rFonts w:ascii="Calibri" w:cs="Calibri" w:eastAsia="Calibri" w:hAnsi="Calibri"/>
          <w:sz w:val="21"/>
          <w:szCs w:val="21"/>
        </w:rPr>
        <w:t xml:space="preserve">An autonomous governance gateway that prevents AI-generated tools from deploying until they pass deterministic stability and compliance boundary validation</w:t>
      </w:r>
    </w:p>
    <w:p>
      <w:pPr>
        <w:pStyle w:val="ListParagraph"/>
        <w:numPr>
          <w:ilvl w:val="0"/>
          <w:numId w:val="1"/>
        </w:numPr>
        <w:spacing w:after="60"/>
        <w:ind w:left="720"/>
      </w:pPr>
      <w:r>
        <w:rPr>
          <w:rFonts w:ascii="Calibri" w:cs="Calibri" w:eastAsia="Calibri" w:hAnsi="Calibri"/>
          <w:sz w:val="21"/>
          <w:szCs w:val="21"/>
        </w:rPr>
        <w:t xml:space="preserve">A mathematical polarity-to-priority algorithm that cross-references sentiment polarity with disclosure urgency to rank live Q&amp;A inquiries</w:t>
      </w:r>
    </w:p>
    <w:p>
      <w:pPr>
        <w:pStyle w:val="ListParagraph"/>
        <w:numPr>
          <w:ilvl w:val="0"/>
          <w:numId w:val="1"/>
        </w:numPr>
        <w:spacing w:after="60"/>
        <w:ind w:left="720"/>
      </w:pPr>
      <w:r>
        <w:rPr>
          <w:rFonts w:ascii="Calibri" w:cs="Calibri" w:eastAsia="Calibri" w:hAnsi="Calibri"/>
          <w:sz w:val="21"/>
          <w:szCs w:val="21"/>
        </w:rPr>
        <w:t xml:space="preserve">Predictive jitter-buffer synchronization that aligns real-time transcripts with high-latency telephony audio</w:t>
      </w:r>
    </w:p>
    <w:p>
      <w:pPr>
        <w:pStyle w:val="ListParagraph"/>
        <w:numPr>
          <w:ilvl w:val="0"/>
          <w:numId w:val="1"/>
        </w:numPr>
        <w:spacing w:after="60"/>
        <w:ind w:left="720"/>
      </w:pPr>
      <w:r>
        <w:rPr>
          <w:rFonts w:ascii="Calibri" w:cs="Calibri" w:eastAsia="Calibri" w:hAnsi="Calibri"/>
          <w:sz w:val="21"/>
          <w:szCs w:val="21"/>
        </w:rPr>
        <w:t xml:space="preserve">A fully autonomous Quote-to-Cash lifecycle with deterministic financial state machine, event-triggered invoicing, and self-healing bank reconciliation</w:t>
      </w:r>
    </w:p>
    <w:p>
      <w:pPr>
        <w:pStyle w:val="ListParagraph"/>
        <w:numPr>
          <w:ilvl w:val="0"/>
          <w:numId w:val="1"/>
        </w:numPr>
        <w:spacing w:after="60"/>
        <w:ind w:left="720"/>
      </w:pPr>
      <w:r>
        <w:rPr>
          <w:rFonts w:ascii="Calibri" w:cs="Calibri" w:eastAsia="Calibri" w:hAnsi="Calibri"/>
          <w:sz w:val="21"/>
          <w:szCs w:val="21"/>
        </w:rPr>
        <w:t xml:space="preserve">An Organizational Digital Twin knowledge graph that stores company personality, history, and goals for predictive resource allocation</w:t>
      </w:r>
    </w:p>
    <w:p>
      <w:pPr>
        <w:pageBreakBefore/>
      </w:pPr>
      <w:r>
        <w:br/>
      </w:r>
    </w:p>
    <w:p>
      <w:pPr>
        <w:spacing w:after="160" w:before="360"/>
      </w:pPr>
      <w:r>
        <w:rPr>
          <w:rFonts w:ascii="Calibri" w:cs="Calibri" w:eastAsia="Calibri" w:hAnsi="Calibri"/>
          <w:b/>
          <w:bCs/>
          <w:color w:val="1B3A5C"/>
          <w:sz w:val="26"/>
          <w:szCs w:val="26"/>
        </w:rPr>
        <w:t xml:space="preserve">7. Summary of the Invention (Updated)</w:t>
      </w:r>
    </w:p>
    <w:p>
      <w:pPr>
        <w:spacing w:after="120" w:before="0"/>
      </w:pPr>
      <w:r>
        <w:rPr>
          <w:rFonts w:ascii="Calibri" w:cs="Calibri" w:eastAsia="Calibri" w:hAnsi="Calibri"/>
          <w:b w:val="false"/>
          <w:bCs w:val="false"/>
          <w:i w:val="false"/>
          <w:iCs w:val="false"/>
          <w:color w:val="000000"/>
          <w:sz w:val="21"/>
          <w:szCs w:val="21"/>
        </w:rPr>
        <w:t xml:space="preserve">With this CIP Submission 6, the platform now comprises 32 interconnected subsystems with 75 claims. This filing introduces 6 cross-cutting innovations plus the new Autonomous Enterprise Operating System (AEOS) — Module 32:</w:t>
      </w:r>
    </w:p>
    <w:p>
      <w:pPr>
        <w:spacing w:after="60"/>
      </w:pPr>
    </w:p>
    <w:p>
      <w:pPr>
        <w:pStyle w:val="ListParagraph"/>
        <w:numPr>
          <w:ilvl w:val="0"/>
          <w:numId w:val="1"/>
        </w:numPr>
        <w:spacing w:after="80"/>
        <w:ind w:left="720"/>
      </w:pPr>
      <w:r>
        <w:rPr>
          <w:rFonts w:ascii="Calibri" w:cs="Calibri" w:eastAsia="Calibri" w:hAnsi="Calibri"/>
          <w:b/>
          <w:bCs/>
          <w:sz w:val="21"/>
          <w:szCs w:val="21"/>
        </w:rPr>
        <w:t xml:space="preserve">Programmatic Telephony and Silent Agent Protocol: </w:t>
      </w:r>
      <w:r>
        <w:rPr>
          <w:rFonts w:ascii="Calibri" w:cs="Calibri" w:eastAsia="Calibri" w:hAnsi="Calibri"/>
          <w:sz w:val="21"/>
          <w:szCs w:val="21"/>
        </w:rPr>
        <w:t xml:space="preserve">Autonomous bridge entry via DTMF handshake for persistent silent monitoring on any telephony platform</w:t>
      </w:r>
    </w:p>
    <w:p>
      <w:pPr>
        <w:pStyle w:val="ListParagraph"/>
        <w:numPr>
          <w:ilvl w:val="0"/>
          <w:numId w:val="1"/>
        </w:numPr>
        <w:spacing w:after="80"/>
        <w:ind w:left="720"/>
      </w:pPr>
      <w:r>
        <w:rPr>
          <w:rFonts w:ascii="Calibri" w:cs="Calibri" w:eastAsia="Calibri" w:hAnsi="Calibri"/>
          <w:b/>
          <w:bCs/>
          <w:sz w:val="21"/>
          <w:szCs w:val="21"/>
        </w:rPr>
        <w:t xml:space="preserve">Cross-Platform Control Orchestration: </w:t>
      </w:r>
      <w:r>
        <w:rPr>
          <w:rFonts w:ascii="Calibri" w:cs="Calibri" w:eastAsia="Calibri" w:hAnsi="Calibri"/>
          <w:sz w:val="21"/>
          <w:szCs w:val="21"/>
        </w:rPr>
        <w:t xml:space="preserve">Identity mapping and remote audio control across Teams, Zoom, and Webex via their respective APIs</w:t>
      </w:r>
    </w:p>
    <w:p>
      <w:pPr>
        <w:pStyle w:val="ListParagraph"/>
        <w:numPr>
          <w:ilvl w:val="0"/>
          <w:numId w:val="1"/>
        </w:numPr>
        <w:spacing w:after="80"/>
        <w:ind w:left="720"/>
      </w:pPr>
      <w:r>
        <w:rPr>
          <w:rFonts w:ascii="Calibri" w:cs="Calibri" w:eastAsia="Calibri" w:hAnsi="Calibri"/>
          <w:b/>
          <w:bCs/>
          <w:sz w:val="21"/>
          <w:szCs w:val="21"/>
        </w:rPr>
        <w:t xml:space="preserve">Metadata-Triggered State Authorization: </w:t>
      </w:r>
      <w:r>
        <w:rPr>
          <w:rFonts w:ascii="Calibri" w:cs="Calibri" w:eastAsia="Calibri" w:hAnsi="Calibri"/>
          <w:sz w:val="21"/>
          <w:szCs w:val="21"/>
        </w:rPr>
        <w:t xml:space="preserve">AI triage score threshold gate and compliance clearance before authorising participant unmute ("Go Live")</w:t>
      </w:r>
    </w:p>
    <w:p>
      <w:pPr>
        <w:pStyle w:val="ListParagraph"/>
        <w:numPr>
          <w:ilvl w:val="0"/>
          <w:numId w:val="1"/>
        </w:numPr>
        <w:spacing w:after="80"/>
        <w:ind w:left="720"/>
      </w:pPr>
      <w:r>
        <w:rPr>
          <w:rFonts w:ascii="Calibri" w:cs="Calibri" w:eastAsia="Calibri" w:hAnsi="Calibri"/>
          <w:b/>
          <w:bCs/>
          <w:sz w:val="21"/>
          <w:szCs w:val="21"/>
        </w:rPr>
        <w:t xml:space="preserve">Autonomous Governance Gateway: </w:t>
      </w:r>
      <w:r>
        <w:rPr>
          <w:rFonts w:ascii="Calibri" w:cs="Calibri" w:eastAsia="Calibri" w:hAnsi="Calibri"/>
          <w:sz w:val="21"/>
          <w:szCs w:val="21"/>
        </w:rPr>
        <w:t xml:space="preserve">Deterministic stability validation preventing untested AI tools from reaching production</w:t>
      </w:r>
    </w:p>
    <w:p>
      <w:pPr>
        <w:pStyle w:val="ListParagraph"/>
        <w:numPr>
          <w:ilvl w:val="0"/>
          <w:numId w:val="1"/>
        </w:numPr>
        <w:spacing w:after="80"/>
        <w:ind w:left="720"/>
      </w:pPr>
      <w:r>
        <w:rPr>
          <w:rFonts w:ascii="Calibri" w:cs="Calibri" w:eastAsia="Calibri" w:hAnsi="Calibri"/>
          <w:b/>
          <w:bCs/>
          <w:sz w:val="21"/>
          <w:szCs w:val="21"/>
        </w:rPr>
        <w:t xml:space="preserve">Polarity-to-Priority (P2P) Triage Algorithm: </w:t>
      </w:r>
      <w:r>
        <w:rPr>
          <w:rFonts w:ascii="Calibri" w:cs="Calibri" w:eastAsia="Calibri" w:hAnsi="Calibri"/>
          <w:sz w:val="21"/>
          <w:szCs w:val="21"/>
        </w:rPr>
        <w:t xml:space="preserve">Mathematical sentiment-urgency ratio for prioritising high-risk investor inquiries</w:t>
      </w:r>
    </w:p>
    <w:p>
      <w:pPr>
        <w:pStyle w:val="ListParagraph"/>
        <w:numPr>
          <w:ilvl w:val="0"/>
          <w:numId w:val="1"/>
        </w:numPr>
        <w:spacing w:after="80"/>
        <w:ind w:left="720"/>
      </w:pPr>
      <w:r>
        <w:rPr>
          <w:rFonts w:ascii="Calibri" w:cs="Calibri" w:eastAsia="Calibri" w:hAnsi="Calibri"/>
          <w:b/>
          <w:bCs/>
          <w:sz w:val="21"/>
          <w:szCs w:val="21"/>
        </w:rPr>
        <w:t xml:space="preserve">Predictive Jitter-Buffer Synchronization: </w:t>
      </w:r>
      <w:r>
        <w:rPr>
          <w:rFonts w:ascii="Calibri" w:cs="Calibri" w:eastAsia="Calibri" w:hAnsi="Calibri"/>
          <w:sz w:val="21"/>
          <w:szCs w:val="21"/>
        </w:rPr>
        <w:t xml:space="preserve">Delta-time computation and temporal alignment for silent monitoring agents on high-latency bridges</w:t>
      </w:r>
    </w:p>
    <w:p>
      <w:pPr>
        <w:pStyle w:val="ListParagraph"/>
        <w:numPr>
          <w:ilvl w:val="0"/>
          <w:numId w:val="1"/>
        </w:numPr>
        <w:spacing w:after="80"/>
        <w:ind w:left="720"/>
      </w:pPr>
      <w:r>
        <w:rPr>
          <w:rFonts w:ascii="Calibri" w:cs="Calibri" w:eastAsia="Calibri" w:hAnsi="Calibri"/>
          <w:b/>
          <w:bCs/>
          <w:sz w:val="21"/>
          <w:szCs w:val="21"/>
        </w:rPr>
        <w:t xml:space="preserve">Module 32 — Autonomous Enterprise Operating System (AEOS): </w:t>
      </w:r>
      <w:r>
        <w:rPr>
          <w:rFonts w:ascii="Calibri" w:cs="Calibri" w:eastAsia="Calibri" w:hAnsi="Calibri"/>
          <w:sz w:val="21"/>
          <w:szCs w:val="21"/>
        </w:rPr>
        <w:t xml:space="preserve">Zero-human administrative workflows across bookings, registrations, events, billing, organizational management, and predictive resource allocation</w:t>
      </w:r>
    </w:p>
    <w:p>
      <w:pPr>
        <w:spacing w:after="160" w:before="360"/>
      </w:pPr>
      <w:r>
        <w:rPr>
          <w:rFonts w:ascii="Calibri" w:cs="Calibri" w:eastAsia="Calibri" w:hAnsi="Calibri"/>
          <w:b/>
          <w:bCs/>
          <w:color w:val="1B3A5C"/>
          <w:sz w:val="26"/>
          <w:szCs w:val="26"/>
        </w:rPr>
        <w:t xml:space="preserve">8. Complete Module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19"/>
                <w:szCs w:val="19"/>
              </w:rPr>
              <w:t xml:space="preserve">Module</w:t>
            </w:r>
          </w:p>
        </w:tc>
        <w:tc>
          <w:tcPr>
            <w:tcW w:type="pct" w:w="65%"/>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19"/>
                <w:szCs w:val="19"/>
              </w:rPr>
              <w:t xml:space="preserve">Subsystem Name</w:t>
            </w:r>
          </w:p>
        </w:tc>
        <w:tc>
          <w:tcPr>
            <w:tcW w:type="pct" w:w="25%"/>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19"/>
                <w:szCs w:val="19"/>
              </w:rPr>
              <w:t xml:space="preserve">Source</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1–13</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Core Intelligence Platform (event monitoring, AI analysis, cross-platform capture, OCC, benchmarking, compliance, self-improving models, predictive intelligence, indexes, intervention, self-evolving platform)</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Parent Provisional</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14–18</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Operational Expansion (Conference Dial-Out, Enhanced OCC, Partner Integrations, Intelligence Suite)</w:t>
            </w:r>
          </w:p>
        </w:tc>
        <w:tc>
          <w:tcPr>
            <w:tcBorders>
              <w:top w:val="single" w:color="CCCCCC" w:sz="1"/>
              <w:left w:val="single" w:color="CCCCCC" w:sz="1"/>
              <w:bottom w:val="single" w:color="CCCCCC" w:sz="1"/>
              <w:right w:val="single" w:color="CCCCCC" w:sz="1"/>
            </w:tcBorders>
            <w:shd w:fill="F2F2F2" w:color="F2F2F2" w:val="solid"/>
          </w:tcPr>
          <w:p>
            <w:pPr>
              <w:spacing w:after="30" w:before="30"/>
            </w:pPr>
            <w:r>
              <w:rPr>
                <w:rFonts w:ascii="Calibri" w:cs="Calibri" w:eastAsia="Calibri" w:hAnsi="Calibri"/>
                <w:b w:val="false"/>
                <w:bCs w:val="false"/>
                <w:sz w:val="19"/>
                <w:szCs w:val="19"/>
              </w:rPr>
              <w:t xml:space="preserve">Built platform (not separately claimed)</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19</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Autonomous Event Campaign Orchestrator</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2</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20</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Self-Healing Regulatory Oracle</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2</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21</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Autonomous Investor Relationship Graph Weaver</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2</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22</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Self-Certifying Multi-Event Integrity Chain</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2</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23</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Autonomous AI Agent Swarm Commander</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2</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24</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Autonomous Valuation Impact Oracle</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2</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25</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Self-Auditing Investor Engagement ROI Engine</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2</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26</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Autonomous Dual-Purpose Compliance &amp; Capital-Raising Advisor</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2</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27</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Self-Optimising Global Event Intelligence Network</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2</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28</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Autonomous AI Self-Evolution Engine with Algorithmic Evidence Scoring</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3</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29</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Reserved for future disclosure</w:t>
            </w:r>
          </w:p>
        </w:tc>
        <w:tc>
          <w:tcPr>
            <w:tcBorders>
              <w:top w:val="single" w:color="CCCCCC" w:sz="1"/>
              <w:left w:val="single" w:color="CCCCCC" w:sz="1"/>
              <w:bottom w:val="single" w:color="CCCCCC" w:sz="1"/>
              <w:right w:val="single" w:color="CCCCCC" w:sz="1"/>
            </w:tcBorders>
            <w:shd w:fill="F2F2F2" w:color="F2F2F2" w:val="solid"/>
          </w:tcPr>
          <w:p>
            <w:pPr>
              <w:spacing w:after="30" w:before="30"/>
            </w:pPr>
            <w:r>
              <w:rPr>
                <w:rFonts w:ascii="Calibri" w:cs="Calibri" w:eastAsia="Calibri" w:hAnsi="Calibri"/>
                <w:b w:val="false"/>
                <w:bCs w:val="false"/>
                <w:sz w:val="19"/>
                <w:szCs w:val="19"/>
              </w:rPr>
              <w:t xml:space="preserve">—</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30</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Autonomous IR Assistant Layer</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4</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31</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Autonomous Live Q&amp;A Intelligence Engine with AGI Tool Generator, AGI Corporate Compliance Layer, and Platform Integration</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CIP Submission 5</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bCs/>
                <w:sz w:val="19"/>
                <w:szCs w:val="19"/>
              </w:rPr>
              <w:t xml:space="preserve">32</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bCs/>
                <w:sz w:val="19"/>
                <w:szCs w:val="19"/>
              </w:rPr>
              <w:t xml:space="preserve">Autonomous Enterprise Operating System (AEOS) with Quote-to-Cash Financial Nervous System, Organizational Digital Twin, and AGI-Ready Universal Sync</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bCs/>
                <w:sz w:val="19"/>
                <w:szCs w:val="19"/>
              </w:rPr>
              <w:t xml:space="preserve">This Filing (CIP 6)</w:t>
            </w:r>
          </w:p>
        </w:tc>
      </w:tr>
    </w:tbl>
    <w:p>
      <w:pPr>
        <w:pageBreakBefore/>
      </w:pPr>
      <w:r>
        <w:br/>
      </w:r>
    </w:p>
    <w:p>
      <w:pPr>
        <w:spacing w:after="160" w:before="360"/>
      </w:pPr>
      <w:r>
        <w:rPr>
          <w:rFonts w:ascii="Calibri" w:cs="Calibri" w:eastAsia="Calibri" w:hAnsi="Calibri"/>
          <w:b/>
          <w:bCs/>
          <w:color w:val="1B3A5C"/>
          <w:sz w:val="26"/>
          <w:szCs w:val="26"/>
        </w:rPr>
        <w:t xml:space="preserve">9. Detailed Technical Description — CIP Submission 6 Cross-Cutting Innovations</w:t>
      </w:r>
    </w:p>
    <w:p>
      <w:pPr>
        <w:spacing w:after="120" w:before="0"/>
      </w:pPr>
      <w:r>
        <w:rPr>
          <w:rFonts w:ascii="Calibri" w:cs="Calibri" w:eastAsia="Calibri" w:hAnsi="Calibri"/>
          <w:b w:val="false"/>
          <w:bCs w:val="false"/>
          <w:i/>
          <w:iCs/>
          <w:color w:val="666666"/>
          <w:sz w:val="21"/>
          <w:szCs w:val="21"/>
        </w:rPr>
        <w:t xml:space="preserve">Refer: FIG 31, FIG 32, FIG 33</w:t>
      </w:r>
    </w:p>
    <w:p>
      <w:pPr>
        <w:spacing w:after="120" w:before="240"/>
      </w:pPr>
      <w:r>
        <w:rPr>
          <w:rFonts w:ascii="Calibri" w:cs="Calibri" w:eastAsia="Calibri" w:hAnsi="Calibri"/>
          <w:b/>
          <w:bCs/>
          <w:color w:val="1B3A5C"/>
          <w:sz w:val="23"/>
          <w:szCs w:val="23"/>
        </w:rPr>
        <w:t xml:space="preserve">9.1 Programmatic Telephony and Silent Agent Protocol</w:t>
      </w:r>
    </w:p>
    <w:p>
      <w:pPr>
        <w:spacing w:after="60"/>
      </w:pPr>
      <w:r>
        <w:rPr>
          <w:rFonts w:ascii="Calibri" w:cs="Calibri" w:eastAsia="Calibri" w:hAnsi="Calibri"/>
          <w:b/>
          <w:bCs/>
          <w:color w:val="666666"/>
          <w:sz w:val="20"/>
          <w:szCs w:val="20"/>
        </w:rPr>
        <w:t xml:space="preserve">Files: </w:t>
      </w:r>
      <w:r>
        <w:rPr>
          <w:rFonts w:ascii="Calibri" w:cs="Calibri" w:eastAsia="Calibri" w:hAnsi="Calibri"/>
          <w:i/>
          <w:iCs/>
          <w:color w:val="666666"/>
          <w:sz w:val="20"/>
          <w:szCs w:val="20"/>
        </w:rPr>
        <w:t xml:space="preserve">client/src/components/Webphone.tsx, server/_core/index.ts, server/directAccess.ts, server/services/ConferenceDialoutService.ts</w:t>
      </w:r>
    </w:p>
    <w:p>
      <w:pPr>
        <w:spacing w:after="60"/>
      </w:pPr>
    </w:p>
    <w:p>
      <w:pPr>
        <w:spacing w:after="120" w:before="0"/>
      </w:pPr>
      <w:r>
        <w:rPr>
          <w:rFonts w:ascii="Calibri" w:cs="Calibri" w:eastAsia="Calibri" w:hAnsi="Calibri"/>
          <w:b w:val="false"/>
          <w:bCs w:val="false"/>
          <w:i w:val="false"/>
          <w:iCs w:val="false"/>
          <w:color w:val="000000"/>
          <w:sz w:val="21"/>
          <w:szCs w:val="21"/>
        </w:rPr>
        <w:t xml:space="preserve">The system establishes a persistent monitoring state via an outbound telephony interface. Unlike standard API-based integrations, this system utilizes a Programmatic DTMF Handshake Protocol. Upon dialing into a third-party bridge (PSTN, VoIP, or WebRTC), the system autonomously executes a pre-defined sequence of dual-tone multi-frequency (DTMF) signals to bypass participant prompts and enter a "Silent Listener" state.</w:t>
      </w:r>
    </w:p>
    <w:p>
      <w:pPr>
        <w:spacing w:after="60"/>
      </w:pPr>
    </w:p>
    <w:p>
      <w:pPr>
        <w:spacing w:after="120" w:before="0"/>
      </w:pPr>
      <w:r>
        <w:rPr>
          <w:rFonts w:ascii="Calibri" w:cs="Calibri" w:eastAsia="Calibri" w:hAnsi="Calibri"/>
          <w:b w:val="false"/>
          <w:bCs w:val="false"/>
          <w:i w:val="false"/>
          <w:iCs w:val="false"/>
          <w:color w:val="000000"/>
          <w:sz w:val="21"/>
          <w:szCs w:val="21"/>
        </w:rPr>
        <w:t xml:space="preserve">Implementation details:</w:t>
      </w:r>
    </w:p>
    <w:p>
      <w:pPr>
        <w:pStyle w:val="ListParagraph"/>
        <w:numPr>
          <w:ilvl w:val="0"/>
          <w:numId w:val="1"/>
        </w:numPr>
        <w:spacing w:after="60"/>
        <w:ind w:left="720"/>
      </w:pPr>
      <w:r>
        <w:rPr>
          <w:rFonts w:ascii="Calibri" w:cs="Calibri" w:eastAsia="Calibri" w:hAnsi="Calibri"/>
          <w:sz w:val="21"/>
          <w:szCs w:val="21"/>
        </w:rPr>
        <w:t xml:space="preserve">DTMF frequency generation via Web Audio API with standard dual-tone pairs (e.g., '1' = 697Hz + 1209Hz)</w:t>
      </w:r>
    </w:p>
    <w:p>
      <w:pPr>
        <w:pStyle w:val="ListParagraph"/>
        <w:numPr>
          <w:ilvl w:val="0"/>
          <w:numId w:val="1"/>
        </w:numPr>
        <w:spacing w:after="60"/>
        <w:ind w:left="720"/>
      </w:pPr>
      <w:r>
        <w:rPr>
          <w:rFonts w:ascii="Calibri" w:cs="Calibri" w:eastAsia="Calibri" w:hAnsi="Calibri"/>
          <w:sz w:val="21"/>
          <w:szCs w:val="21"/>
        </w:rPr>
        <w:t xml:space="preserve">Programmatic digit sending via Twilio Voice SDK (sendDigits) during active calls</w:t>
      </w:r>
    </w:p>
    <w:p>
      <w:pPr>
        <w:pStyle w:val="ListParagraph"/>
        <w:numPr>
          <w:ilvl w:val="0"/>
          <w:numId w:val="1"/>
        </w:numPr>
        <w:spacing w:after="60"/>
        <w:ind w:left="720"/>
      </w:pPr>
      <w:r>
        <w:rPr>
          <w:rFonts w:ascii="Calibri" w:cs="Calibri" w:eastAsia="Calibri" w:hAnsi="Calibri"/>
          <w:sz w:val="21"/>
          <w:szCs w:val="21"/>
        </w:rPr>
        <w:t xml:space="preserve">IVR auto-admit protocol: 5-digit PIN validation against attendee registrations, with automatic conference join in muted/silent state</w:t>
      </w:r>
    </w:p>
    <w:p>
      <w:pPr>
        <w:pStyle w:val="ListParagraph"/>
        <w:numPr>
          <w:ilvl w:val="0"/>
          <w:numId w:val="1"/>
        </w:numPr>
        <w:spacing w:after="60"/>
        <w:ind w:left="720"/>
      </w:pPr>
      <w:r>
        <w:rPr>
          <w:rFonts w:ascii="Calibri" w:cs="Calibri" w:eastAsia="Calibri" w:hAnsi="Calibri"/>
          <w:sz w:val="21"/>
          <w:szCs w:val="21"/>
        </w:rPr>
        <w:t xml:space="preserve">Bulk automated dial-out service for bringing participants into conference bridges programmatically</w:t>
      </w:r>
    </w:p>
    <w:p>
      <w:pPr>
        <w:pStyle w:val="ListParagraph"/>
        <w:numPr>
          <w:ilvl w:val="0"/>
          <w:numId w:val="1"/>
        </w:numPr>
        <w:spacing w:after="60"/>
        <w:ind w:left="720"/>
      </w:pPr>
      <w:r>
        <w:rPr>
          <w:rFonts w:ascii="Calibri" w:cs="Calibri" w:eastAsia="Calibri" w:hAnsi="Calibri"/>
          <w:sz w:val="21"/>
          <w:szCs w:val="21"/>
        </w:rPr>
        <w:t xml:space="preserve">Dual-carrier failover (Twilio → Telnyx) ensuring bridge connectivity is maintained</w:t>
      </w:r>
    </w:p>
    <w:p>
      <w:pPr>
        <w:spacing w:after="120" w:before="240"/>
      </w:pPr>
      <w:r>
        <w:rPr>
          <w:rFonts w:ascii="Calibri" w:cs="Calibri" w:eastAsia="Calibri" w:hAnsi="Calibri"/>
          <w:b/>
          <w:bCs/>
          <w:color w:val="1B3A5C"/>
          <w:sz w:val="23"/>
          <w:szCs w:val="23"/>
        </w:rPr>
        <w:t xml:space="preserve">9.2 Deterministic Quality Scoring for Autonomous Evolution</w:t>
      </w:r>
    </w:p>
    <w:p>
      <w:pPr>
        <w:spacing w:after="60"/>
      </w:pPr>
      <w:r>
        <w:rPr>
          <w:rFonts w:ascii="Calibri" w:cs="Calibri" w:eastAsia="Calibri" w:hAnsi="Calibri"/>
          <w:b/>
          <w:bCs/>
          <w:color w:val="666666"/>
          <w:sz w:val="20"/>
          <w:szCs w:val="20"/>
        </w:rPr>
        <w:t xml:space="preserve">File: </w:t>
      </w:r>
      <w:r>
        <w:rPr>
          <w:rFonts w:ascii="Calibri" w:cs="Calibri" w:eastAsia="Calibri" w:hAnsi="Calibri"/>
          <w:i/>
          <w:iCs/>
          <w:color w:val="666666"/>
          <w:sz w:val="20"/>
          <w:szCs w:val="20"/>
        </w:rPr>
        <w:t xml:space="preserve">server/services/AiEvolutionService.ts</w:t>
      </w:r>
    </w:p>
    <w:p>
      <w:pPr>
        <w:spacing w:after="60"/>
      </w:pPr>
    </w:p>
    <w:p>
      <w:pPr>
        <w:spacing w:after="120" w:before="0"/>
      </w:pPr>
      <w:r>
        <w:rPr>
          <w:rFonts w:ascii="Calibri" w:cs="Calibri" w:eastAsia="Calibri" w:hAnsi="Calibri"/>
          <w:b w:val="false"/>
          <w:bCs w:val="false"/>
          <w:i w:val="false"/>
          <w:iCs w:val="false"/>
          <w:color w:val="000000"/>
          <w:sz w:val="21"/>
          <w:szCs w:val="21"/>
        </w:rPr>
        <w:t xml:space="preserve">The system applies a multi-dimensional scoring algorithm to every system-generated output. The quality score (Q) is calculated as a weighted sum of three deterministic dimensions:</w:t>
      </w:r>
    </w:p>
    <w:p>
      <w:pPr>
        <w:spacing w:after="60"/>
      </w:pPr>
    </w:p>
    <w:p>
      <w:pPr>
        <w:pStyle w:val="ListParagraph"/>
        <w:numPr>
          <w:ilvl w:val="0"/>
          <w:numId w:val="1"/>
        </w:numPr>
        <w:spacing w:after="80"/>
        <w:ind w:left="720"/>
      </w:pPr>
      <w:r>
        <w:rPr>
          <w:rFonts w:ascii="Calibri" w:cs="Calibri" w:eastAsia="Calibri" w:hAnsi="Calibri"/>
          <w:b/>
          <w:bCs/>
          <w:sz w:val="21"/>
          <w:szCs w:val="21"/>
        </w:rPr>
        <w:t xml:space="preserve">Depth (D) — Weight: 0.40: </w:t>
      </w:r>
      <w:r>
        <w:rPr>
          <w:rFonts w:ascii="Calibri" w:cs="Calibri" w:eastAsia="Calibri" w:hAnsi="Calibri"/>
          <w:sz w:val="21"/>
          <w:szCs w:val="21"/>
        </w:rPr>
        <w:t xml:space="preserve">A numerical measure of content detail. For string outputs: Math.min(1, length / 600). For arrays: Math.min(1, items / 5). For objects: presence of numeric values (0.4) + substantive strings (0.4) + populated field count (0.2)</w:t>
      </w:r>
    </w:p>
    <w:p>
      <w:pPr>
        <w:pStyle w:val="ListParagraph"/>
        <w:numPr>
          <w:ilvl w:val="0"/>
          <w:numId w:val="1"/>
        </w:numPr>
        <w:spacing w:after="80"/>
        <w:ind w:left="720"/>
      </w:pPr>
      <w:r>
        <w:rPr>
          <w:rFonts w:ascii="Calibri" w:cs="Calibri" w:eastAsia="Calibri" w:hAnsi="Calibri"/>
          <w:b/>
          <w:bCs/>
          <w:sz w:val="21"/>
          <w:szCs w:val="21"/>
        </w:rPr>
        <w:t xml:space="preserve">Breadth (B) — Weight: 0.30: </w:t>
      </w:r>
      <w:r>
        <w:rPr>
          <w:rFonts w:ascii="Calibri" w:cs="Calibri" w:eastAsia="Calibri" w:hAnsi="Calibri"/>
          <w:sz w:val="21"/>
          <w:szCs w:val="21"/>
        </w:rPr>
        <w:t xml:space="preserve">The ratio of populated sub-fields to total fields. Measures cross-referencing completeness across jurisdictional frameworks (JSE, SEC, FCA, EU MAR)</w:t>
      </w:r>
    </w:p>
    <w:p>
      <w:pPr>
        <w:pStyle w:val="ListParagraph"/>
        <w:numPr>
          <w:ilvl w:val="0"/>
          <w:numId w:val="1"/>
        </w:numPr>
        <w:spacing w:after="80"/>
        <w:ind w:left="720"/>
      </w:pPr>
      <w:r>
        <w:rPr>
          <w:rFonts w:ascii="Calibri" w:cs="Calibri" w:eastAsia="Calibri" w:hAnsi="Calibri"/>
          <w:b/>
          <w:bCs/>
          <w:sz w:val="21"/>
          <w:szCs w:val="21"/>
        </w:rPr>
        <w:t xml:space="preserve">Specificity (S) — Weight: 0.30: </w:t>
      </w:r>
      <w:r>
        <w:rPr>
          <w:rFonts w:ascii="Calibri" w:cs="Calibri" w:eastAsia="Calibri" w:hAnsi="Calibri"/>
          <w:sz w:val="21"/>
          <w:szCs w:val="21"/>
        </w:rPr>
        <w:t xml:space="preserve">The inverse ratio of generic boilerplate phrases to technical disclosures. Filtered against a proprietary Noise Library of 15 generic phrases</w:t>
      </w:r>
    </w:p>
    <w:p>
      <w:pPr>
        <w:spacing w:after="60"/>
      </w:pPr>
    </w:p>
    <w:p>
      <w:pPr>
        <w:shd w:fill="F2F2F2" w:color="F2F2F2" w:val="solid"/>
        <w:spacing w:after="120" w:before="120"/>
        <w:jc w:val="center"/>
      </w:pPr>
      <w:r>
        <w:rPr>
          <w:rFonts w:ascii="Consolas" w:cs="Consolas" w:eastAsia="Consolas" w:hAnsi="Consolas"/>
          <w:b/>
          <w:bCs/>
          <w:color w:val="1B3A5C"/>
          <w:sz w:val="22"/>
          <w:szCs w:val="22"/>
        </w:rPr>
        <w:t xml:space="preserve">Q = (0.40 × D) + (0.30 × B) + (0.30 × S)</w:t>
      </w:r>
    </w:p>
    <w:p>
      <w:pPr>
        <w:spacing w:after="120" w:before="240"/>
      </w:pPr>
      <w:r>
        <w:rPr>
          <w:rFonts w:ascii="Calibri" w:cs="Calibri" w:eastAsia="Calibri" w:hAnsi="Calibri"/>
          <w:b/>
          <w:bCs/>
          <w:color w:val="1B3A5C"/>
          <w:sz w:val="23"/>
          <w:szCs w:val="23"/>
        </w:rPr>
        <w:t xml:space="preserve">9.3 Temporal Evidence Decay Function</w:t>
      </w:r>
    </w:p>
    <w:p>
      <w:pPr>
        <w:spacing w:after="60"/>
      </w:pPr>
      <w:r>
        <w:rPr>
          <w:rFonts w:ascii="Calibri" w:cs="Calibri" w:eastAsia="Calibri" w:hAnsi="Calibri"/>
          <w:b/>
          <w:bCs/>
          <w:color w:val="666666"/>
          <w:sz w:val="20"/>
          <w:szCs w:val="20"/>
        </w:rPr>
        <w:t xml:space="preserve">File: </w:t>
      </w:r>
      <w:r>
        <w:rPr>
          <w:rFonts w:ascii="Calibri" w:cs="Calibri" w:eastAsia="Calibri" w:hAnsi="Calibri"/>
          <w:i/>
          <w:iCs/>
          <w:color w:val="666666"/>
          <w:sz w:val="20"/>
          <w:szCs w:val="20"/>
        </w:rPr>
        <w:t xml:space="preserve">server/services/AiEvolutionService.ts</w:t>
      </w:r>
    </w:p>
    <w:p>
      <w:pPr>
        <w:spacing w:after="60"/>
      </w:pPr>
    </w:p>
    <w:p>
      <w:pPr>
        <w:spacing w:after="120" w:before="0"/>
      </w:pPr>
      <w:r>
        <w:rPr>
          <w:rFonts w:ascii="Calibri" w:cs="Calibri" w:eastAsia="Calibri" w:hAnsi="Calibri"/>
          <w:b w:val="false"/>
          <w:bCs w:val="false"/>
          <w:i w:val="false"/>
          <w:iCs w:val="false"/>
          <w:color w:val="000000"/>
          <w:sz w:val="21"/>
          <w:szCs w:val="21"/>
        </w:rPr>
        <w:t xml:space="preserve">All observations in the self-evolution engine are subjected to a temporal decay:</w:t>
      </w:r>
    </w:p>
    <w:p>
      <w:pPr>
        <w:shd w:fill="F2F2F2" w:color="F2F2F2" w:val="solid"/>
        <w:spacing w:after="120" w:before="120"/>
        <w:jc w:val="center"/>
      </w:pPr>
      <w:r>
        <w:rPr>
          <w:rFonts w:ascii="Consolas" w:cs="Consolas" w:eastAsia="Consolas" w:hAnsi="Consolas"/>
          <w:b/>
          <w:bCs/>
          <w:color w:val="1B3A5C"/>
          <w:sz w:val="22"/>
          <w:szCs w:val="22"/>
        </w:rPr>
        <w:t xml:space="preserve">W(t) = 0.5 ^ (age_in_days / 14)</w:t>
      </w:r>
    </w:p>
    <w:p>
      <w:pPr>
        <w:spacing w:after="120" w:before="0"/>
      </w:pPr>
      <w:r>
        <w:rPr>
          <w:rFonts w:ascii="Calibri" w:cs="Calibri" w:eastAsia="Calibri" w:hAnsi="Calibri"/>
          <w:b w:val="false"/>
          <w:bCs w:val="false"/>
          <w:i w:val="false"/>
          <w:iCs w:val="false"/>
          <w:color w:val="000000"/>
          <w:sz w:val="21"/>
          <w:szCs w:val="21"/>
        </w:rPr>
        <w:t xml:space="preserve">This 14-day half-life ensures the system prioritizes current market and regulatory conditions over stale historical data. Observations with decay weight below 0.25 are excluded from active evidence counts.</w:t>
      </w:r>
    </w:p>
    <w:p>
      <w:pPr>
        <w:spacing w:after="120" w:before="240"/>
      </w:pPr>
      <w:r>
        <w:rPr>
          <w:rFonts w:ascii="Calibri" w:cs="Calibri" w:eastAsia="Calibri" w:hAnsi="Calibri"/>
          <w:b/>
          <w:bCs/>
          <w:color w:val="1B3A5C"/>
          <w:sz w:val="23"/>
          <w:szCs w:val="23"/>
        </w:rPr>
        <w:t xml:space="preserve">9.4 Cross-Platform Control Orchestration</w:t>
      </w:r>
    </w:p>
    <w:p>
      <w:pPr>
        <w:spacing w:after="60"/>
      </w:pPr>
      <w:r>
        <w:rPr>
          <w:rFonts w:ascii="Calibri" w:cs="Calibri" w:eastAsia="Calibri" w:hAnsi="Calibri"/>
          <w:b/>
          <w:bCs/>
          <w:color w:val="666666"/>
          <w:sz w:val="20"/>
          <w:szCs w:val="20"/>
        </w:rPr>
        <w:t xml:space="preserve">Files: </w:t>
      </w:r>
      <w:r>
        <w:rPr>
          <w:rFonts w:ascii="Calibri" w:cs="Calibri" w:eastAsia="Calibri" w:hAnsi="Calibri"/>
          <w:i/>
          <w:iCs/>
          <w:color w:val="666666"/>
          <w:sz w:val="20"/>
          <w:szCs w:val="20"/>
        </w:rPr>
        <w:t xml:space="preserve">server/routers/liveQaRouter.ts, server/services/LiveQaTriageService.ts, server/webhooks/recall.ts</w:t>
      </w:r>
    </w:p>
    <w:p>
      <w:pPr>
        <w:spacing w:after="60"/>
      </w:pPr>
    </w:p>
    <w:p>
      <w:pPr>
        <w:spacing w:after="120" w:before="0"/>
      </w:pPr>
      <w:r>
        <w:rPr>
          <w:rFonts w:ascii="Calibri" w:cs="Calibri" w:eastAsia="Calibri" w:hAnsi="Calibri"/>
          <w:b w:val="false"/>
          <w:bCs w:val="false"/>
          <w:i w:val="false"/>
          <w:iCs w:val="false"/>
          <w:color w:val="000000"/>
          <w:sz w:val="21"/>
          <w:szCs w:val="21"/>
        </w:rPr>
        <w:t xml:space="preserve">The system includes a Control Translation Layer that interfaces with third-party conferencing APIs (Microsoft Graph, Zoom REST, Webex SDKs). This layer performs a real-time Identity Mapping between an external Q&amp;A database and the active participant roster of a third-party platform, enabling state changes (Mute, Unmute, Spotlight) from a non-native interface.</w:t>
      </w:r>
    </w:p>
    <w:p>
      <w:pPr>
        <w:spacing w:after="60"/>
      </w:pPr>
    </w:p>
    <w:p>
      <w:pPr>
        <w:spacing w:after="120" w:before="0"/>
      </w:pPr>
      <w:r>
        <w:rPr>
          <w:rFonts w:ascii="Calibri" w:cs="Calibri" w:eastAsia="Calibri" w:hAnsi="Calibri"/>
          <w:b w:val="false"/>
          <w:bCs w:val="false"/>
          <w:i w:val="false"/>
          <w:iCs w:val="false"/>
          <w:color w:val="000000"/>
          <w:sz w:val="21"/>
          <w:szCs w:val="21"/>
        </w:rPr>
        <w:t xml:space="preserve">The identity mapping chain:</w:t>
      </w:r>
    </w:p>
    <w:p>
      <w:pPr>
        <w:pStyle w:val="ListParagraph"/>
        <w:numPr>
          <w:ilvl w:val="0"/>
          <w:numId w:val="1"/>
        </w:numPr>
        <w:spacing w:after="60"/>
        <w:ind w:left="720"/>
      </w:pPr>
      <w:r>
        <w:rPr>
          <w:rFonts w:ascii="Calibri" w:cs="Calibri" w:eastAsia="Calibri" w:hAnsi="Calibri"/>
          <w:sz w:val="21"/>
          <w:szCs w:val="21"/>
        </w:rPr>
        <w:t xml:space="preserve">Attendee submits question via CuraLive Q&amp;A page — captures name, email, company</w:t>
      </w:r>
    </w:p>
    <w:p>
      <w:pPr>
        <w:pStyle w:val="ListParagraph"/>
        <w:numPr>
          <w:ilvl w:val="0"/>
          <w:numId w:val="1"/>
        </w:numPr>
        <w:spacing w:after="60"/>
        <w:ind w:left="720"/>
      </w:pPr>
      <w:r>
        <w:rPr>
          <w:rFonts w:ascii="Calibri" w:cs="Calibri" w:eastAsia="Calibri" w:hAnsi="Calibri"/>
          <w:sz w:val="21"/>
          <w:szCs w:val="21"/>
        </w:rPr>
        <w:t xml:space="preserve">System matches attendee identity against the conferencing platform's participant roster via name/email correlation</w:t>
      </w:r>
    </w:p>
    <w:p>
      <w:pPr>
        <w:pStyle w:val="ListParagraph"/>
        <w:numPr>
          <w:ilvl w:val="0"/>
          <w:numId w:val="1"/>
        </w:numPr>
        <w:spacing w:after="60"/>
        <w:ind w:left="720"/>
      </w:pPr>
      <w:r>
        <w:rPr>
          <w:rFonts w:ascii="Calibri" w:cs="Calibri" w:eastAsia="Calibri" w:hAnsi="Calibri"/>
          <w:sz w:val="21"/>
          <w:szCs w:val="21"/>
        </w:rPr>
        <w:t xml:space="preserve">Operator approves question via CuraLive dashboard — triggers identity-resolved state change on the target platform</w:t>
      </w:r>
    </w:p>
    <w:p>
      <w:pPr>
        <w:pStyle w:val="ListParagraph"/>
        <w:numPr>
          <w:ilvl w:val="0"/>
          <w:numId w:val="1"/>
        </w:numPr>
        <w:spacing w:after="60"/>
        <w:ind w:left="720"/>
      </w:pPr>
      <w:r>
        <w:rPr>
          <w:rFonts w:ascii="Calibri" w:cs="Calibri" w:eastAsia="Calibri" w:hAnsi="Calibri"/>
          <w:sz w:val="21"/>
          <w:szCs w:val="21"/>
        </w:rPr>
        <w:t xml:space="preserve">Recall.ai webhook integration maps speaker_name and bot_id to internal conferenceId and participantId</w:t>
      </w:r>
    </w:p>
    <w:p>
      <w:pPr>
        <w:pageBreakBefore/>
      </w:pPr>
      <w:r>
        <w:br/>
      </w:r>
    </w:p>
    <w:p>
      <w:pPr>
        <w:spacing w:after="120" w:before="240"/>
      </w:pPr>
      <w:r>
        <w:rPr>
          <w:rFonts w:ascii="Calibri" w:cs="Calibri" w:eastAsia="Calibri" w:hAnsi="Calibri"/>
          <w:b/>
          <w:bCs/>
          <w:color w:val="1B3A5C"/>
          <w:sz w:val="23"/>
          <w:szCs w:val="23"/>
        </w:rPr>
        <w:t xml:space="preserve">9.5 Metadata-Triggered State Authorization ("Go Live" Gate)</w:t>
      </w:r>
    </w:p>
    <w:p>
      <w:pPr>
        <w:spacing w:after="60"/>
      </w:pPr>
      <w:r>
        <w:rPr>
          <w:rFonts w:ascii="Calibri" w:cs="Calibri" w:eastAsia="Calibri" w:hAnsi="Calibri"/>
          <w:b/>
          <w:bCs/>
          <w:color w:val="666666"/>
          <w:sz w:val="20"/>
          <w:szCs w:val="20"/>
        </w:rPr>
        <w:t xml:space="preserve">Files: </w:t>
      </w:r>
      <w:r>
        <w:rPr>
          <w:rFonts w:ascii="Calibri" w:cs="Calibri" w:eastAsia="Calibri" w:hAnsi="Calibri"/>
          <w:i/>
          <w:iCs/>
          <w:color w:val="666666"/>
          <w:sz w:val="20"/>
          <w:szCs w:val="20"/>
        </w:rPr>
        <w:t xml:space="preserve">server/services/LiveQaTriageService.ts (authoriseGoLive), server/routers/liveQaRouter.ts (goLive endpoint)</w:t>
      </w:r>
    </w:p>
    <w:p>
      <w:pPr>
        <w:spacing w:after="60"/>
      </w:pPr>
    </w:p>
    <w:p>
      <w:pPr>
        <w:spacing w:after="120" w:before="0"/>
      </w:pPr>
      <w:r>
        <w:rPr>
          <w:rFonts w:ascii="Calibri" w:cs="Calibri" w:eastAsia="Calibri" w:hAnsi="Calibri"/>
          <w:b w:val="false"/>
          <w:bCs w:val="false"/>
          <w:i w:val="false"/>
          <w:iCs w:val="false"/>
          <w:color w:val="000000"/>
          <w:sz w:val="21"/>
          <w:szCs w:val="21"/>
        </w:rPr>
        <w:t xml:space="preserve">A "Go Live" command for a participant is only authorized if their Q&amp;A submission passes two deterministic gates:</w:t>
      </w:r>
    </w:p>
    <w:p>
      <w:pPr>
        <w:spacing w:after="60"/>
      </w:pPr>
    </w:p>
    <w:p>
      <w:pPr>
        <w:pStyle w:val="ListParagraph"/>
        <w:numPr>
          <w:ilvl w:val="0"/>
          <w:numId w:val="1"/>
        </w:numPr>
        <w:spacing w:after="80"/>
        <w:ind w:left="720"/>
      </w:pPr>
      <w:r>
        <w:rPr>
          <w:rFonts w:ascii="Calibri" w:cs="Calibri" w:eastAsia="Calibri" w:hAnsi="Calibri"/>
          <w:b/>
          <w:bCs/>
          <w:sz w:val="21"/>
          <w:szCs w:val="21"/>
        </w:rPr>
        <w:t xml:space="preserve">Triage Score Threshold: </w:t>
      </w:r>
      <w:r>
        <w:rPr>
          <w:rFonts w:ascii="Calibri" w:cs="Calibri" w:eastAsia="Calibri" w:hAnsi="Calibri"/>
          <w:sz w:val="21"/>
          <w:szCs w:val="21"/>
        </w:rPr>
        <w:t xml:space="preserve">The question must achieve a minimum triage score (configurable, default: 40/100) as determined by the AI triage engine</w:t>
      </w:r>
    </w:p>
    <w:p>
      <w:pPr>
        <w:pStyle w:val="ListParagraph"/>
        <w:numPr>
          <w:ilvl w:val="0"/>
          <w:numId w:val="1"/>
        </w:numPr>
        <w:spacing w:after="80"/>
        <w:ind w:left="720"/>
      </w:pPr>
      <w:r>
        <w:rPr>
          <w:rFonts w:ascii="Calibri" w:cs="Calibri" w:eastAsia="Calibri" w:hAnsi="Calibri"/>
          <w:b/>
          <w:bCs/>
          <w:sz w:val="21"/>
          <w:szCs w:val="21"/>
        </w:rPr>
        <w:t xml:space="preserve">Compliance Clearance: </w:t>
      </w:r>
      <w:r>
        <w:rPr>
          <w:rFonts w:ascii="Calibri" w:cs="Calibri" w:eastAsia="Calibri" w:hAnsi="Calibri"/>
          <w:sz w:val="21"/>
          <w:szCs w:val="21"/>
        </w:rPr>
        <w:t xml:space="preserve">The question's compliance risk score must not exceed 70/100 — ensuring no question with active regulatory flags can be put live without manual review</w:t>
      </w:r>
    </w:p>
    <w:p>
      <w:pPr>
        <w:spacing w:after="60"/>
      </w:pPr>
    </w:p>
    <w:p>
      <w:pPr>
        <w:spacing w:after="120" w:before="0"/>
      </w:pPr>
      <w:r>
        <w:rPr>
          <w:rFonts w:ascii="Calibri" w:cs="Calibri" w:eastAsia="Calibri" w:hAnsi="Calibri"/>
          <w:b w:val="false"/>
          <w:bCs w:val="false"/>
          <w:i w:val="false"/>
          <w:iCs w:val="false"/>
          <w:color w:val="000000"/>
          <w:sz w:val="21"/>
          <w:szCs w:val="21"/>
        </w:rPr>
        <w:t xml:space="preserve">The authorization function returns: authorised (boolean), triageScore, complianceCleared (boolean), minimumThreshold, and a natural language reason. If authorized, the system increments session approval counters and emits qa.statusChanged and qa.goLive events via Ably.</w:t>
      </w:r>
    </w:p>
    <w:p>
      <w:pPr>
        <w:spacing w:after="120" w:before="240"/>
      </w:pPr>
      <w:r>
        <w:rPr>
          <w:rFonts w:ascii="Calibri" w:cs="Calibri" w:eastAsia="Calibri" w:hAnsi="Calibri"/>
          <w:b/>
          <w:bCs/>
          <w:color w:val="1B3A5C"/>
          <w:sz w:val="23"/>
          <w:szCs w:val="23"/>
        </w:rPr>
        <w:t xml:space="preserve">9.6 Autonomous Governance Gateway</w:t>
      </w:r>
    </w:p>
    <w:p>
      <w:pPr>
        <w:spacing w:after="60"/>
      </w:pPr>
      <w:r>
        <w:rPr>
          <w:rFonts w:ascii="Calibri" w:cs="Calibri" w:eastAsia="Calibri" w:hAnsi="Calibri"/>
          <w:b/>
          <w:bCs/>
          <w:color w:val="666666"/>
          <w:sz w:val="20"/>
          <w:szCs w:val="20"/>
        </w:rPr>
        <w:t xml:space="preserve">File: </w:t>
      </w:r>
      <w:r>
        <w:rPr>
          <w:rFonts w:ascii="Calibri" w:cs="Calibri" w:eastAsia="Calibri" w:hAnsi="Calibri"/>
          <w:i/>
          <w:iCs/>
          <w:color w:val="666666"/>
          <w:sz w:val="20"/>
          <w:szCs w:val="20"/>
        </w:rPr>
        <w:t xml:space="preserve">server/services/AiEvolutionService.ts (evaluateGovernanceGateway)</w:t>
      </w:r>
    </w:p>
    <w:p>
      <w:pPr>
        <w:spacing w:after="60"/>
      </w:pPr>
    </w:p>
    <w:p>
      <w:pPr>
        <w:spacing w:after="120" w:before="0"/>
      </w:pPr>
      <w:r>
        <w:rPr>
          <w:rFonts w:ascii="Calibri" w:cs="Calibri" w:eastAsia="Calibri" w:hAnsi="Calibri"/>
          <w:b w:val="false"/>
          <w:bCs w:val="false"/>
          <w:i w:val="false"/>
          <w:iCs w:val="false"/>
          <w:color w:val="000000"/>
          <w:sz w:val="21"/>
          <w:szCs w:val="21"/>
        </w:rPr>
        <w:t xml:space="preserve">All tools generated by the Self-Evolution Engine must pass four deterministic gates:</w:t>
      </w:r>
    </w:p>
    <w:p>
      <w:pPr>
        <w:spacing w:after="60"/>
      </w:pPr>
    </w:p>
    <w:p>
      <w:pPr>
        <w:pStyle w:val="ListParagraph"/>
        <w:numPr>
          <w:ilvl w:val="0"/>
          <w:numId w:val="1"/>
        </w:numPr>
        <w:spacing w:after="80"/>
        <w:ind w:left="720"/>
      </w:pPr>
      <w:r>
        <w:rPr>
          <w:rFonts w:ascii="Calibri" w:cs="Calibri" w:eastAsia="Calibri" w:hAnsi="Calibri"/>
          <w:b/>
          <w:bCs/>
          <w:sz w:val="21"/>
          <w:szCs w:val="21"/>
        </w:rPr>
        <w:t xml:space="preserve">Stability Score ≥ 0.65: </w:t>
      </w:r>
      <w:r>
        <w:rPr>
          <w:rFonts w:ascii="Calibri" w:cs="Calibri" w:eastAsia="Calibri" w:hAnsi="Calibri"/>
          <w:sz w:val="21"/>
          <w:szCs w:val="21"/>
        </w:rPr>
        <w:t xml:space="preserve">Composite of decayed evidence score (50%), consistency rate (30%), and inverse failure rate (20%)</w:t>
      </w:r>
    </w:p>
    <w:p>
      <w:pPr>
        <w:pStyle w:val="ListParagraph"/>
        <w:numPr>
          <w:ilvl w:val="0"/>
          <w:numId w:val="1"/>
        </w:numPr>
        <w:spacing w:after="80"/>
        <w:ind w:left="720"/>
      </w:pPr>
      <w:r>
        <w:rPr>
          <w:rFonts w:ascii="Calibri" w:cs="Calibri" w:eastAsia="Calibri" w:hAnsi="Calibri"/>
          <w:b/>
          <w:bCs/>
          <w:sz w:val="21"/>
          <w:szCs w:val="21"/>
        </w:rPr>
        <w:t xml:space="preserve">Minimum Consistent Observations ≥ 3: </w:t>
      </w:r>
      <w:r>
        <w:rPr>
          <w:rFonts w:ascii="Calibri" w:cs="Calibri" w:eastAsia="Calibri" w:hAnsi="Calibri"/>
          <w:sz w:val="21"/>
          <w:szCs w:val="21"/>
        </w:rPr>
        <w:t xml:space="preserve">At least 3 recent observations with confidence ≥ 0.50</w:t>
      </w:r>
    </w:p>
    <w:p>
      <w:pPr>
        <w:pStyle w:val="ListParagraph"/>
        <w:numPr>
          <w:ilvl w:val="0"/>
          <w:numId w:val="1"/>
        </w:numPr>
        <w:spacing w:after="80"/>
        <w:ind w:left="720"/>
      </w:pPr>
      <w:r>
        <w:rPr>
          <w:rFonts w:ascii="Calibri" w:cs="Calibri" w:eastAsia="Calibri" w:hAnsi="Calibri"/>
          <w:b/>
          <w:bCs/>
          <w:sz w:val="21"/>
          <w:szCs w:val="21"/>
        </w:rPr>
        <w:t xml:space="preserve">Failure Rate ≤ 30%: </w:t>
      </w:r>
      <w:r>
        <w:rPr>
          <w:rFonts w:ascii="Calibri" w:cs="Calibri" w:eastAsia="Calibri" w:hAnsi="Calibri"/>
          <w:sz w:val="21"/>
          <w:szCs w:val="21"/>
        </w:rPr>
        <w:t xml:space="preserve">No more than 30% of recent observations may have confidence below 0.30</w:t>
      </w:r>
    </w:p>
    <w:p>
      <w:pPr>
        <w:pStyle w:val="ListParagraph"/>
        <w:numPr>
          <w:ilvl w:val="0"/>
          <w:numId w:val="1"/>
        </w:numPr>
        <w:spacing w:after="80"/>
        <w:ind w:left="720"/>
      </w:pPr>
      <w:r>
        <w:rPr>
          <w:rFonts w:ascii="Calibri" w:cs="Calibri" w:eastAsia="Calibri" w:hAnsi="Calibri"/>
          <w:b/>
          <w:bCs/>
          <w:sz w:val="21"/>
          <w:szCs w:val="21"/>
        </w:rPr>
        <w:t xml:space="preserve">Compliance Boundary Check: </w:t>
      </w:r>
      <w:r>
        <w:rPr>
          <w:rFonts w:ascii="Calibri" w:cs="Calibri" w:eastAsia="Calibri" w:hAnsi="Calibri"/>
          <w:sz w:val="21"/>
          <w:szCs w:val="21"/>
        </w:rPr>
        <w:t xml:space="preserve">Compliance-critical modules face an elevated stability threshold of 0.75</w:t>
      </w:r>
    </w:p>
    <w:p>
      <w:pPr>
        <w:spacing w:after="60"/>
      </w:pPr>
    </w:p>
    <w:p>
      <w:pPr>
        <w:spacing w:after="120" w:before="0"/>
      </w:pPr>
      <w:r>
        <w:rPr>
          <w:rFonts w:ascii="Calibri" w:cs="Calibri" w:eastAsia="Calibri" w:hAnsi="Calibri"/>
          <w:b w:val="false"/>
          <w:bCs w:val="false"/>
          <w:i w:val="false"/>
          <w:iCs w:val="false"/>
          <w:color w:val="000000"/>
          <w:sz w:val="21"/>
          <w:szCs w:val="21"/>
        </w:rPr>
        <w:t xml:space="preserve">Blocked tools are logged with detailed diagnostics and remain at their current promotion stage until they accumulate sufficient stable evidence.</w:t>
      </w:r>
    </w:p>
    <w:p>
      <w:pPr>
        <w:spacing w:after="120" w:before="240"/>
      </w:pPr>
      <w:r>
        <w:rPr>
          <w:rFonts w:ascii="Calibri" w:cs="Calibri" w:eastAsia="Calibri" w:hAnsi="Calibri"/>
          <w:b/>
          <w:bCs/>
          <w:color w:val="1B3A5C"/>
          <w:sz w:val="23"/>
          <w:szCs w:val="23"/>
        </w:rPr>
        <w:t xml:space="preserve">9.7 Sentiment-Weighted Triage Logic (P2P Algorithm)</w:t>
      </w:r>
    </w:p>
    <w:p>
      <w:pPr>
        <w:spacing w:after="60"/>
      </w:pPr>
      <w:r>
        <w:rPr>
          <w:rFonts w:ascii="Calibri" w:cs="Calibri" w:eastAsia="Calibri" w:hAnsi="Calibri"/>
          <w:b/>
          <w:bCs/>
          <w:color w:val="666666"/>
          <w:sz w:val="20"/>
          <w:szCs w:val="20"/>
        </w:rPr>
        <w:t xml:space="preserve">File: </w:t>
      </w:r>
      <w:r>
        <w:rPr>
          <w:rFonts w:ascii="Calibri" w:cs="Calibri" w:eastAsia="Calibri" w:hAnsi="Calibri"/>
          <w:i/>
          <w:iCs/>
          <w:color w:val="666666"/>
          <w:sz w:val="20"/>
          <w:szCs w:val="20"/>
        </w:rPr>
        <w:t xml:space="preserve">server/services/LiveQaTriageService.ts (computeP2P)</w:t>
      </w:r>
    </w:p>
    <w:p>
      <w:pPr>
        <w:spacing w:after="60"/>
      </w:pPr>
    </w:p>
    <w:p>
      <w:pPr>
        <w:shd w:fill="F2F2F2" w:color="F2F2F2" w:val="solid"/>
        <w:spacing w:after="120" w:before="120"/>
        <w:jc w:val="center"/>
      </w:pPr>
      <w:r>
        <w:rPr>
          <w:rFonts w:ascii="Consolas" w:cs="Consolas" w:eastAsia="Consolas" w:hAnsi="Consolas"/>
          <w:b/>
          <w:bCs/>
          <w:color w:val="1B3A5C"/>
          <w:sz w:val="22"/>
          <w:szCs w:val="22"/>
        </w:rPr>
        <w:t xml:space="preserve">P2P Rank = (Polarity Weight × 0.40) + (Normalized Polarity Score × 0.25) + (Normalized Disclosure Urgency × 0.35)</w:t>
      </w:r>
    </w:p>
    <w:p>
      <w:pPr>
        <w:spacing w:after="60"/>
      </w:pPr>
    </w:p>
    <w:p>
      <w:pPr>
        <w:spacing w:after="120" w:before="0"/>
      </w:pPr>
      <w:r>
        <w:rPr>
          <w:rFonts w:ascii="Calibri" w:cs="Calibri" w:eastAsia="Calibri" w:hAnsi="Calibri"/>
          <w:b w:val="false"/>
          <w:bCs w:val="false"/>
          <w:i w:val="false"/>
          <w:iCs w:val="false"/>
          <w:color w:val="000000"/>
          <w:sz w:val="21"/>
          <w:szCs w:val="21"/>
        </w:rPr>
        <w:t xml:space="preserve">Polarity weights: Adversarial (1.00), Negative (0.75), Neutral (0.40), Positive (0.20).</w:t>
      </w:r>
    </w:p>
    <w:p>
      <w:pPr>
        <w:shd w:fill="F2F2F2" w:color="F2F2F2" w:val="solid"/>
        <w:spacing w:after="120" w:before="120"/>
        <w:jc w:val="center"/>
      </w:pPr>
      <w:r>
        <w:rPr>
          <w:rFonts w:ascii="Consolas" w:cs="Consolas" w:eastAsia="Consolas" w:hAnsi="Consolas"/>
          <w:b/>
          <w:bCs/>
          <w:color w:val="1B3A5C"/>
          <w:sz w:val="22"/>
          <w:szCs w:val="22"/>
        </w:rPr>
        <w:t xml:space="preserve">Effective Priority = (Base LLM Priority × 0.60) + (P2P Rank × 0.40)</w:t>
      </w:r>
    </w:p>
    <w:p>
      <w:pPr>
        <w:spacing w:after="120" w:before="240"/>
      </w:pPr>
      <w:r>
        <w:rPr>
          <w:rFonts w:ascii="Calibri" w:cs="Calibri" w:eastAsia="Calibri" w:hAnsi="Calibri"/>
          <w:b/>
          <w:bCs/>
          <w:color w:val="1B3A5C"/>
          <w:sz w:val="23"/>
          <w:szCs w:val="23"/>
        </w:rPr>
        <w:t xml:space="preserve">9.8 Network-Latency Compensation for Silent Agents</w:t>
      </w:r>
    </w:p>
    <w:p>
      <w:pPr>
        <w:spacing w:after="60"/>
      </w:pPr>
      <w:r>
        <w:rPr>
          <w:rFonts w:ascii="Calibri" w:cs="Calibri" w:eastAsia="Calibri" w:hAnsi="Calibri"/>
          <w:b/>
          <w:bCs/>
          <w:color w:val="666666"/>
          <w:sz w:val="20"/>
          <w:szCs w:val="20"/>
        </w:rPr>
        <w:t xml:space="preserve">File: </w:t>
      </w:r>
      <w:r>
        <w:rPr>
          <w:rFonts w:ascii="Calibri" w:cs="Calibri" w:eastAsia="Calibri" w:hAnsi="Calibri"/>
          <w:i/>
          <w:iCs/>
          <w:color w:val="666666"/>
          <w:sz w:val="20"/>
          <w:szCs w:val="20"/>
        </w:rPr>
        <w:t xml:space="preserve">server/services/TranscriptSyncService.ts</w:t>
      </w:r>
    </w:p>
    <w:p>
      <w:pPr>
        <w:spacing w:after="60"/>
      </w:pPr>
    </w:p>
    <w:p>
      <w:pPr>
        <w:spacing w:after="120" w:before="0"/>
      </w:pPr>
      <w:r>
        <w:rPr>
          <w:rFonts w:ascii="Calibri" w:cs="Calibri" w:eastAsia="Calibri" w:hAnsi="Calibri"/>
          <w:b w:val="false"/>
          <w:bCs w:val="false"/>
          <w:i w:val="false"/>
          <w:iCs w:val="false"/>
          <w:color w:val="000000"/>
          <w:sz w:val="21"/>
          <w:szCs w:val="21"/>
        </w:rPr>
        <w:t xml:space="preserve">The system maintains per-session jitter state and computes:</w:t>
      </w:r>
    </w:p>
    <w:p>
      <w:pPr>
        <w:pStyle w:val="ListParagraph"/>
        <w:numPr>
          <w:ilvl w:val="0"/>
          <w:numId w:val="1"/>
        </w:numPr>
        <w:spacing w:after="80"/>
        <w:ind w:left="720"/>
      </w:pPr>
      <w:r>
        <w:rPr>
          <w:rFonts w:ascii="Calibri" w:cs="Calibri" w:eastAsia="Calibri" w:hAnsi="Calibri"/>
          <w:b/>
          <w:bCs/>
          <w:sz w:val="21"/>
          <w:szCs w:val="21"/>
        </w:rPr>
        <w:t xml:space="preserve">Delta-Time: </w:t>
      </w:r>
      <w:r>
        <w:rPr>
          <w:rFonts w:ascii="Calibri" w:cs="Calibri" w:eastAsia="Calibri" w:hAnsi="Calibri"/>
          <w:sz w:val="21"/>
          <w:szCs w:val="21"/>
        </w:rPr>
        <w:t xml:space="preserve">Difference between audio arrival and transcript generation timestamps, clamped to [0, 30000ms]</w:t>
      </w:r>
    </w:p>
    <w:p>
      <w:pPr>
        <w:pStyle w:val="ListParagraph"/>
        <w:numPr>
          <w:ilvl w:val="0"/>
          <w:numId w:val="1"/>
        </w:numPr>
        <w:spacing w:after="80"/>
        <w:ind w:left="720"/>
      </w:pPr>
      <w:r>
        <w:rPr>
          <w:rFonts w:ascii="Calibri" w:cs="Calibri" w:eastAsia="Calibri" w:hAnsi="Calibri"/>
          <w:b/>
          <w:bCs/>
          <w:sz w:val="21"/>
          <w:szCs w:val="21"/>
        </w:rPr>
        <w:t xml:space="preserve">Average Latency: </w:t>
      </w:r>
      <w:r>
        <w:rPr>
          <w:rFonts w:ascii="Calibri" w:cs="Calibri" w:eastAsia="Calibri" w:hAnsi="Calibri"/>
          <w:sz w:val="21"/>
          <w:szCs w:val="21"/>
        </w:rPr>
        <w:t xml:space="preserve">Rolling average across the most recent 50 samples</w:t>
      </w:r>
    </w:p>
    <w:p>
      <w:pPr>
        <w:pStyle w:val="ListParagraph"/>
        <w:numPr>
          <w:ilvl w:val="0"/>
          <w:numId w:val="1"/>
        </w:numPr>
        <w:spacing w:after="80"/>
        <w:ind w:left="720"/>
      </w:pPr>
      <w:r>
        <w:rPr>
          <w:rFonts w:ascii="Calibri" w:cs="Calibri" w:eastAsia="Calibri" w:hAnsi="Calibri"/>
          <w:b/>
          <w:bCs/>
          <w:sz w:val="21"/>
          <w:szCs w:val="21"/>
        </w:rPr>
        <w:t xml:space="preserve">Predicted Jitter: </w:t>
      </w:r>
      <w:r>
        <w:rPr>
          <w:rFonts w:ascii="Calibri" w:cs="Calibri" w:eastAsia="Calibri" w:hAnsi="Calibri"/>
          <w:sz w:val="21"/>
          <w:szCs w:val="21"/>
        </w:rPr>
        <w:t xml:space="preserve">Standard deviation of recent deltas</w:t>
      </w:r>
    </w:p>
    <w:p>
      <w:pPr>
        <w:pStyle w:val="ListParagraph"/>
        <w:numPr>
          <w:ilvl w:val="0"/>
          <w:numId w:val="1"/>
        </w:numPr>
        <w:spacing w:after="80"/>
        <w:ind w:left="720"/>
      </w:pPr>
      <w:r>
        <w:rPr>
          <w:rFonts w:ascii="Calibri" w:cs="Calibri" w:eastAsia="Calibri" w:hAnsi="Calibri"/>
          <w:b/>
          <w:bCs/>
          <w:sz w:val="21"/>
          <w:szCs w:val="21"/>
        </w:rPr>
        <w:t xml:space="preserve">Adjustment Factor: </w:t>
      </w:r>
      <w:r>
        <w:rPr>
          <w:rFonts w:ascii="Calibri" w:cs="Calibri" w:eastAsia="Calibri" w:hAnsi="Calibri"/>
          <w:sz w:val="21"/>
          <w:szCs w:val="21"/>
        </w:rPr>
        <w:t xml:space="preserve">Average latency + (predicted jitter × 0.5)</w:t>
      </w:r>
    </w:p>
    <w:p>
      <w:pPr>
        <w:spacing w:after="60"/>
      </w:pPr>
    </w:p>
    <w:p>
      <w:pPr>
        <w:shd w:fill="F2F2F2" w:color="F2F2F2" w:val="solid"/>
        <w:spacing w:after="120" w:before="120"/>
        <w:jc w:val="center"/>
      </w:pPr>
      <w:r>
        <w:rPr>
          <w:rFonts w:ascii="Consolas" w:cs="Consolas" w:eastAsia="Consolas" w:hAnsi="Consolas"/>
          <w:b/>
          <w:bCs/>
          <w:color w:val="1B3A5C"/>
          <w:sz w:val="22"/>
          <w:szCs w:val="22"/>
        </w:rPr>
        <w:t xml:space="preserve">aligned_timestamp = generated_ms − adjustment_factor</w:t>
      </w:r>
    </w:p>
    <w:p>
      <w:pPr>
        <w:spacing w:after="60"/>
      </w:pPr>
    </w:p>
    <w:p>
      <w:pPr>
        <w:spacing w:after="120" w:before="0"/>
      </w:pPr>
      <w:r>
        <w:rPr>
          <w:rFonts w:ascii="Calibri" w:cs="Calibri" w:eastAsia="Calibri" w:hAnsi="Calibri"/>
          <w:b w:val="false"/>
          <w:bCs w:val="false"/>
          <w:i w:val="false"/>
          <w:iCs w:val="false"/>
          <w:color w:val="000000"/>
          <w:sz w:val="21"/>
          <w:szCs w:val="21"/>
        </w:rPr>
        <w:t xml:space="preserve">Latency categories: low (≤200ms), moderate (≤500ms), high (≤1500ms), critical (&gt;1500ms). Session TTL: 8 hours with 10-minute eviction sweep.</w:t>
      </w:r>
    </w:p>
    <w:p>
      <w:pPr>
        <w:spacing w:after="120" w:before="240"/>
      </w:pPr>
      <w:r>
        <w:rPr>
          <w:rFonts w:ascii="Calibri" w:cs="Calibri" w:eastAsia="Calibri" w:hAnsi="Calibri"/>
          <w:b/>
          <w:bCs/>
          <w:color w:val="1B3A5C"/>
          <w:sz w:val="23"/>
          <w:szCs w:val="23"/>
        </w:rPr>
        <w:t xml:space="preserve">9.9 File Inventory — Cross-Cutting Innovations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5%"/>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19"/>
                <w:szCs w:val="19"/>
              </w:rPr>
              <w:t xml:space="preserve">File</w:t>
            </w:r>
          </w:p>
        </w:tc>
        <w:tc>
          <w:tcPr>
            <w:tcW w:type="pct" w:w="1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19"/>
                <w:szCs w:val="19"/>
              </w:rPr>
              <w:t xml:space="preserve">Lines</w:t>
            </w:r>
          </w:p>
        </w:tc>
        <w:tc>
          <w:tcPr>
            <w:tcW w:type="pct" w:w="45%"/>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19"/>
                <w:szCs w:val="19"/>
              </w:rPr>
              <w:t xml:space="preserve">Purpose</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server/services/LiveQaTriageService.ts</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+65</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P2P algorithm, Go Live authorisation gate, sentiment polarity extraction</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server/routers/liveQaRouter.ts</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+35</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Go Live endpoint with triage threshold check and session counter update</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server/services/AiEvolutionService.ts</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+80</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Governance Gateway — stability score, consistency, failure rate, compliance boundary validation</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server/services/TranscriptSyncService.ts</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145</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Predictive jitter-buffer synchronization — delta-time, alignment, TTL eviction</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client/src/components/Webphone.tsx</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existing</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DTMF generation and programmatic digit sending</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server/_core/index.ts</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existing</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IVR auto-admit protocol with PIN validation</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server/services/ConferenceDialoutService.ts</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existing</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Automated bulk dial-out for bridge entry</w:t>
            </w:r>
          </w:p>
        </w:tc>
      </w:tr>
      <w:tr>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server/directAccess.ts</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existing</w:t>
            </w:r>
          </w:p>
        </w:tc>
        <w:tc>
          <w:tcPr>
            <w:tcBorders>
              <w:top w:val="single" w:color="CCCCCC" w:sz="1"/>
              <w:left w:val="single" w:color="CCCCCC" w:sz="1"/>
              <w:bottom w:val="single" w:color="CCCCCC" w:sz="1"/>
              <w:right w:val="single" w:color="CCCCCC" w:sz="1"/>
            </w:tcBorders>
          </w:tcPr>
          <w:p>
            <w:pPr>
              <w:spacing w:after="30" w:before="30"/>
            </w:pPr>
            <w:r>
              <w:rPr>
                <w:rFonts w:ascii="Calibri" w:cs="Calibri" w:eastAsia="Calibri" w:hAnsi="Calibri"/>
                <w:b w:val="false"/>
                <w:bCs w:val="false"/>
                <w:sz w:val="19"/>
                <w:szCs w:val="19"/>
              </w:rPr>
              <w:t xml:space="preserve">Conference bridge lookup and auto-admit logic</w:t>
            </w:r>
          </w:p>
        </w:tc>
      </w:tr>
    </w:tbl>
    <w:p>
      <w:pPr>
        <w:pageBreakBefore/>
      </w:pPr>
      <w:r>
        <w:br/>
      </w:r>
    </w:p>
    <w:p>
      <w:pPr>
        <w:spacing w:after="160" w:before="360"/>
      </w:pPr>
      <w:r>
        <w:rPr>
          <w:rFonts w:ascii="Calibri" w:cs="Calibri" w:eastAsia="Calibri" w:hAnsi="Calibri"/>
          <w:b/>
          <w:bCs/>
          <w:color w:val="1B3A5C"/>
          <w:sz w:val="26"/>
          <w:szCs w:val="26"/>
        </w:rPr>
        <w:t xml:space="preserve">10. Detailed Technical Description — Module 32: Autonomous Enterprise Operating System (AEOS)</w:t>
      </w:r>
    </w:p>
    <w:p>
      <w:pPr>
        <w:spacing w:after="120" w:before="0"/>
      </w:pPr>
      <w:r>
        <w:rPr>
          <w:rFonts w:ascii="Calibri" w:cs="Calibri" w:eastAsia="Calibri" w:hAnsi="Calibri"/>
          <w:b w:val="false"/>
          <w:bCs w:val="false"/>
          <w:i/>
          <w:iCs/>
          <w:color w:val="666666"/>
          <w:sz w:val="21"/>
          <w:szCs w:val="21"/>
        </w:rPr>
        <w:t xml:space="preserve">Refer: FIG 34, FIG 35</w:t>
      </w:r>
    </w:p>
    <w:p>
      <w:pPr>
        <w:spacing w:after="120" w:before="240"/>
      </w:pPr>
      <w:r>
        <w:rPr>
          <w:rFonts w:ascii="Calibri" w:cs="Calibri" w:eastAsia="Calibri" w:hAnsi="Calibri"/>
          <w:b/>
          <w:bCs/>
          <w:color w:val="1B3A5C"/>
          <w:sz w:val="23"/>
          <w:szCs w:val="23"/>
        </w:rPr>
        <w:t xml:space="preserve">10.1 Purpose</w:t>
      </w:r>
    </w:p>
    <w:p>
      <w:pPr>
        <w:spacing w:after="120" w:before="0"/>
      </w:pPr>
      <w:r>
        <w:rPr>
          <w:rFonts w:ascii="Calibri" w:cs="Calibri" w:eastAsia="Calibri" w:hAnsi="Calibri"/>
          <w:b w:val="false"/>
          <w:bCs w:val="false"/>
          <w:i w:val="false"/>
          <w:iCs w:val="false"/>
          <w:color w:val="000000"/>
          <w:sz w:val="21"/>
          <w:szCs w:val="21"/>
        </w:rPr>
        <w:t xml:space="preserve">Module 32 provides a fully autonomous enterprise operating system that manages the complete lifecycle of investor communication events — from initial client booking through service delivery to final invoicing and bank reconciliation — without human administrative intervention. The AEOS operates as a "Financial Nervous System" that connects every module in the platform to a unified commercial pipeline.</w:t>
      </w:r>
    </w:p>
    <w:p>
      <w:pPr>
        <w:spacing w:after="120" w:before="240"/>
      </w:pPr>
      <w:r>
        <w:rPr>
          <w:rFonts w:ascii="Calibri" w:cs="Calibri" w:eastAsia="Calibri" w:hAnsi="Calibri"/>
          <w:b/>
          <w:bCs/>
          <w:color w:val="1B3A5C"/>
          <w:sz w:val="23"/>
          <w:szCs w:val="23"/>
        </w:rPr>
        <w:t xml:space="preserve">10.2 Deterministic Financial State Machine (Quote-to-Cash)</w:t>
      </w:r>
    </w:p>
    <w:p>
      <w:pPr>
        <w:spacing w:after="120" w:before="0"/>
      </w:pPr>
      <w:r>
        <w:rPr>
          <w:rFonts w:ascii="Calibri" w:cs="Calibri" w:eastAsia="Calibri" w:hAnsi="Calibri"/>
          <w:b w:val="false"/>
          <w:bCs w:val="false"/>
          <w:i w:val="false"/>
          <w:iCs w:val="false"/>
          <w:color w:val="000000"/>
          <w:sz w:val="21"/>
          <w:szCs w:val="21"/>
        </w:rPr>
        <w:t xml:space="preserve">The system implements a fully autonomous "Quote-to-Cash" (Q2C) lifecycle governed by a Deterministic Financial State Machine with the following stages:</w:t>
      </w:r>
    </w:p>
    <w:p>
      <w:pPr>
        <w:spacing w:after="60"/>
      </w:pPr>
    </w:p>
    <w:p>
      <w:pPr>
        <w:pStyle w:val="ListParagraph"/>
        <w:numPr>
          <w:ilvl w:val="0"/>
          <w:numId w:val="1"/>
        </w:numPr>
        <w:spacing w:after="80"/>
        <w:ind w:left="720"/>
      </w:pPr>
      <w:r>
        <w:rPr>
          <w:rFonts w:ascii="Calibri" w:cs="Calibri" w:eastAsia="Calibri" w:hAnsi="Calibri"/>
          <w:b/>
          <w:bCs/>
          <w:sz w:val="21"/>
          <w:szCs w:val="21"/>
        </w:rPr>
        <w:t xml:space="preserve">Stage 1 — Predictive Quoting Engine: </w:t>
      </w:r>
      <w:r>
        <w:rPr>
          <w:rFonts w:ascii="Calibri" w:cs="Calibri" w:eastAsia="Calibri" w:hAnsi="Calibri"/>
          <w:sz w:val="21"/>
          <w:szCs w:val="21"/>
        </w:rPr>
        <w:t xml:space="preserve">Upon submission of a multimodal booking form, a proprietary algorithm calculates pricing by cross-referencing real-time resource availability (operators, infrastructure, compliance analysts) with a Predictive Demand Vector derived from historical booking patterns, seasonal trends, and event complexity scoring</w:t>
      </w:r>
    </w:p>
    <w:p>
      <w:pPr>
        <w:pStyle w:val="ListParagraph"/>
        <w:numPr>
          <w:ilvl w:val="0"/>
          <w:numId w:val="1"/>
        </w:numPr>
        <w:spacing w:after="80"/>
        <w:ind w:left="720"/>
      </w:pPr>
      <w:r>
        <w:rPr>
          <w:rFonts w:ascii="Calibri" w:cs="Calibri" w:eastAsia="Calibri" w:hAnsi="Calibri"/>
          <w:b/>
          <w:bCs/>
          <w:sz w:val="21"/>
          <w:szCs w:val="21"/>
        </w:rPr>
        <w:t xml:space="preserve">Stage 2 — Autonomous Registration Bridge: </w:t>
      </w:r>
      <w:r>
        <w:rPr>
          <w:rFonts w:ascii="Calibri" w:cs="Calibri" w:eastAsia="Calibri" w:hAnsi="Calibri"/>
          <w:sz w:val="21"/>
          <w:szCs w:val="21"/>
        </w:rPr>
        <w:t xml:space="preserve">Once a digital signature is detected on the approved quote, the system triggers an asynchronous event chain to: (a) generate unique registration credentials; (b) provision event infrastructure (Ably channels, database records, Shadow Mode session); (c) distribute onboarding materials to the client; and (d) allocate operator resources based on predicted event complexity</w:t>
      </w:r>
    </w:p>
    <w:p>
      <w:pPr>
        <w:pStyle w:val="ListParagraph"/>
        <w:numPr>
          <w:ilvl w:val="0"/>
          <w:numId w:val="1"/>
        </w:numPr>
        <w:spacing w:after="80"/>
        <w:ind w:left="720"/>
      </w:pPr>
      <w:r>
        <w:rPr>
          <w:rFonts w:ascii="Calibri" w:cs="Calibri" w:eastAsia="Calibri" w:hAnsi="Calibri"/>
          <w:b/>
          <w:bCs/>
          <w:sz w:val="21"/>
          <w:szCs w:val="21"/>
        </w:rPr>
        <w:t xml:space="preserve">Stage 3 — Event-Triggered Invoicing: </w:t>
      </w:r>
      <w:r>
        <w:rPr>
          <w:rFonts w:ascii="Calibri" w:cs="Calibri" w:eastAsia="Calibri" w:hAnsi="Calibri"/>
          <w:sz w:val="21"/>
          <w:szCs w:val="21"/>
        </w:rPr>
        <w:t xml:space="preserve">Upon receiving a "Service-Complete" signal from the Live Event Module (Module 31), the system programmatically generates a cryptographically signed invoice containing: event duration, questions processed, compliance flags raised, attendee count, AI-generated session summary, and blockchain certificate hash reference</w:t>
      </w:r>
    </w:p>
    <w:p>
      <w:pPr>
        <w:pStyle w:val="ListParagraph"/>
        <w:numPr>
          <w:ilvl w:val="0"/>
          <w:numId w:val="1"/>
        </w:numPr>
        <w:spacing w:after="80"/>
        <w:ind w:left="720"/>
      </w:pPr>
      <w:r>
        <w:rPr>
          <w:rFonts w:ascii="Calibri" w:cs="Calibri" w:eastAsia="Calibri" w:hAnsi="Calibri"/>
          <w:b/>
          <w:bCs/>
          <w:sz w:val="21"/>
          <w:szCs w:val="21"/>
        </w:rPr>
        <w:t xml:space="preserve">Stage 4 — Self-Healing Reconciliation Layer: </w:t>
      </w:r>
      <w:r>
        <w:rPr>
          <w:rFonts w:ascii="Calibri" w:cs="Calibri" w:eastAsia="Calibri" w:hAnsi="Calibri"/>
          <w:sz w:val="21"/>
          <w:szCs w:val="21"/>
        </w:rPr>
        <w:t xml:space="preserve">The system interfaces with Banking APIs and uses SHA-256 Hash Matching to correlate incoming payments with issued invoices. Payment discrepancies (partial payment, overpayment, missing payment) trigger an automated Resolution Agent that generates client communication, adjusts ledger entries, and escalates only unresolvable cases</w:t>
      </w:r>
    </w:p>
    <w:p>
      <w:pPr>
        <w:spacing w:after="120" w:before="240"/>
      </w:pPr>
      <w:r>
        <w:rPr>
          <w:rFonts w:ascii="Calibri" w:cs="Calibri" w:eastAsia="Calibri" w:hAnsi="Calibri"/>
          <w:b/>
          <w:bCs/>
          <w:color w:val="1B3A5C"/>
          <w:sz w:val="23"/>
          <w:szCs w:val="23"/>
        </w:rPr>
        <w:t xml:space="preserve">10.3 Organizational Knowledge Graph (Digital Twin)</w:t>
      </w:r>
    </w:p>
    <w:p>
      <w:pPr>
        <w:spacing w:after="120" w:before="0"/>
      </w:pPr>
      <w:r>
        <w:rPr>
          <w:rFonts w:ascii="Calibri" w:cs="Calibri" w:eastAsia="Calibri" w:hAnsi="Calibri"/>
          <w:b w:val="false"/>
          <w:bCs w:val="false"/>
          <w:i w:val="false"/>
          <w:iCs w:val="false"/>
          <w:color w:val="000000"/>
          <w:sz w:val="21"/>
          <w:szCs w:val="21"/>
        </w:rPr>
        <w:t xml:space="preserve">The platform creates a persistent Organizational Knowledge Graph that serves as the company's "Digital Twin." This graph is a structured representation of:</w:t>
      </w:r>
    </w:p>
    <w:p>
      <w:pPr>
        <w:spacing w:after="60"/>
      </w:pPr>
    </w:p>
    <w:p>
      <w:pPr>
        <w:pStyle w:val="ListParagraph"/>
        <w:numPr>
          <w:ilvl w:val="0"/>
          <w:numId w:val="1"/>
        </w:numPr>
        <w:spacing w:after="80"/>
        <w:ind w:left="720"/>
      </w:pPr>
      <w:r>
        <w:rPr>
          <w:rFonts w:ascii="Calibri" w:cs="Calibri" w:eastAsia="Calibri" w:hAnsi="Calibri"/>
          <w:b/>
          <w:bCs/>
          <w:sz w:val="21"/>
          <w:szCs w:val="21"/>
        </w:rPr>
        <w:t xml:space="preserve">Company Profile: </w:t>
      </w:r>
      <w:r>
        <w:rPr>
          <w:rFonts w:ascii="Calibri" w:cs="Calibri" w:eastAsia="Calibri" w:hAnsi="Calibri"/>
          <w:sz w:val="21"/>
          <w:szCs w:val="21"/>
        </w:rPr>
        <w:t xml:space="preserve">Personality traits (conservative/aggressive communication style), brand voice, regulatory posture, risk tolerance</w:t>
      </w:r>
    </w:p>
    <w:p>
      <w:pPr>
        <w:pStyle w:val="ListParagraph"/>
        <w:numPr>
          <w:ilvl w:val="0"/>
          <w:numId w:val="1"/>
        </w:numPr>
        <w:spacing w:after="80"/>
        <w:ind w:left="720"/>
      </w:pPr>
      <w:r>
        <w:rPr>
          <w:rFonts w:ascii="Calibri" w:cs="Calibri" w:eastAsia="Calibri" w:hAnsi="Calibri"/>
          <w:b/>
          <w:bCs/>
          <w:sz w:val="21"/>
          <w:szCs w:val="21"/>
        </w:rPr>
        <w:t xml:space="preserve">Historical Intelligence: </w:t>
      </w:r>
      <w:r>
        <w:rPr>
          <w:rFonts w:ascii="Calibri" w:cs="Calibri" w:eastAsia="Calibri" w:hAnsi="Calibri"/>
          <w:sz w:val="21"/>
          <w:szCs w:val="21"/>
        </w:rPr>
        <w:t xml:space="preserve">All prior event transcripts, Q&amp;A patterns, compliance incidents, attendee sentiment trends, and AI-generated insights — weighted by the temporal decay function (Section 9.3)</w:t>
      </w:r>
    </w:p>
    <w:p>
      <w:pPr>
        <w:pStyle w:val="ListParagraph"/>
        <w:numPr>
          <w:ilvl w:val="0"/>
          <w:numId w:val="1"/>
        </w:numPr>
        <w:spacing w:after="80"/>
        <w:ind w:left="720"/>
      </w:pPr>
      <w:r>
        <w:rPr>
          <w:rFonts w:ascii="Calibri" w:cs="Calibri" w:eastAsia="Calibri" w:hAnsi="Calibri"/>
          <w:b/>
          <w:bCs/>
          <w:sz w:val="21"/>
          <w:szCs w:val="21"/>
        </w:rPr>
        <w:t xml:space="preserve">Relationship Map: </w:t>
      </w:r>
      <w:r>
        <w:rPr>
          <w:rFonts w:ascii="Calibri" w:cs="Calibri" w:eastAsia="Calibri" w:hAnsi="Calibri"/>
          <w:sz w:val="21"/>
          <w:szCs w:val="21"/>
        </w:rPr>
        <w:t xml:space="preserve">Client → Event → Attendee → Question → Sentiment linkages enabling cross-event pattern detection</w:t>
      </w:r>
    </w:p>
    <w:p>
      <w:pPr>
        <w:pStyle w:val="ListParagraph"/>
        <w:numPr>
          <w:ilvl w:val="0"/>
          <w:numId w:val="1"/>
        </w:numPr>
        <w:spacing w:after="80"/>
        <w:ind w:left="720"/>
      </w:pPr>
      <w:r>
        <w:rPr>
          <w:rFonts w:ascii="Calibri" w:cs="Calibri" w:eastAsia="Calibri" w:hAnsi="Calibri"/>
          <w:b/>
          <w:bCs/>
          <w:sz w:val="21"/>
          <w:szCs w:val="21"/>
        </w:rPr>
        <w:t xml:space="preserve">Goal Framework: </w:t>
      </w:r>
      <w:r>
        <w:rPr>
          <w:rFonts w:ascii="Calibri" w:cs="Calibri" w:eastAsia="Calibri" w:hAnsi="Calibri"/>
          <w:sz w:val="21"/>
          <w:szCs w:val="21"/>
        </w:rPr>
        <w:t xml:space="preserve">Client-defined objectives (increase analyst engagement, reduce compliance incidents, improve response time) with measurable KPIs tracked autonomously</w:t>
      </w:r>
    </w:p>
    <w:p>
      <w:pPr>
        <w:spacing w:after="120" w:before="240"/>
      </w:pPr>
      <w:r>
        <w:rPr>
          <w:rFonts w:ascii="Calibri" w:cs="Calibri" w:eastAsia="Calibri" w:hAnsi="Calibri"/>
          <w:b/>
          <w:bCs/>
          <w:color w:val="1B3A5C"/>
          <w:sz w:val="23"/>
          <w:szCs w:val="23"/>
        </w:rPr>
        <w:t xml:space="preserve">10.4 Predictive Resource Allocation</w:t>
      </w:r>
    </w:p>
    <w:p>
      <w:pPr>
        <w:spacing w:after="120" w:before="0"/>
      </w:pPr>
      <w:r>
        <w:rPr>
          <w:rFonts w:ascii="Calibri" w:cs="Calibri" w:eastAsia="Calibri" w:hAnsi="Calibri"/>
          <w:b w:val="false"/>
          <w:bCs w:val="false"/>
          <w:i w:val="false"/>
          <w:iCs w:val="false"/>
          <w:color w:val="000000"/>
          <w:sz w:val="21"/>
          <w:szCs w:val="21"/>
        </w:rPr>
        <w:t xml:space="preserve">Using the Digital Twin's historical intelligence and the Predictive Demand Vector, the system autonomously:</w:t>
      </w:r>
    </w:p>
    <w:p>
      <w:pPr>
        <w:pStyle w:val="ListParagraph"/>
        <w:numPr>
          <w:ilvl w:val="0"/>
          <w:numId w:val="1"/>
        </w:numPr>
        <w:spacing w:after="60"/>
        <w:ind w:left="720"/>
      </w:pPr>
      <w:r>
        <w:rPr>
          <w:rFonts w:ascii="Calibri" w:cs="Calibri" w:eastAsia="Calibri" w:hAnsi="Calibri"/>
          <w:sz w:val="21"/>
          <w:szCs w:val="21"/>
        </w:rPr>
        <w:t xml:space="preserve">Forecasts operator staffing requirements for upcoming events based on predicted complexity and attendee volume</w:t>
      </w:r>
    </w:p>
    <w:p>
      <w:pPr>
        <w:pStyle w:val="ListParagraph"/>
        <w:numPr>
          <w:ilvl w:val="0"/>
          <w:numId w:val="1"/>
        </w:numPr>
        <w:spacing w:after="60"/>
        <w:ind w:left="720"/>
      </w:pPr>
      <w:r>
        <w:rPr>
          <w:rFonts w:ascii="Calibri" w:cs="Calibri" w:eastAsia="Calibri" w:hAnsi="Calibri"/>
          <w:sz w:val="21"/>
          <w:szCs w:val="21"/>
        </w:rPr>
        <w:t xml:space="preserve">Pre-allocates compliance analysts when the Knowledge Graph indicates elevated regulatory risk for a specific client or jurisdiction</w:t>
      </w:r>
    </w:p>
    <w:p>
      <w:pPr>
        <w:pStyle w:val="ListParagraph"/>
        <w:numPr>
          <w:ilvl w:val="0"/>
          <w:numId w:val="1"/>
        </w:numPr>
        <w:spacing w:after="60"/>
        <w:ind w:left="720"/>
      </w:pPr>
      <w:r>
        <w:rPr>
          <w:rFonts w:ascii="Calibri" w:cs="Calibri" w:eastAsia="Calibri" w:hAnsi="Calibri"/>
          <w:sz w:val="21"/>
          <w:szCs w:val="21"/>
        </w:rPr>
        <w:t xml:space="preserve">Prepares crisis communication briefs when event sentiment trends indicate potential hostile Q&amp;A patterns</w:t>
      </w:r>
    </w:p>
    <w:p>
      <w:pPr>
        <w:pStyle w:val="ListParagraph"/>
        <w:numPr>
          <w:ilvl w:val="0"/>
          <w:numId w:val="1"/>
        </w:numPr>
        <w:spacing w:after="60"/>
        <w:ind w:left="720"/>
      </w:pPr>
      <w:r>
        <w:rPr>
          <w:rFonts w:ascii="Calibri" w:cs="Calibri" w:eastAsia="Calibri" w:hAnsi="Calibri"/>
          <w:sz w:val="21"/>
          <w:szCs w:val="21"/>
        </w:rPr>
        <w:t xml:space="preserve">Adjusts pricing recommendations based on resource utilization patterns and demand forecasting</w:t>
      </w:r>
    </w:p>
    <w:p>
      <w:pPr>
        <w:spacing w:after="120" w:before="240"/>
      </w:pPr>
      <w:r>
        <w:rPr>
          <w:rFonts w:ascii="Calibri" w:cs="Calibri" w:eastAsia="Calibri" w:hAnsi="Calibri"/>
          <w:b/>
          <w:bCs/>
          <w:color w:val="1B3A5C"/>
          <w:sz w:val="23"/>
          <w:szCs w:val="23"/>
        </w:rPr>
        <w:t xml:space="preserve">10.5 Sovereign Data Architecture</w:t>
      </w:r>
    </w:p>
    <w:p>
      <w:pPr>
        <w:spacing w:after="120" w:before="0"/>
      </w:pPr>
      <w:r>
        <w:rPr>
          <w:rFonts w:ascii="Calibri" w:cs="Calibri" w:eastAsia="Calibri" w:hAnsi="Calibri"/>
          <w:b w:val="false"/>
          <w:bCs w:val="false"/>
          <w:i w:val="false"/>
          <w:iCs w:val="false"/>
          <w:color w:val="000000"/>
          <w:sz w:val="21"/>
          <w:szCs w:val="21"/>
        </w:rPr>
        <w:t xml:space="preserve">The AEOS implements a Sovereign Data Architecture to protect the organizational "Private Brain":</w:t>
      </w:r>
    </w:p>
    <w:p>
      <w:pPr>
        <w:spacing w:after="60"/>
      </w:pPr>
    </w:p>
    <w:p>
      <w:pPr>
        <w:pStyle w:val="ListParagraph"/>
        <w:numPr>
          <w:ilvl w:val="0"/>
          <w:numId w:val="1"/>
        </w:numPr>
        <w:spacing w:after="80"/>
        <w:ind w:left="720"/>
      </w:pPr>
      <w:r>
        <w:rPr>
          <w:rFonts w:ascii="Calibri" w:cs="Calibri" w:eastAsia="Calibri" w:hAnsi="Calibri"/>
          <w:b/>
          <w:bCs/>
          <w:sz w:val="21"/>
          <w:szCs w:val="21"/>
        </w:rPr>
        <w:t xml:space="preserve">Isolated Learning: </w:t>
      </w:r>
      <w:r>
        <w:rPr>
          <w:rFonts w:ascii="Calibri" w:cs="Calibri" w:eastAsia="Calibri" w:hAnsi="Calibri"/>
          <w:sz w:val="21"/>
          <w:szCs w:val="21"/>
        </w:rPr>
        <w:t xml:space="preserve">Each client's Knowledge Graph is logically isolated — the AI learns from each client's data independently and never cross-contaminates intelligence between organizations</w:t>
      </w:r>
    </w:p>
    <w:p>
      <w:pPr>
        <w:pStyle w:val="ListParagraph"/>
        <w:numPr>
          <w:ilvl w:val="0"/>
          <w:numId w:val="1"/>
        </w:numPr>
        <w:spacing w:after="80"/>
        <w:ind w:left="720"/>
      </w:pPr>
      <w:r>
        <w:rPr>
          <w:rFonts w:ascii="Calibri" w:cs="Calibri" w:eastAsia="Calibri" w:hAnsi="Calibri"/>
          <w:b/>
          <w:bCs/>
          <w:sz w:val="21"/>
          <w:szCs w:val="21"/>
        </w:rPr>
        <w:t xml:space="preserve">Zero-Trust Identity Validation: </w:t>
      </w:r>
      <w:r>
        <w:rPr>
          <w:rFonts w:ascii="Calibri" w:cs="Calibri" w:eastAsia="Calibri" w:hAnsi="Calibri"/>
          <w:sz w:val="21"/>
          <w:szCs w:val="21"/>
        </w:rPr>
        <w:t xml:space="preserve">Every API call to the AEOS requires cryptographic identity verification — no implicit trust based on network location or session state</w:t>
      </w:r>
    </w:p>
    <w:p>
      <w:pPr>
        <w:pStyle w:val="ListParagraph"/>
        <w:numPr>
          <w:ilvl w:val="0"/>
          <w:numId w:val="1"/>
        </w:numPr>
        <w:spacing w:after="80"/>
        <w:ind w:left="720"/>
      </w:pPr>
      <w:r>
        <w:rPr>
          <w:rFonts w:ascii="Calibri" w:cs="Calibri" w:eastAsia="Calibri" w:hAnsi="Calibri"/>
          <w:b/>
          <w:bCs/>
          <w:sz w:val="21"/>
          <w:szCs w:val="21"/>
        </w:rPr>
        <w:t xml:space="preserve">Data Residency Compliance: </w:t>
      </w:r>
      <w:r>
        <w:rPr>
          <w:rFonts w:ascii="Calibri" w:cs="Calibri" w:eastAsia="Calibri" w:hAnsi="Calibri"/>
          <w:sz w:val="21"/>
          <w:szCs w:val="21"/>
        </w:rPr>
        <w:t xml:space="preserve">The architecture supports configurable data residency to meet jurisdiction-specific requirements (POPIA, GDPR, SOX)</w:t>
      </w:r>
    </w:p>
    <w:p>
      <w:pPr>
        <w:spacing w:after="120" w:before="240"/>
      </w:pPr>
      <w:r>
        <w:rPr>
          <w:rFonts w:ascii="Calibri" w:cs="Calibri" w:eastAsia="Calibri" w:hAnsi="Calibri"/>
          <w:b/>
          <w:bCs/>
          <w:color w:val="1B3A5C"/>
          <w:sz w:val="23"/>
          <w:szCs w:val="23"/>
        </w:rPr>
        <w:t xml:space="preserve">10.6 AGI-Ready Universal Sync</w:t>
      </w:r>
    </w:p>
    <w:p>
      <w:pPr>
        <w:spacing w:after="120" w:before="0"/>
      </w:pPr>
      <w:r>
        <w:rPr>
          <w:rFonts w:ascii="Calibri" w:cs="Calibri" w:eastAsia="Calibri" w:hAnsi="Calibri"/>
          <w:b w:val="false"/>
          <w:bCs w:val="false"/>
          <w:i w:val="false"/>
          <w:iCs w:val="false"/>
          <w:color w:val="000000"/>
          <w:sz w:val="21"/>
          <w:szCs w:val="21"/>
        </w:rPr>
        <w:t xml:space="preserve">The AEOS exposes a Modal-Agnostic Semantic API that describes every system capability in structured natural language. This API layer enables:</w:t>
      </w:r>
    </w:p>
    <w:p>
      <w:pPr>
        <w:pStyle w:val="ListParagraph"/>
        <w:numPr>
          <w:ilvl w:val="0"/>
          <w:numId w:val="1"/>
        </w:numPr>
        <w:spacing w:after="60"/>
        <w:ind w:left="720"/>
      </w:pPr>
      <w:r>
        <w:rPr>
          <w:rFonts w:ascii="Calibri" w:cs="Calibri" w:eastAsia="Calibri" w:hAnsi="Calibri"/>
          <w:sz w:val="21"/>
          <w:szCs w:val="21"/>
        </w:rPr>
        <w:t xml:space="preserve">Future AGI systems to discover, understand, and invoke any platform capability without pre-programmed integrations</w:t>
      </w:r>
    </w:p>
    <w:p>
      <w:pPr>
        <w:pStyle w:val="ListParagraph"/>
        <w:numPr>
          <w:ilvl w:val="0"/>
          <w:numId w:val="1"/>
        </w:numPr>
        <w:spacing w:after="60"/>
        <w:ind w:left="720"/>
      </w:pPr>
      <w:r>
        <w:rPr>
          <w:rFonts w:ascii="Calibri" w:cs="Calibri" w:eastAsia="Calibri" w:hAnsi="Calibri"/>
          <w:sz w:val="21"/>
          <w:szCs w:val="21"/>
        </w:rPr>
        <w:t xml:space="preserve">Natural language commands to trigger complex multi-module workflows (e.g., "Prepare for tomorrow's earnings call" triggers resource allocation, compliance pre-screening, operator scheduling, and attendee notification simultaneously)</w:t>
      </w:r>
    </w:p>
    <w:p>
      <w:pPr>
        <w:pStyle w:val="ListParagraph"/>
        <w:numPr>
          <w:ilvl w:val="0"/>
          <w:numId w:val="1"/>
        </w:numPr>
        <w:spacing w:after="60"/>
        <w:ind w:left="720"/>
      </w:pPr>
      <w:r>
        <w:rPr>
          <w:rFonts w:ascii="Calibri" w:cs="Calibri" w:eastAsia="Calibri" w:hAnsi="Calibri"/>
          <w:sz w:val="21"/>
          <w:szCs w:val="21"/>
        </w:rPr>
        <w:t xml:space="preserve">Self-describing endpoints where each API capability includes its purpose, required inputs, expected outputs, and regulatory implications</w:t>
      </w:r>
    </w:p>
    <w:p>
      <w:pPr>
        <w:pageBreakBefore/>
      </w:pPr>
      <w:r>
        <w:br/>
      </w:r>
    </w:p>
    <w:p>
      <w:pPr>
        <w:spacing w:after="160" w:before="360"/>
      </w:pPr>
      <w:r>
        <w:rPr>
          <w:rFonts w:ascii="Calibri" w:cs="Calibri" w:eastAsia="Calibri" w:hAnsi="Calibri"/>
          <w:b/>
          <w:bCs/>
          <w:color w:val="1B3A5C"/>
          <w:sz w:val="26"/>
          <w:szCs w:val="26"/>
        </w:rPr>
        <w:t xml:space="preserve">11. Embodiments</w:t>
      </w:r>
    </w:p>
    <w:p>
      <w:pPr>
        <w:spacing w:after="120" w:before="240"/>
      </w:pPr>
      <w:r>
        <w:rPr>
          <w:rFonts w:ascii="Calibri" w:cs="Calibri" w:eastAsia="Calibri" w:hAnsi="Calibri"/>
          <w:b/>
          <w:bCs/>
          <w:color w:val="1B3A5C"/>
          <w:sz w:val="23"/>
          <w:szCs w:val="23"/>
        </w:rPr>
        <w:t xml:space="preserve">11.1 Operator-Managed Event Embodiment</w:t>
      </w:r>
    </w:p>
    <w:p>
      <w:pPr>
        <w:spacing w:after="120" w:before="0"/>
      </w:pPr>
      <w:r>
        <w:rPr>
          <w:rFonts w:ascii="Calibri" w:cs="Calibri" w:eastAsia="Calibri" w:hAnsi="Calibri"/>
          <w:b w:val="false"/>
          <w:bCs w:val="false"/>
          <w:i w:val="false"/>
          <w:iCs w:val="false"/>
          <w:color w:val="000000"/>
          <w:sz w:val="21"/>
          <w:szCs w:val="21"/>
        </w:rPr>
        <w:t xml:space="preserve">For operator-managed investor events on client platforms (Teams, Zoom, Webex):</w:t>
      </w:r>
    </w:p>
    <w:p>
      <w:pPr>
        <w:pStyle w:val="ListParagraph"/>
        <w:numPr>
          <w:ilvl w:val="0"/>
          <w:numId w:val="1"/>
        </w:numPr>
        <w:spacing w:after="60"/>
        <w:ind w:left="720"/>
      </w:pPr>
      <w:r>
        <w:rPr>
          <w:rFonts w:ascii="Calibri" w:cs="Calibri" w:eastAsia="Calibri" w:hAnsi="Calibri"/>
          <w:sz w:val="21"/>
          <w:szCs w:val="21"/>
        </w:rPr>
        <w:t xml:space="preserve">CuraLive operator joins the client's platform with co-host rights</w:t>
      </w:r>
    </w:p>
    <w:p>
      <w:pPr>
        <w:pStyle w:val="ListParagraph"/>
        <w:numPr>
          <w:ilvl w:val="0"/>
          <w:numId w:val="1"/>
        </w:numPr>
        <w:spacing w:after="60"/>
        <w:ind w:left="720"/>
      </w:pPr>
      <w:r>
        <w:rPr>
          <w:rFonts w:ascii="Calibri" w:cs="Calibri" w:eastAsia="Calibri" w:hAnsi="Calibri"/>
          <w:sz w:val="21"/>
          <w:szCs w:val="21"/>
        </w:rPr>
        <w:t xml:space="preserve">Attendees submit questions via the CuraLive Q&amp;A link — AI triages and compliance-screens each question</w:t>
      </w:r>
    </w:p>
    <w:p>
      <w:pPr>
        <w:pStyle w:val="ListParagraph"/>
        <w:numPr>
          <w:ilvl w:val="0"/>
          <w:numId w:val="1"/>
        </w:numPr>
        <w:spacing w:after="60"/>
        <w:ind w:left="720"/>
      </w:pPr>
      <w:r>
        <w:rPr>
          <w:rFonts w:ascii="Calibri" w:cs="Calibri" w:eastAsia="Calibri" w:hAnsi="Calibri"/>
          <w:sz w:val="21"/>
          <w:szCs w:val="21"/>
        </w:rPr>
        <w:t xml:space="preserve">P2P algorithm surfaces adversarial and high-urgency questions ahead of neutral/positive ones</w:t>
      </w:r>
    </w:p>
    <w:p>
      <w:pPr>
        <w:pStyle w:val="ListParagraph"/>
        <w:numPr>
          <w:ilvl w:val="0"/>
          <w:numId w:val="1"/>
        </w:numPr>
        <w:spacing w:after="60"/>
        <w:ind w:left="720"/>
      </w:pPr>
      <w:r>
        <w:rPr>
          <w:rFonts w:ascii="Calibri" w:cs="Calibri" w:eastAsia="Calibri" w:hAnsi="Calibri"/>
          <w:sz w:val="21"/>
          <w:szCs w:val="21"/>
        </w:rPr>
        <w:t xml:space="preserve">Go Live gate ensures only compliance-cleared, sufficiently-scored questions are approved for live audio</w:t>
      </w:r>
    </w:p>
    <w:p>
      <w:pPr>
        <w:pStyle w:val="ListParagraph"/>
        <w:numPr>
          <w:ilvl w:val="0"/>
          <w:numId w:val="1"/>
        </w:numPr>
        <w:spacing w:after="60"/>
        <w:ind w:left="720"/>
      </w:pPr>
      <w:r>
        <w:rPr>
          <w:rFonts w:ascii="Calibri" w:cs="Calibri" w:eastAsia="Calibri" w:hAnsi="Calibri"/>
          <w:sz w:val="21"/>
          <w:szCs w:val="21"/>
        </w:rPr>
        <w:t xml:space="preserve">Operator unmutes the approved attendee on the client's platform — manually or via API integration</w:t>
      </w:r>
    </w:p>
    <w:p>
      <w:pPr>
        <w:pStyle w:val="ListParagraph"/>
        <w:numPr>
          <w:ilvl w:val="0"/>
          <w:numId w:val="1"/>
        </w:numPr>
        <w:spacing w:after="60"/>
        <w:ind w:left="720"/>
      </w:pPr>
      <w:r>
        <w:rPr>
          <w:rFonts w:ascii="Calibri" w:cs="Calibri" w:eastAsia="Calibri" w:hAnsi="Calibri"/>
          <w:sz w:val="21"/>
          <w:szCs w:val="21"/>
        </w:rPr>
        <w:t xml:space="preserve">Shadow Mode captures the full event with jitter-compensated transcript synchronization</w:t>
      </w:r>
    </w:p>
    <w:p>
      <w:pPr>
        <w:spacing w:after="120" w:before="240"/>
      </w:pPr>
      <w:r>
        <w:rPr>
          <w:rFonts w:ascii="Calibri" w:cs="Calibri" w:eastAsia="Calibri" w:hAnsi="Calibri"/>
          <w:b/>
          <w:bCs/>
          <w:color w:val="1B3A5C"/>
          <w:sz w:val="23"/>
          <w:szCs w:val="23"/>
        </w:rPr>
        <w:t xml:space="preserve">11.2 Autonomous AI Governance Embodiment</w:t>
      </w:r>
    </w:p>
    <w:p>
      <w:pPr>
        <w:spacing w:after="120" w:before="0"/>
      </w:pPr>
      <w:r>
        <w:rPr>
          <w:rFonts w:ascii="Calibri" w:cs="Calibri" w:eastAsia="Calibri" w:hAnsi="Calibri"/>
          <w:b w:val="false"/>
          <w:bCs w:val="false"/>
          <w:i w:val="false"/>
          <w:iCs w:val="false"/>
          <w:color w:val="000000"/>
          <w:sz w:val="21"/>
          <w:szCs w:val="21"/>
        </w:rPr>
        <w:t xml:space="preserve">For the self-evolution engine's autonomous tool generation:</w:t>
      </w:r>
    </w:p>
    <w:p>
      <w:pPr>
        <w:pStyle w:val="ListParagraph"/>
        <w:numPr>
          <w:ilvl w:val="0"/>
          <w:numId w:val="1"/>
        </w:numPr>
        <w:spacing w:after="60"/>
        <w:ind w:left="720"/>
      </w:pPr>
      <w:r>
        <w:rPr>
          <w:rFonts w:ascii="Calibri" w:cs="Calibri" w:eastAsia="Calibri" w:hAnsi="Calibri"/>
          <w:sz w:val="21"/>
          <w:szCs w:val="21"/>
        </w:rPr>
        <w:t xml:space="preserve">AI Meta-Observer identifies capability gaps during live sessions and proposes new micro-tools</w:t>
      </w:r>
    </w:p>
    <w:p>
      <w:pPr>
        <w:pStyle w:val="ListParagraph"/>
        <w:numPr>
          <w:ilvl w:val="0"/>
          <w:numId w:val="1"/>
        </w:numPr>
        <w:spacing w:after="60"/>
        <w:ind w:left="720"/>
      </w:pPr>
      <w:r>
        <w:rPr>
          <w:rFonts w:ascii="Calibri" w:cs="Calibri" w:eastAsia="Calibri" w:hAnsi="Calibri"/>
          <w:sz w:val="21"/>
          <w:szCs w:val="21"/>
        </w:rPr>
        <w:t xml:space="preserve">Tools accumulate evidence through cross-event correlation and decayed confidence scoring</w:t>
      </w:r>
    </w:p>
    <w:p>
      <w:pPr>
        <w:pStyle w:val="ListParagraph"/>
        <w:numPr>
          <w:ilvl w:val="0"/>
          <w:numId w:val="1"/>
        </w:numPr>
        <w:spacing w:after="60"/>
        <w:ind w:left="720"/>
      </w:pPr>
      <w:r>
        <w:rPr>
          <w:rFonts w:ascii="Calibri" w:cs="Calibri" w:eastAsia="Calibri" w:hAnsi="Calibri"/>
          <w:sz w:val="21"/>
          <w:szCs w:val="21"/>
        </w:rPr>
        <w:t xml:space="preserve">Governance Gateway blocks promotion to production until stability score exceeds threshold</w:t>
      </w:r>
    </w:p>
    <w:p>
      <w:pPr>
        <w:pStyle w:val="ListParagraph"/>
        <w:numPr>
          <w:ilvl w:val="0"/>
          <w:numId w:val="1"/>
        </w:numPr>
        <w:spacing w:after="60"/>
        <w:ind w:left="720"/>
      </w:pPr>
      <w:r>
        <w:rPr>
          <w:rFonts w:ascii="Calibri" w:cs="Calibri" w:eastAsia="Calibri" w:hAnsi="Calibri"/>
          <w:sz w:val="21"/>
          <w:szCs w:val="21"/>
        </w:rPr>
        <w:t xml:space="preserve">Compliance-critical tools face elevated threshold (0.75 vs 0.65) to prevent regulatory boundary violations</w:t>
      </w:r>
    </w:p>
    <w:p>
      <w:pPr>
        <w:pStyle w:val="ListParagraph"/>
        <w:numPr>
          <w:ilvl w:val="0"/>
          <w:numId w:val="1"/>
        </w:numPr>
        <w:spacing w:after="60"/>
        <w:ind w:left="720"/>
      </w:pPr>
      <w:r>
        <w:rPr>
          <w:rFonts w:ascii="Calibri" w:cs="Calibri" w:eastAsia="Calibri" w:hAnsi="Calibri"/>
          <w:sz w:val="21"/>
          <w:szCs w:val="21"/>
        </w:rPr>
        <w:t xml:space="preserve">All governance decisions are logged in the evolution audit log with SHA-256 hash-chained integrity</w:t>
      </w:r>
    </w:p>
    <w:p>
      <w:pPr>
        <w:spacing w:after="120" w:before="240"/>
      </w:pPr>
      <w:r>
        <w:rPr>
          <w:rFonts w:ascii="Calibri" w:cs="Calibri" w:eastAsia="Calibri" w:hAnsi="Calibri"/>
          <w:b/>
          <w:bCs/>
          <w:color w:val="1B3A5C"/>
          <w:sz w:val="23"/>
          <w:szCs w:val="23"/>
        </w:rPr>
        <w:t xml:space="preserve">11.3 High-Latency Telephony Embodiment</w:t>
      </w:r>
    </w:p>
    <w:p>
      <w:pPr>
        <w:spacing w:after="120" w:before="0"/>
      </w:pPr>
      <w:r>
        <w:rPr>
          <w:rFonts w:ascii="Calibri" w:cs="Calibri" w:eastAsia="Calibri" w:hAnsi="Calibri"/>
          <w:b w:val="false"/>
          <w:bCs w:val="false"/>
          <w:i w:val="false"/>
          <w:iCs w:val="false"/>
          <w:color w:val="000000"/>
          <w:sz w:val="21"/>
          <w:szCs w:val="21"/>
        </w:rPr>
        <w:t xml:space="preserve">For silent monitoring of PSTN conference bridges with variable network latency:</w:t>
      </w:r>
    </w:p>
    <w:p>
      <w:pPr>
        <w:pStyle w:val="ListParagraph"/>
        <w:numPr>
          <w:ilvl w:val="0"/>
          <w:numId w:val="1"/>
        </w:numPr>
        <w:spacing w:after="60"/>
        <w:ind w:left="720"/>
      </w:pPr>
      <w:r>
        <w:rPr>
          <w:rFonts w:ascii="Calibri" w:cs="Calibri" w:eastAsia="Calibri" w:hAnsi="Calibri"/>
          <w:sz w:val="21"/>
          <w:szCs w:val="21"/>
        </w:rPr>
        <w:t xml:space="preserve">Silent agent enters bridge via programmatic DTMF handshake — no manual intervention required</w:t>
      </w:r>
    </w:p>
    <w:p>
      <w:pPr>
        <w:pStyle w:val="ListParagraph"/>
        <w:numPr>
          <w:ilvl w:val="0"/>
          <w:numId w:val="1"/>
        </w:numPr>
        <w:spacing w:after="60"/>
        <w:ind w:left="720"/>
      </w:pPr>
      <w:r>
        <w:rPr>
          <w:rFonts w:ascii="Calibri" w:cs="Calibri" w:eastAsia="Calibri" w:hAnsi="Calibri"/>
          <w:sz w:val="21"/>
          <w:szCs w:val="21"/>
        </w:rPr>
        <w:t xml:space="preserve">Predictive jitter-buffer compensates for network latency between audio arrival and transcript generation</w:t>
      </w:r>
    </w:p>
    <w:p>
      <w:pPr>
        <w:pStyle w:val="ListParagraph"/>
        <w:numPr>
          <w:ilvl w:val="0"/>
          <w:numId w:val="1"/>
        </w:numPr>
        <w:spacing w:after="60"/>
        <w:ind w:left="720"/>
      </w:pPr>
      <w:r>
        <w:rPr>
          <w:rFonts w:ascii="Calibri" w:cs="Calibri" w:eastAsia="Calibri" w:hAnsi="Calibri"/>
          <w:sz w:val="21"/>
          <w:szCs w:val="21"/>
        </w:rPr>
        <w:t xml:space="preserve">Compliance flags and metadata maintain unified temporal state regardless of bridge latency</w:t>
      </w:r>
    </w:p>
    <w:p>
      <w:pPr>
        <w:pStyle w:val="ListParagraph"/>
        <w:numPr>
          <w:ilvl w:val="0"/>
          <w:numId w:val="1"/>
        </w:numPr>
        <w:spacing w:after="60"/>
        <w:ind w:left="720"/>
      </w:pPr>
      <w:r>
        <w:rPr>
          <w:rFonts w:ascii="Calibri" w:cs="Calibri" w:eastAsia="Calibri" w:hAnsi="Calibri"/>
          <w:sz w:val="21"/>
          <w:szCs w:val="21"/>
        </w:rPr>
        <w:t xml:space="preserve">Latency health status (healthy/degraded/poor) is reported to the operator in real-time</w:t>
      </w:r>
    </w:p>
    <w:p>
      <w:pPr>
        <w:spacing w:after="120" w:before="240"/>
      </w:pPr>
      <w:r>
        <w:rPr>
          <w:rFonts w:ascii="Calibri" w:cs="Calibri" w:eastAsia="Calibri" w:hAnsi="Calibri"/>
          <w:b/>
          <w:bCs/>
          <w:color w:val="1B3A5C"/>
          <w:sz w:val="23"/>
          <w:szCs w:val="23"/>
        </w:rPr>
        <w:t xml:space="preserve">11.4 Full AEOS Embodiment</w:t>
      </w:r>
    </w:p>
    <w:p>
      <w:pPr>
        <w:spacing w:after="120" w:before="0"/>
      </w:pPr>
      <w:r>
        <w:rPr>
          <w:rFonts w:ascii="Calibri" w:cs="Calibri" w:eastAsia="Calibri" w:hAnsi="Calibri"/>
          <w:b w:val="false"/>
          <w:bCs w:val="false"/>
          <w:i w:val="false"/>
          <w:iCs w:val="false"/>
          <w:color w:val="000000"/>
          <w:sz w:val="21"/>
          <w:szCs w:val="21"/>
        </w:rPr>
        <w:t xml:space="preserve">For the complete autonomous enterprise lifecycle:</w:t>
      </w:r>
    </w:p>
    <w:p>
      <w:pPr>
        <w:pStyle w:val="ListParagraph"/>
        <w:numPr>
          <w:ilvl w:val="0"/>
          <w:numId w:val="1"/>
        </w:numPr>
        <w:spacing w:after="60"/>
        <w:ind w:left="720"/>
      </w:pPr>
      <w:r>
        <w:rPr>
          <w:rFonts w:ascii="Calibri" w:cs="Calibri" w:eastAsia="Calibri" w:hAnsi="Calibri"/>
          <w:sz w:val="21"/>
          <w:szCs w:val="21"/>
        </w:rPr>
        <w:t xml:space="preserve">Client submits booking request via multimodal form — Predictive Quoting Engine generates pricing based on resource availability and demand forecasting</w:t>
      </w:r>
    </w:p>
    <w:p>
      <w:pPr>
        <w:pStyle w:val="ListParagraph"/>
        <w:numPr>
          <w:ilvl w:val="0"/>
          <w:numId w:val="1"/>
        </w:numPr>
        <w:spacing w:after="60"/>
        <w:ind w:left="720"/>
      </w:pPr>
      <w:r>
        <w:rPr>
          <w:rFonts w:ascii="Calibri" w:cs="Calibri" w:eastAsia="Calibri" w:hAnsi="Calibri"/>
          <w:sz w:val="21"/>
          <w:szCs w:val="21"/>
        </w:rPr>
        <w:t xml:space="preserve">Digital signature triggers Autonomous Registration Bridge — event infrastructure provisioned, credentials distributed, operators allocated</w:t>
      </w:r>
    </w:p>
    <w:p>
      <w:pPr>
        <w:pStyle w:val="ListParagraph"/>
        <w:numPr>
          <w:ilvl w:val="0"/>
          <w:numId w:val="1"/>
        </w:numPr>
        <w:spacing w:after="60"/>
        <w:ind w:left="720"/>
      </w:pPr>
      <w:r>
        <w:rPr>
          <w:rFonts w:ascii="Calibri" w:cs="Calibri" w:eastAsia="Calibri" w:hAnsi="Calibri"/>
          <w:sz w:val="21"/>
          <w:szCs w:val="21"/>
        </w:rPr>
        <w:t xml:space="preserve">Live event runs with full Module 31 Q&amp;A intelligence, Module 28 self-evolution, and real-time compliance monitoring</w:t>
      </w:r>
    </w:p>
    <w:p>
      <w:pPr>
        <w:pStyle w:val="ListParagraph"/>
        <w:numPr>
          <w:ilvl w:val="0"/>
          <w:numId w:val="1"/>
        </w:numPr>
        <w:spacing w:after="60"/>
        <w:ind w:left="720"/>
      </w:pPr>
      <w:r>
        <w:rPr>
          <w:rFonts w:ascii="Calibri" w:cs="Calibri" w:eastAsia="Calibri" w:hAnsi="Calibri"/>
          <w:sz w:val="21"/>
          <w:szCs w:val="21"/>
        </w:rPr>
        <w:t xml:space="preserve">Service-Complete signal triggers automatic invoice generation with cryptographic signing and blockchain certificate reference</w:t>
      </w:r>
    </w:p>
    <w:p>
      <w:pPr>
        <w:pStyle w:val="ListParagraph"/>
        <w:numPr>
          <w:ilvl w:val="0"/>
          <w:numId w:val="1"/>
        </w:numPr>
        <w:spacing w:after="60"/>
        <w:ind w:left="720"/>
      </w:pPr>
      <w:r>
        <w:rPr>
          <w:rFonts w:ascii="Calibri" w:cs="Calibri" w:eastAsia="Calibri" w:hAnsi="Calibri"/>
          <w:sz w:val="21"/>
          <w:szCs w:val="21"/>
        </w:rPr>
        <w:t xml:space="preserve">Self-Healing Reconciliation Layer matches incoming payments via SHA-256 hash correlation and resolves discrepancies autonomously</w:t>
      </w:r>
    </w:p>
    <w:p>
      <w:pPr>
        <w:pStyle w:val="ListParagraph"/>
        <w:numPr>
          <w:ilvl w:val="0"/>
          <w:numId w:val="1"/>
        </w:numPr>
        <w:spacing w:after="60"/>
        <w:ind w:left="720"/>
      </w:pPr>
      <w:r>
        <w:rPr>
          <w:rFonts w:ascii="Calibri" w:cs="Calibri" w:eastAsia="Calibri" w:hAnsi="Calibri"/>
          <w:sz w:val="21"/>
          <w:szCs w:val="21"/>
        </w:rPr>
        <w:t xml:space="preserve">Organizational Knowledge Graph updates with event intelligence, enriching the Digital Twin for future predictive allocation</w:t>
      </w:r>
    </w:p>
    <w:p>
      <w:pPr>
        <w:spacing w:after="160" w:before="360"/>
      </w:pPr>
      <w:r>
        <w:rPr>
          <w:rFonts w:ascii="Calibri" w:cs="Calibri" w:eastAsia="Calibri" w:hAnsi="Calibri"/>
          <w:b/>
          <w:bCs/>
          <w:color w:val="1B3A5C"/>
          <w:sz w:val="26"/>
          <w:szCs w:val="26"/>
        </w:rPr>
        <w:t xml:space="preserve">12. Industrial Applicability</w:t>
      </w:r>
    </w:p>
    <w:p>
      <w:pPr>
        <w:spacing w:after="120" w:before="0"/>
      </w:pPr>
      <w:r>
        <w:rPr>
          <w:rFonts w:ascii="Calibri" w:cs="Calibri" w:eastAsia="Calibri" w:hAnsi="Calibri"/>
          <w:b w:val="false"/>
          <w:bCs w:val="false"/>
          <w:i w:val="false"/>
          <w:iCs w:val="false"/>
          <w:color w:val="000000"/>
          <w:sz w:val="21"/>
          <w:szCs w:val="21"/>
        </w:rPr>
        <w:t xml:space="preserve">The innovations in this CIP Submission 6 are applicable to:</w:t>
      </w:r>
    </w:p>
    <w:p>
      <w:pPr>
        <w:pStyle w:val="ListParagraph"/>
        <w:numPr>
          <w:ilvl w:val="0"/>
          <w:numId w:val="1"/>
        </w:numPr>
        <w:spacing w:after="60"/>
        <w:ind w:left="720"/>
      </w:pPr>
      <w:r>
        <w:rPr>
          <w:rFonts w:ascii="Calibri" w:cs="Calibri" w:eastAsia="Calibri" w:hAnsi="Calibri"/>
          <w:sz w:val="21"/>
          <w:szCs w:val="21"/>
        </w:rPr>
        <w:t xml:space="preserve">Investor relations firms managing Q&amp;A across multiple conferencing platforms simultaneously</w:t>
      </w:r>
    </w:p>
    <w:p>
      <w:pPr>
        <w:pStyle w:val="ListParagraph"/>
        <w:numPr>
          <w:ilvl w:val="0"/>
          <w:numId w:val="1"/>
        </w:numPr>
        <w:spacing w:after="60"/>
        <w:ind w:left="720"/>
      </w:pPr>
      <w:r>
        <w:rPr>
          <w:rFonts w:ascii="Calibri" w:cs="Calibri" w:eastAsia="Calibri" w:hAnsi="Calibri"/>
          <w:sz w:val="21"/>
          <w:szCs w:val="21"/>
        </w:rPr>
        <w:t xml:space="preserve">Listed companies requiring compliance-gated live Q&amp;A during earnings calls, investor days, and AGMs</w:t>
      </w:r>
    </w:p>
    <w:p>
      <w:pPr>
        <w:pStyle w:val="ListParagraph"/>
        <w:numPr>
          <w:ilvl w:val="0"/>
          <w:numId w:val="1"/>
        </w:numPr>
        <w:spacing w:after="60"/>
        <w:ind w:left="720"/>
      </w:pPr>
      <w:r>
        <w:rPr>
          <w:rFonts w:ascii="Calibri" w:cs="Calibri" w:eastAsia="Calibri" w:hAnsi="Calibri"/>
          <w:sz w:val="21"/>
          <w:szCs w:val="21"/>
        </w:rPr>
        <w:t xml:space="preserve">Telecommunications operators requiring latency-compensated real-time transcription across PSTN bridges</w:t>
      </w:r>
    </w:p>
    <w:p>
      <w:pPr>
        <w:pStyle w:val="ListParagraph"/>
        <w:numPr>
          <w:ilvl w:val="0"/>
          <w:numId w:val="1"/>
        </w:numPr>
        <w:spacing w:after="60"/>
        <w:ind w:left="720"/>
      </w:pPr>
      <w:r>
        <w:rPr>
          <w:rFonts w:ascii="Calibri" w:cs="Calibri" w:eastAsia="Calibri" w:hAnsi="Calibri"/>
          <w:sz w:val="21"/>
          <w:szCs w:val="21"/>
        </w:rPr>
        <w:t xml:space="preserve">AI governance frameworks requiring deterministic safety validation before autonomous tool deployment</w:t>
      </w:r>
    </w:p>
    <w:p>
      <w:pPr>
        <w:pStyle w:val="ListParagraph"/>
        <w:numPr>
          <w:ilvl w:val="0"/>
          <w:numId w:val="1"/>
        </w:numPr>
        <w:spacing w:after="60"/>
        <w:ind w:left="720"/>
      </w:pPr>
      <w:r>
        <w:rPr>
          <w:rFonts w:ascii="Calibri" w:cs="Calibri" w:eastAsia="Calibri" w:hAnsi="Calibri"/>
          <w:sz w:val="21"/>
          <w:szCs w:val="21"/>
        </w:rPr>
        <w:t xml:space="preserve">Any organisation requiring cross-platform identity mapping for participant management across Teams, Zoom, and Webex</w:t>
      </w:r>
    </w:p>
    <w:p>
      <w:pPr>
        <w:pStyle w:val="ListParagraph"/>
        <w:numPr>
          <w:ilvl w:val="0"/>
          <w:numId w:val="1"/>
        </w:numPr>
        <w:spacing w:after="60"/>
        <w:ind w:left="720"/>
      </w:pPr>
      <w:r>
        <w:rPr>
          <w:rFonts w:ascii="Calibri" w:cs="Calibri" w:eastAsia="Calibri" w:hAnsi="Calibri"/>
          <w:sz w:val="21"/>
          <w:szCs w:val="21"/>
        </w:rPr>
        <w:t xml:space="preserve">Enterprise IR firms requiring autonomous end-to-end event lifecycle management from booking through billing and organizational intelligence</w:t>
      </w:r>
    </w:p>
    <w:p>
      <w:pPr>
        <w:pStyle w:val="ListParagraph"/>
        <w:numPr>
          <w:ilvl w:val="0"/>
          <w:numId w:val="1"/>
        </w:numPr>
        <w:spacing w:after="60"/>
        <w:ind w:left="720"/>
      </w:pPr>
      <w:r>
        <w:rPr>
          <w:rFonts w:ascii="Calibri" w:cs="Calibri" w:eastAsia="Calibri" w:hAnsi="Calibri"/>
          <w:sz w:val="21"/>
          <w:szCs w:val="21"/>
        </w:rPr>
        <w:t xml:space="preserve">Financial services companies requiring self-healing bank reconciliation with cryptographic payment verification</w:t>
      </w:r>
    </w:p>
    <w:p>
      <w:pPr>
        <w:pageBreakBefore/>
      </w:pPr>
      <w:r>
        <w:br/>
      </w:r>
    </w:p>
    <w:p>
      <w:pPr>
        <w:spacing w:after="160" w:before="360"/>
      </w:pPr>
      <w:r>
        <w:rPr>
          <w:rFonts w:ascii="Calibri" w:cs="Calibri" w:eastAsia="Calibri" w:hAnsi="Calibri"/>
          <w:b/>
          <w:bCs/>
          <w:color w:val="1B3A5C"/>
          <w:sz w:val="26"/>
          <w:szCs w:val="26"/>
        </w:rPr>
        <w:t xml:space="preserve">13. Alternative Implementations</w:t>
      </w:r>
    </w:p>
    <w:p>
      <w:pPr>
        <w:pStyle w:val="ListParagraph"/>
        <w:numPr>
          <w:ilvl w:val="0"/>
          <w:numId w:val="1"/>
        </w:numPr>
        <w:spacing w:after="60"/>
        <w:ind w:left="720"/>
      </w:pPr>
      <w:r>
        <w:rPr>
          <w:rFonts w:ascii="Calibri" w:cs="Calibri" w:eastAsia="Calibri" w:hAnsi="Calibri"/>
          <w:sz w:val="21"/>
          <w:szCs w:val="21"/>
        </w:rPr>
        <w:t xml:space="preserve">The DTMF handshake protocol may use any telephony carrier (Twilio, Telnyx, Vonage, or equivalent). The protocol is carrier-agnostic.</w:t>
      </w:r>
    </w:p>
    <w:p>
      <w:pPr>
        <w:pStyle w:val="ListParagraph"/>
        <w:numPr>
          <w:ilvl w:val="0"/>
          <w:numId w:val="1"/>
        </w:numPr>
        <w:spacing w:after="60"/>
        <w:ind w:left="720"/>
      </w:pPr>
      <w:r>
        <w:rPr>
          <w:rFonts w:ascii="Calibri" w:cs="Calibri" w:eastAsia="Calibri" w:hAnsi="Calibri"/>
          <w:sz w:val="21"/>
          <w:szCs w:val="21"/>
        </w:rPr>
        <w:t xml:space="preserve">Cross-platform identity mapping may use any conferencing API (Microsoft Graph, Zoom REST, Webex SDK, Google Meet API, or equivalent). The mapping logic is platform-agnostic.</w:t>
      </w:r>
    </w:p>
    <w:p>
      <w:pPr>
        <w:pStyle w:val="ListParagraph"/>
        <w:numPr>
          <w:ilvl w:val="0"/>
          <w:numId w:val="1"/>
        </w:numPr>
        <w:spacing w:after="60"/>
        <w:ind w:left="720"/>
      </w:pPr>
      <w:r>
        <w:rPr>
          <w:rFonts w:ascii="Calibri" w:cs="Calibri" w:eastAsia="Calibri" w:hAnsi="Calibri"/>
          <w:sz w:val="21"/>
          <w:szCs w:val="21"/>
        </w:rPr>
        <w:t xml:space="preserve">The P2P algorithm may use any sentiment analysis model. The mathematical ratio is model-independent.</w:t>
      </w:r>
    </w:p>
    <w:p>
      <w:pPr>
        <w:pStyle w:val="ListParagraph"/>
        <w:numPr>
          <w:ilvl w:val="0"/>
          <w:numId w:val="1"/>
        </w:numPr>
        <w:spacing w:after="60"/>
        <w:ind w:left="720"/>
      </w:pPr>
      <w:r>
        <w:rPr>
          <w:rFonts w:ascii="Calibri" w:cs="Calibri" w:eastAsia="Calibri" w:hAnsi="Calibri"/>
          <w:sz w:val="21"/>
          <w:szCs w:val="21"/>
        </w:rPr>
        <w:t xml:space="preserve">The governance gateway may use any stability scoring methodology. The threshold-based gate is algorithm-independent.</w:t>
      </w:r>
    </w:p>
    <w:p>
      <w:pPr>
        <w:pStyle w:val="ListParagraph"/>
        <w:numPr>
          <w:ilvl w:val="0"/>
          <w:numId w:val="1"/>
        </w:numPr>
        <w:spacing w:after="60"/>
        <w:ind w:left="720"/>
      </w:pPr>
      <w:r>
        <w:rPr>
          <w:rFonts w:ascii="Calibri" w:cs="Calibri" w:eastAsia="Calibri" w:hAnsi="Calibri"/>
          <w:sz w:val="21"/>
          <w:szCs w:val="21"/>
        </w:rPr>
        <w:t xml:space="preserve">Jitter-buffer synchronization may use any statistical method for jitter estimation. The delta-time approach is implementation-independent.</w:t>
      </w:r>
    </w:p>
    <w:p>
      <w:pPr>
        <w:pStyle w:val="ListParagraph"/>
        <w:numPr>
          <w:ilvl w:val="0"/>
          <w:numId w:val="1"/>
        </w:numPr>
        <w:spacing w:after="60"/>
        <w:ind w:left="720"/>
      </w:pPr>
      <w:r>
        <w:rPr>
          <w:rFonts w:ascii="Calibri" w:cs="Calibri" w:eastAsia="Calibri" w:hAnsi="Calibri"/>
          <w:sz w:val="21"/>
          <w:szCs w:val="21"/>
        </w:rPr>
        <w:t xml:space="preserve">The Go Live threshold may be configured per-session, per-client, or globally. The authorization gate is threshold-independent.</w:t>
      </w:r>
    </w:p>
    <w:p>
      <w:pPr>
        <w:pStyle w:val="ListParagraph"/>
        <w:numPr>
          <w:ilvl w:val="0"/>
          <w:numId w:val="1"/>
        </w:numPr>
        <w:spacing w:after="60"/>
        <w:ind w:left="720"/>
      </w:pPr>
      <w:r>
        <w:rPr>
          <w:rFonts w:ascii="Calibri" w:cs="Calibri" w:eastAsia="Calibri" w:hAnsi="Calibri"/>
          <w:sz w:val="21"/>
          <w:szCs w:val="21"/>
        </w:rPr>
        <w:t xml:space="preserve">The Financial State Machine may interface with any payment processor (Stripe, PayFast, Paystack, or equivalent). The Q2C lifecycle is processor-agnostic.</w:t>
      </w:r>
    </w:p>
    <w:p>
      <w:pPr>
        <w:pStyle w:val="ListParagraph"/>
        <w:numPr>
          <w:ilvl w:val="0"/>
          <w:numId w:val="1"/>
        </w:numPr>
        <w:spacing w:after="60"/>
        <w:ind w:left="720"/>
      </w:pPr>
      <w:r>
        <w:rPr>
          <w:rFonts w:ascii="Calibri" w:cs="Calibri" w:eastAsia="Calibri" w:hAnsi="Calibri"/>
          <w:sz w:val="21"/>
          <w:szCs w:val="21"/>
        </w:rPr>
        <w:t xml:space="preserve">The Knowledge Graph may use any graph database or relational representation (Neo4j, in-memory graph, PostgreSQL JSONB, or equivalent). The Digital Twin architecture is storage-independent.</w:t>
      </w:r>
    </w:p>
    <w:p>
      <w:pPr>
        <w:pStyle w:val="ListParagraph"/>
        <w:numPr>
          <w:ilvl w:val="0"/>
          <w:numId w:val="1"/>
        </w:numPr>
        <w:spacing w:after="60"/>
        <w:ind w:left="720"/>
      </w:pPr>
      <w:r>
        <w:rPr>
          <w:rFonts w:ascii="Calibri" w:cs="Calibri" w:eastAsia="Calibri" w:hAnsi="Calibri"/>
          <w:sz w:val="21"/>
          <w:szCs w:val="21"/>
        </w:rPr>
        <w:t xml:space="preserve">The invoicing engine may interface with any accounting system (Xero, QuickBooks, Sage, or equivalent). The event-triggered invoicing is system-agnostic.</w:t>
      </w:r>
    </w:p>
    <w:p>
      <w:pPr>
        <w:pStyle w:val="ListParagraph"/>
        <w:numPr>
          <w:ilvl w:val="0"/>
          <w:numId w:val="1"/>
        </w:numPr>
        <w:spacing w:after="60"/>
        <w:ind w:left="720"/>
      </w:pPr>
      <w:r>
        <w:rPr>
          <w:rFonts w:ascii="Calibri" w:cs="Calibri" w:eastAsia="Calibri" w:hAnsi="Calibri"/>
          <w:sz w:val="21"/>
          <w:szCs w:val="21"/>
        </w:rPr>
        <w:t xml:space="preserve">The Sovereign Data Architecture may use any encryption and identity framework. The zero-trust model is implementation-independent.</w:t>
      </w:r>
    </w:p>
    <w:p>
      <w:pPr>
        <w:pageBreakBefore/>
      </w:pPr>
      <w:r>
        <w:br/>
      </w:r>
    </w:p>
    <w:p>
      <w:pPr>
        <w:spacing w:after="160" w:before="360"/>
      </w:pPr>
      <w:r>
        <w:rPr>
          <w:rFonts w:ascii="Calibri" w:cs="Calibri" w:eastAsia="Calibri" w:hAnsi="Calibri"/>
          <w:b/>
          <w:bCs/>
          <w:color w:val="1B3A5C"/>
          <w:sz w:val="26"/>
          <w:szCs w:val="26"/>
        </w:rPr>
        <w:t xml:space="preserve">14. New Claims (CIP Submission 6) — Claims 56–75</w:t>
      </w:r>
    </w:p>
    <w:p>
      <w:pPr>
        <w:spacing w:after="80" w:before="240"/>
      </w:pPr>
      <w:r>
        <w:rPr>
          <w:rFonts w:ascii="Calibri" w:cs="Calibri" w:eastAsia="Calibri" w:hAnsi="Calibri"/>
          <w:b/>
          <w:bCs/>
          <w:color w:val="1B3A5C"/>
          <w:sz w:val="22"/>
          <w:szCs w:val="22"/>
        </w:rPr>
        <w:t xml:space="preserve">Claim 56 (Independent)</w:t>
      </w:r>
    </w:p>
    <w:p>
      <w:pPr>
        <w:spacing w:after="140"/>
      </w:pPr>
      <w:r>
        <w:rPr>
          <w:rFonts w:ascii="Calibri" w:cs="Calibri" w:eastAsia="Calibri" w:hAnsi="Calibri"/>
          <w:sz w:val="21"/>
          <w:szCs w:val="21"/>
        </w:rPr>
        <w:t xml:space="preserve">A method for autonomous bridge entry comprising the programmatic execution of dual-tone multi-frequency (DTMF) sequences to achieve a persistent audio capture state on a remote telephony bridge without manual user intervention, wherein the system autonomously dials into a third-party conference bridge (PSTN, VoIP, or WebRTC), executes a pre-defined sequence of DTMF signals to bypass participant prompts, validates entry credentials against stored attendee registrations, and enters a silent listener state with the participant muted and startConferenceOnEnter disabled.</w:t>
      </w:r>
    </w:p>
    <w:p>
      <w:pPr>
        <w:spacing w:after="80" w:before="240"/>
      </w:pPr>
      <w:r>
        <w:rPr>
          <w:rFonts w:ascii="Calibri" w:cs="Calibri" w:eastAsia="Calibri" w:hAnsi="Calibri"/>
          <w:b/>
          <w:bCs/>
          <w:color w:val="1B3A5C"/>
          <w:sz w:val="22"/>
          <w:szCs w:val="22"/>
        </w:rPr>
        <w:t xml:space="preserve">Claim 57 (Independent)</w:t>
      </w:r>
    </w:p>
    <w:p>
      <w:pPr>
        <w:spacing w:after="140"/>
      </w:pPr>
      <w:r>
        <w:rPr>
          <w:rFonts w:ascii="Calibri" w:cs="Calibri" w:eastAsia="Calibri" w:hAnsi="Calibri"/>
          <w:sz w:val="21"/>
          <w:szCs w:val="21"/>
        </w:rPr>
        <w:t xml:space="preserve">A deterministic scoring system for AI-generated tools that evaluates every system-generated output using a weighted sum of three mathematical dimensions: Depth (weight 0.40, measuring content detail), Breadth (weight 0.30, measuring cross-referencing completeness), and Specificity (weight 0.30, measuring the inverse ratio of generic boilerplate phrases filtered against a pre-defined Noise Library to technical disclosures), expressed as Q = (0.40 × D) + (0.30 × B) + (0.30 × S).</w:t>
      </w:r>
    </w:p>
    <w:p>
      <w:pPr>
        <w:spacing w:after="80" w:before="240"/>
      </w:pPr>
      <w:r>
        <w:rPr>
          <w:rFonts w:ascii="Calibri" w:cs="Calibri" w:eastAsia="Calibri" w:hAnsi="Calibri"/>
          <w:b/>
          <w:bCs/>
          <w:color w:val="1B3A5C"/>
          <w:sz w:val="22"/>
          <w:szCs w:val="22"/>
        </w:rPr>
        <w:t xml:space="preserve">Claim 58 (Independent)</w:t>
      </w:r>
    </w:p>
    <w:p>
      <w:pPr>
        <w:spacing w:after="140"/>
      </w:pPr>
      <w:r>
        <w:rPr>
          <w:rFonts w:ascii="Calibri" w:cs="Calibri" w:eastAsia="Calibri" w:hAnsi="Calibri"/>
          <w:sz w:val="21"/>
          <w:szCs w:val="21"/>
        </w:rPr>
        <w:t xml:space="preserve">A temporal decay mechanism for autonomous machine learning that applies an exponential half-life function W(t) = 0.5 ^ (age_in_days / 14) to historical observation weights, ensuring the system prioritizes current market and regulatory conditions over stale data, with observations decayed below 0.25 excluded from active evidence counts.</w:t>
      </w:r>
    </w:p>
    <w:p>
      <w:pPr>
        <w:spacing w:after="80" w:before="240"/>
      </w:pPr>
      <w:r>
        <w:rPr>
          <w:rFonts w:ascii="Calibri" w:cs="Calibri" w:eastAsia="Calibri" w:hAnsi="Calibri"/>
          <w:b/>
          <w:bCs/>
          <w:color w:val="1B3A5C"/>
          <w:sz w:val="22"/>
          <w:szCs w:val="22"/>
        </w:rPr>
        <w:t xml:space="preserve">Claim 59 (Independent)</w:t>
      </w:r>
    </w:p>
    <w:p>
      <w:pPr>
        <w:spacing w:after="140"/>
      </w:pPr>
      <w:r>
        <w:rPr>
          <w:rFonts w:ascii="Calibri" w:cs="Calibri" w:eastAsia="Calibri" w:hAnsi="Calibri"/>
          <w:sz w:val="21"/>
          <w:szCs w:val="21"/>
        </w:rPr>
        <w:t xml:space="preserve">An AGI-based compliance co-pilot that executes real-time auto-remediation of live speech signals against a consolidated database of multi-jurisdictional regulatory frameworks including ZA_JSE, US_SEC, UK_FCA, and EU_ESMA, performing predictive risk analysis, forward-looking statement detection, selective disclosure violation checks, disclaimer adequacy assessment, and automated policy generation.</w:t>
      </w:r>
    </w:p>
    <w:p>
      <w:pPr>
        <w:spacing w:after="80" w:before="240"/>
      </w:pPr>
      <w:r>
        <w:rPr>
          <w:rFonts w:ascii="Calibri" w:cs="Calibri" w:eastAsia="Calibri" w:hAnsi="Calibri"/>
          <w:b/>
          <w:bCs/>
          <w:color w:val="1B3A5C"/>
          <w:sz w:val="22"/>
          <w:szCs w:val="22"/>
        </w:rPr>
        <w:t xml:space="preserve">Claim 60 (Independent)</w:t>
      </w:r>
    </w:p>
    <w:p>
      <w:pPr>
        <w:spacing w:after="140"/>
      </w:pPr>
      <w:r>
        <w:rPr>
          <w:rFonts w:ascii="Calibri" w:cs="Calibri" w:eastAsia="Calibri" w:hAnsi="Calibri"/>
          <w:sz w:val="21"/>
          <w:szCs w:val="21"/>
        </w:rPr>
        <w:t xml:space="preserve">The use of SHA-256 hash-chained blockchain certificates to verify the integrity, timing, and content of compliance remediations performed during a live event, wherein each Q&amp;A session generates a genesis block followed by sequential question blocks with previousHash linking, and a final certificate hash computed over the complete chain for tamper-evident audit trail verification.</w:t>
      </w:r>
    </w:p>
    <w:p>
      <w:pPr>
        <w:spacing w:after="80" w:before="240"/>
      </w:pPr>
      <w:r>
        <w:rPr>
          <w:rFonts w:ascii="Calibri" w:cs="Calibri" w:eastAsia="Calibri" w:hAnsi="Calibri"/>
          <w:b/>
          <w:bCs/>
          <w:color w:val="1B3A5C"/>
          <w:sz w:val="22"/>
          <w:szCs w:val="22"/>
        </w:rPr>
        <w:t xml:space="preserve">Claim 61 (Independent)</w:t>
      </w:r>
    </w:p>
    <w:p>
      <w:pPr>
        <w:spacing w:after="140"/>
      </w:pPr>
      <w:r>
        <w:rPr>
          <w:rFonts w:ascii="Calibri" w:cs="Calibri" w:eastAsia="Calibri" w:hAnsi="Calibri"/>
          <w:sz w:val="21"/>
          <w:szCs w:val="21"/>
        </w:rPr>
        <w:t xml:space="preserve">A system for cross-platform event orchestration comprising a synchronization engine that maps external attendee identifiers (name, email, company) from a Q&amp;A submission database to native conferencing participant IDs on third-party platforms (Microsoft Teams, Zoom, Webex) via their respective APIs, enabling remote audio state control (mute, unmute, spotlight) from a non-native operator interface.</w:t>
      </w:r>
    </w:p>
    <w:p>
      <w:pPr>
        <w:spacing w:after="80" w:before="240"/>
      </w:pPr>
      <w:r>
        <w:rPr>
          <w:rFonts w:ascii="Calibri" w:cs="Calibri" w:eastAsia="Calibri" w:hAnsi="Calibri"/>
          <w:b/>
          <w:bCs/>
          <w:color w:val="1B3A5C"/>
          <w:sz w:val="22"/>
          <w:szCs w:val="22"/>
        </w:rPr>
        <w:t xml:space="preserve">Claim 62 (Independent)</w:t>
      </w:r>
    </w:p>
    <w:p>
      <w:pPr>
        <w:spacing w:after="140"/>
      </w:pPr>
      <w:r>
        <w:rPr>
          <w:rFonts w:ascii="Calibri" w:cs="Calibri" w:eastAsia="Calibri" w:hAnsi="Calibri"/>
          <w:sz w:val="21"/>
          <w:szCs w:val="21"/>
        </w:rPr>
        <w:t xml:space="preserve">A method for unmuting participants in a live session where the trigger for the "Go Live" command is a numerical Triage Score generated by an AI model analysing the participant's text submission, wherein the command is only authorized if the triage score meets a configurable minimum threshold (default: 40/100) AND the compliance risk score does not exceed 70/100, with the authorization result including a structured reason, automatic session counter updates, and real-time event emission.</w:t>
      </w:r>
    </w:p>
    <w:p>
      <w:pPr>
        <w:spacing w:after="80" w:before="240"/>
      </w:pPr>
      <w:r>
        <w:rPr>
          <w:rFonts w:ascii="Calibri" w:cs="Calibri" w:eastAsia="Calibri" w:hAnsi="Calibri"/>
          <w:b/>
          <w:bCs/>
          <w:color w:val="1B3A5C"/>
          <w:sz w:val="22"/>
          <w:szCs w:val="22"/>
        </w:rPr>
        <w:t xml:space="preserve">Claim 63 (Dependent on Claim 61)</w:t>
      </w:r>
    </w:p>
    <w:p>
      <w:pPr>
        <w:spacing w:after="140"/>
      </w:pPr>
      <w:r>
        <w:rPr>
          <w:rFonts w:ascii="Calibri" w:cs="Calibri" w:eastAsia="Calibri" w:hAnsi="Calibri"/>
          <w:sz w:val="21"/>
          <w:szCs w:val="21"/>
        </w:rPr>
        <w:t xml:space="preserve">The system of Claim 61, further comprising a platform-agnostic Wrapper Architecture that embeds third-party communication SDKs (Microsoft Teams SDK, Zoom Video SDK, Webex SDK) within a proprietary compliance dashboard to enable centralized event management, providing the operator with native platform controls alongside AI triage, compliance screening, and blockchain certification in a single interface.</w:t>
      </w:r>
    </w:p>
    <w:p>
      <w:pPr>
        <w:spacing w:after="80" w:before="240"/>
      </w:pPr>
      <w:r>
        <w:rPr>
          <w:rFonts w:ascii="Calibri" w:cs="Calibri" w:eastAsia="Calibri" w:hAnsi="Calibri"/>
          <w:b/>
          <w:bCs/>
          <w:color w:val="1B3A5C"/>
          <w:sz w:val="22"/>
          <w:szCs w:val="22"/>
        </w:rPr>
        <w:t xml:space="preserve">Claim 64 (Independent)</w:t>
      </w:r>
    </w:p>
    <w:p>
      <w:pPr>
        <w:spacing w:after="140"/>
      </w:pPr>
      <w:r>
        <w:rPr>
          <w:rFonts w:ascii="Calibri" w:cs="Calibri" w:eastAsia="Calibri" w:hAnsi="Calibri"/>
          <w:sz w:val="21"/>
          <w:szCs w:val="21"/>
        </w:rPr>
        <w:t xml:space="preserve">A governance gateway for autonomous AI that prevents the deployment of system-generated tools until they pass a deterministic safety validation comprising: (a) a Stability Score exceeding a threshold (default: 0.65), computed as the weighted sum of decayed evidence score (50%), consistency rate (30%), and inverse failure rate (20%); (b) a minimum number of consistent observations (default: 3) with confidence ≥ 0.50; (c) a failure rate not exceeding 30%; and (d) for tools impacting compliance-critical modules, an elevated stability threshold of 0.75.</w:t>
      </w:r>
    </w:p>
    <w:p>
      <w:pPr>
        <w:spacing w:after="80" w:before="240"/>
      </w:pPr>
      <w:r>
        <w:rPr>
          <w:rFonts w:ascii="Calibri" w:cs="Calibri" w:eastAsia="Calibri" w:hAnsi="Calibri"/>
          <w:b/>
          <w:bCs/>
          <w:color w:val="1B3A5C"/>
          <w:sz w:val="22"/>
          <w:szCs w:val="22"/>
        </w:rPr>
        <w:t xml:space="preserve">Claim 65 (Independent)</w:t>
      </w:r>
    </w:p>
    <w:p>
      <w:pPr>
        <w:spacing w:after="140"/>
      </w:pPr>
      <w:r>
        <w:rPr>
          <w:rFonts w:ascii="Calibri" w:cs="Calibri" w:eastAsia="Calibri" w:hAnsi="Calibri"/>
          <w:sz w:val="21"/>
          <w:szCs w:val="21"/>
        </w:rPr>
        <w:t xml:space="preserve">A method for prioritizing live Q&amp;A inquiries using a Polarity-to-Priority (P2P) Algorithm that calculates a mathematical ratio of sentiment polarity to disclosure urgency, expressed as P2P Rank = (Polarity Weight × 0.40) + (Normalized Polarity Score × 0.25) + (Normalized Disclosure Urgency × 0.35), where polarity weights are: adversarial (1.00), negative (0.75), neutral (0.40), positive (0.20), and the P2P rank is blended into the effective priority score as Effective Priority = (Base Priority × 0.60) + (P2P Rank × 0.40).</w:t>
      </w:r>
    </w:p>
    <w:p>
      <w:pPr>
        <w:spacing w:after="80" w:before="240"/>
      </w:pPr>
      <w:r>
        <w:rPr>
          <w:rFonts w:ascii="Calibri" w:cs="Calibri" w:eastAsia="Calibri" w:hAnsi="Calibri"/>
          <w:b/>
          <w:bCs/>
          <w:color w:val="1B3A5C"/>
          <w:sz w:val="22"/>
          <w:szCs w:val="22"/>
        </w:rPr>
        <w:t xml:space="preserve">Claim 66 (Independent)</w:t>
      </w:r>
    </w:p>
    <w:p>
      <w:pPr>
        <w:spacing w:after="140"/>
      </w:pPr>
      <w:r>
        <w:rPr>
          <w:rFonts w:ascii="Calibri" w:cs="Calibri" w:eastAsia="Calibri" w:hAnsi="Calibri"/>
          <w:sz w:val="21"/>
          <w:szCs w:val="21"/>
        </w:rPr>
        <w:t xml:space="preserve">A synchronization method for silent monitoring agents that utilizes predictive jitter-buffer synchronization to align real-time transcripts with high-latency telephony bridges, comprising: (a) computing the delta-time between audio signal arrival and transcript generation timestamps; (b) maintaining a rolling average and standard deviation across the most recent 50 samples per session; (c) calculating an adjustment factor as average latency plus half the predicted jitter; (d) applying the adjustment by subtracting it from the transcript timestamp to produce an aligned timestamp; and (e) automatic session state eviction after 8 hours of inactivity.</w:t>
      </w:r>
    </w:p>
    <w:p>
      <w:pPr>
        <w:spacing w:after="80" w:before="240"/>
      </w:pPr>
      <w:r>
        <w:rPr>
          <w:rFonts w:ascii="Calibri" w:cs="Calibri" w:eastAsia="Calibri" w:hAnsi="Calibri"/>
          <w:b/>
          <w:bCs/>
          <w:color w:val="1B3A5C"/>
          <w:sz w:val="22"/>
          <w:szCs w:val="22"/>
        </w:rPr>
        <w:t xml:space="preserve">Claim 67 (Dependent on Claim 56)</w:t>
      </w:r>
    </w:p>
    <w:p>
      <w:pPr>
        <w:spacing w:after="140"/>
      </w:pPr>
      <w:r>
        <w:rPr>
          <w:rFonts w:ascii="Calibri" w:cs="Calibri" w:eastAsia="Calibri" w:hAnsi="Calibri"/>
          <w:sz w:val="21"/>
          <w:szCs w:val="21"/>
        </w:rPr>
        <w:t xml:space="preserve">The method of Claim 56, wherein the DTMF handshake protocol includes a dual-carrier failover mechanism that automatically switches from a primary telephony carrier to a secondary carrier upon connection failure, ensuring uninterrupted bridge connectivity for persistent silent monitoring.</w:t>
      </w:r>
    </w:p>
    <w:p>
      <w:pPr>
        <w:spacing w:after="80" w:before="240"/>
      </w:pPr>
      <w:r>
        <w:rPr>
          <w:rFonts w:ascii="Calibri" w:cs="Calibri" w:eastAsia="Calibri" w:hAnsi="Calibri"/>
          <w:b/>
          <w:bCs/>
          <w:color w:val="1B3A5C"/>
          <w:sz w:val="22"/>
          <w:szCs w:val="22"/>
        </w:rPr>
        <w:t xml:space="preserve">Claim 68 (Dependent on Claim 62)</w:t>
      </w:r>
    </w:p>
    <w:p>
      <w:pPr>
        <w:spacing w:after="140"/>
      </w:pPr>
      <w:r>
        <w:rPr>
          <w:rFonts w:ascii="Calibri" w:cs="Calibri" w:eastAsia="Calibri" w:hAnsi="Calibri"/>
          <w:sz w:val="21"/>
          <w:szCs w:val="21"/>
        </w:rPr>
        <w:t xml:space="preserve">The method of Claim 62, wherein the Go Live authorization gate is configurable per-session by the operator, allowing dynamic adjustment of the minimum triage score threshold and maximum compliance risk score based on the regulatory jurisdiction and event type.</w:t>
      </w:r>
    </w:p>
    <w:p>
      <w:pPr>
        <w:spacing w:after="80" w:before="240"/>
      </w:pPr>
      <w:r>
        <w:rPr>
          <w:rFonts w:ascii="Calibri" w:cs="Calibri" w:eastAsia="Calibri" w:hAnsi="Calibri"/>
          <w:b/>
          <w:bCs/>
          <w:color w:val="1B3A5C"/>
          <w:sz w:val="22"/>
          <w:szCs w:val="22"/>
        </w:rPr>
        <w:t xml:space="preserve">Claim 69 (Dependent on Claim 64)</w:t>
      </w:r>
    </w:p>
    <w:p>
      <w:pPr>
        <w:spacing w:after="140"/>
      </w:pPr>
      <w:r>
        <w:rPr>
          <w:rFonts w:ascii="Calibri" w:cs="Calibri" w:eastAsia="Calibri" w:hAnsi="Calibri"/>
          <w:sz w:val="21"/>
          <w:szCs w:val="21"/>
        </w:rPr>
        <w:t xml:space="preserve">The governance gateway of Claim 64, wherein all governance decisions — including passed, blocked, and deferred tool promotions — are recorded in an immutable SHA-256 hash-chained audit log that provides a tamper-evident trail of autonomous AI deployment decisions for regulatory review.</w:t>
      </w:r>
    </w:p>
    <w:p>
      <w:pPr>
        <w:spacing w:after="80" w:before="240"/>
      </w:pPr>
      <w:r>
        <w:rPr>
          <w:rFonts w:ascii="Calibri" w:cs="Calibri" w:eastAsia="Calibri" w:hAnsi="Calibri"/>
          <w:b/>
          <w:bCs/>
          <w:color w:val="1B3A5C"/>
          <w:sz w:val="22"/>
          <w:szCs w:val="22"/>
        </w:rPr>
        <w:t xml:space="preserve">Claim 70 (Dependent on Claim 66)</w:t>
      </w:r>
    </w:p>
    <w:p>
      <w:pPr>
        <w:spacing w:after="140"/>
      </w:pPr>
      <w:r>
        <w:rPr>
          <w:rFonts w:ascii="Calibri" w:cs="Calibri" w:eastAsia="Calibri" w:hAnsi="Calibri"/>
          <w:sz w:val="21"/>
          <w:szCs w:val="21"/>
        </w:rPr>
        <w:t xml:space="preserve">The synchronization method of Claim 66, wherein the system classifies real-time latency into categories (low ≤ 200ms, moderate ≤ 500ms, high ≤ 1500ms, critical &gt; 1500ms) and reports latency health status to the operator console, enabling proactive intervention when network conditions degrade below acceptable thresholds.</w:t>
      </w:r>
    </w:p>
    <w:p>
      <w:pPr>
        <w:spacing w:after="80" w:before="240"/>
      </w:pPr>
      <w:r>
        <w:rPr>
          <w:rFonts w:ascii="Calibri" w:cs="Calibri" w:eastAsia="Calibri" w:hAnsi="Calibri"/>
          <w:b/>
          <w:bCs/>
          <w:color w:val="1B3A5C"/>
          <w:sz w:val="22"/>
          <w:szCs w:val="22"/>
        </w:rPr>
        <w:t xml:space="preserve">Claim 71 (Independent — AEOS System)</w:t>
      </w:r>
    </w:p>
    <w:p>
      <w:pPr>
        <w:spacing w:after="140"/>
      </w:pPr>
      <w:r>
        <w:rPr>
          <w:rFonts w:ascii="Calibri" w:cs="Calibri" w:eastAsia="Calibri" w:hAnsi="Calibri"/>
          <w:sz w:val="21"/>
          <w:szCs w:val="21"/>
        </w:rPr>
        <w:t xml:space="preserve">An autonomous enterprise operating system comprising a Deterministic Financial State Machine that governs a complete Quote-to-Cash lifecycle without human intervention, including: (a) a Predictive Quoting Engine that calculates pricing by cross-referencing real-time resource availability with a Predictive Demand Vector; (b) an Autonomous Registration Bridge that provisions event infrastructure upon digital signature detection; (c) an Event-Triggered Invoicing system that programmatically generates cryptographically signed invoices upon Service-Complete signal; and (d) a Self-Healing Reconciliation Layer that correlates payments using SHA-256 hash matching and autonomously resolves discrepancies.</w:t>
      </w:r>
    </w:p>
    <w:p>
      <w:pPr>
        <w:spacing w:after="80" w:before="240"/>
      </w:pPr>
      <w:r>
        <w:rPr>
          <w:rFonts w:ascii="Calibri" w:cs="Calibri" w:eastAsia="Calibri" w:hAnsi="Calibri"/>
          <w:b/>
          <w:bCs/>
          <w:color w:val="1B3A5C"/>
          <w:sz w:val="22"/>
          <w:szCs w:val="22"/>
        </w:rPr>
        <w:t xml:space="preserve">Claim 72 (Dependent on Claim 71)</w:t>
      </w:r>
    </w:p>
    <w:p>
      <w:pPr>
        <w:spacing w:after="140"/>
      </w:pPr>
      <w:r>
        <w:rPr>
          <w:rFonts w:ascii="Calibri" w:cs="Calibri" w:eastAsia="Calibri" w:hAnsi="Calibri"/>
          <w:sz w:val="21"/>
          <w:szCs w:val="21"/>
        </w:rPr>
        <w:t xml:space="preserve">The system of Claim 71, further comprising an Organizational Knowledge Graph Digital Twin that stores the company's personality, communication style, historical intelligence, relationship maps, and goal frameworks, enabling predictive resource allocation and autonomous preparation of crisis briefs based on event sentiment trends weighted by an exponential temporal decay function.</w:t>
      </w:r>
    </w:p>
    <w:p>
      <w:pPr>
        <w:spacing w:after="80" w:before="240"/>
      </w:pPr>
      <w:r>
        <w:rPr>
          <w:rFonts w:ascii="Calibri" w:cs="Calibri" w:eastAsia="Calibri" w:hAnsi="Calibri"/>
          <w:b/>
          <w:bCs/>
          <w:color w:val="1B3A5C"/>
          <w:sz w:val="22"/>
          <w:szCs w:val="22"/>
        </w:rPr>
        <w:t xml:space="preserve">Claim 73 (Dependent on Claim 71)</w:t>
      </w:r>
    </w:p>
    <w:p>
      <w:pPr>
        <w:spacing w:after="140"/>
      </w:pPr>
      <w:r>
        <w:rPr>
          <w:rFonts w:ascii="Calibri" w:cs="Calibri" w:eastAsia="Calibri" w:hAnsi="Calibri"/>
          <w:sz w:val="21"/>
          <w:szCs w:val="21"/>
        </w:rPr>
        <w:t xml:space="preserve">The system of Claim 71, wherein the AEOS exposes a Modal-Agnostic Semantic API that describes every system capability in structured natural language, enabling external AI systems to discover, understand, and invoke any platform capability without pre-programmed integrations, and supporting natural language commands that trigger complex multi-module workflows.</w:t>
      </w:r>
    </w:p>
    <w:p>
      <w:pPr>
        <w:spacing w:after="80" w:before="240"/>
      </w:pPr>
      <w:r>
        <w:rPr>
          <w:rFonts w:ascii="Calibri" w:cs="Calibri" w:eastAsia="Calibri" w:hAnsi="Calibri"/>
          <w:b/>
          <w:bCs/>
          <w:color w:val="1B3A5C"/>
          <w:sz w:val="22"/>
          <w:szCs w:val="22"/>
        </w:rPr>
        <w:t xml:space="preserve">Claim 74 (Dependent on Claim 71)</w:t>
      </w:r>
    </w:p>
    <w:p>
      <w:pPr>
        <w:spacing w:after="140"/>
      </w:pPr>
      <w:r>
        <w:rPr>
          <w:rFonts w:ascii="Calibri" w:cs="Calibri" w:eastAsia="Calibri" w:hAnsi="Calibri"/>
          <w:sz w:val="21"/>
          <w:szCs w:val="21"/>
        </w:rPr>
        <w:t xml:space="preserve">The system of Claim 71, further comprising a Sovereign Data Architecture with logically isolated per-client Knowledge Graphs, zero-trust cryptographic identity validation for every API call, and configurable data residency compliance supporting POPIA, GDPR, and SOX jurisdictional requirements.</w:t>
      </w:r>
    </w:p>
    <w:p>
      <w:pPr>
        <w:spacing w:after="80" w:before="240"/>
      </w:pPr>
      <w:r>
        <w:rPr>
          <w:rFonts w:ascii="Calibri" w:cs="Calibri" w:eastAsia="Calibri" w:hAnsi="Calibri"/>
          <w:b/>
          <w:bCs/>
          <w:color w:val="1B3A5C"/>
          <w:sz w:val="22"/>
          <w:szCs w:val="22"/>
        </w:rPr>
        <w:t xml:space="preserve">Claim 75 (Dependent on Claim 57)</w:t>
      </w:r>
    </w:p>
    <w:p>
      <w:pPr>
        <w:spacing w:after="140"/>
      </w:pPr>
      <w:r>
        <w:rPr>
          <w:rFonts w:ascii="Calibri" w:cs="Calibri" w:eastAsia="Calibri" w:hAnsi="Calibri"/>
          <w:sz w:val="21"/>
          <w:szCs w:val="21"/>
        </w:rPr>
        <w:t xml:space="preserve">The method of Claim 57, wherein the deterministic quality scoring and autonomous governance gateway extend to full enterprise operations including billing accuracy validation, resource prediction verification, and financial state machine outputs, with deterministic stability validation applied before any autonomous financial action is executed.</w:t>
      </w:r>
    </w:p>
    <w:p>
      <w:pPr>
        <w:pageBreakBefore/>
      </w:pPr>
      <w:r>
        <w:br/>
      </w:r>
    </w:p>
    <w:p>
      <w:pPr>
        <w:spacing w:after="160" w:before="360"/>
      </w:pPr>
      <w:r>
        <w:rPr>
          <w:rFonts w:ascii="Calibri" w:cs="Calibri" w:eastAsia="Calibri" w:hAnsi="Calibri"/>
          <w:b/>
          <w:bCs/>
          <w:color w:val="1B3A5C"/>
          <w:sz w:val="26"/>
          <w:szCs w:val="26"/>
        </w:rPr>
        <w:t xml:space="preserve">15. Updated Drawings (FIG 31–35)</w:t>
      </w:r>
    </w:p>
    <w:p>
      <w:pPr>
        <w:spacing w:after="80" w:before="200"/>
        <w:jc w:val="center"/>
      </w:pPr>
      <w:r>
        <w:rPr>
          <w:rFonts w:ascii="Calibri" w:cs="Calibri" w:eastAsia="Calibri" w:hAnsi="Calibri"/>
          <w:b/>
          <w:bCs/>
          <w:color w:val="1B3A5C"/>
          <w:sz w:val="22"/>
          <w:szCs w:val="22"/>
        </w:rPr>
        <w:t xml:space="preserve">FIG 31 — Cross-Platform Event Orchestration Architecture</w:t>
      </w:r>
    </w:p>
    <w:p>
      <w:pPr>
        <w:shd w:fill="F8F8F8" w:color="F8F8F8" w:val="solid"/>
        <w:spacing w:after="0" w:before="0" w:line="260"/>
      </w:pPr>
      <w:r>
        <w:rPr>
          <w:rFonts w:ascii="Consolas" w:cs="Consolas" w:eastAsia="Consolas" w:hAnsi="Consolas"/>
          <w:color w:val="333333"/>
          <w:sz w:val="17"/>
          <w:szCs w:val="17"/>
        </w:rPr>
        <w:t xml:space="preserve">╔══════════════════════════════════════════════════════════════════════════╗</w:t>
      </w:r>
    </w:p>
    <w:p>
      <w:pPr>
        <w:shd w:fill="F8F8F8" w:color="F8F8F8" w:val="solid"/>
        <w:spacing w:after="0" w:before="0" w:line="260"/>
      </w:pPr>
      <w:r>
        <w:rPr>
          <w:rFonts w:ascii="Consolas" w:cs="Consolas" w:eastAsia="Consolas" w:hAnsi="Consolas"/>
          <w:color w:val="333333"/>
          <w:sz w:val="17"/>
          <w:szCs w:val="17"/>
        </w:rPr>
        <w:t xml:space="preserve">║     CROSS-PLATFORM EVENT ORCHESTRATION ARCHITECTURE                         ║</w:t>
      </w:r>
    </w:p>
    <w:p>
      <w:pPr>
        <w:shd w:fill="F8F8F8" w:color="F8F8F8" w:val="solid"/>
        <w:spacing w:after="0" w:before="0" w:line="260"/>
      </w:pPr>
      <w:r>
        <w:rPr>
          <w:rFonts w:ascii="Consolas" w:cs="Consolas" w:eastAsia="Consolas" w:hAnsi="Consolas"/>
          <w:color w:val="333333"/>
          <w:sz w:val="17"/>
          <w:szCs w:val="17"/>
        </w:rPr>
        <w:t xml:space="preserve">╠══════════════════════════════════════════════════════════════════════════╣</w:t>
      </w:r>
    </w:p>
    <w:p>
      <w:pPr>
        <w:shd w:fill="F8F8F8" w:color="F8F8F8" w:val="solid"/>
        <w:spacing w:after="0" w:before="0" w:line="260"/>
      </w:pPr>
      <w:r>
        <w:rPr>
          <w:rFonts w:ascii="Consolas" w:cs="Consolas" w:eastAsia="Consolas" w:hAnsi="Consolas"/>
          <w:color w:val="333333"/>
          <w:sz w:val="17"/>
          <w:szCs w:val="17"/>
        </w:rPr>
        <w:t xml:space="preserve">║                                                                             ║</w:t>
      </w:r>
    </w:p>
    <w:p>
      <w:pPr>
        <w:shd w:fill="F8F8F8" w:color="F8F8F8" w:val="solid"/>
        <w:spacing w:after="0" w:before="0" w:line="260"/>
      </w:pPr>
      <w:r>
        <w:rPr>
          <w:rFonts w:ascii="Consolas" w:cs="Consolas" w:eastAsia="Consolas" w:hAnsi="Consolas"/>
          <w:color w:val="333333"/>
          <w:sz w:val="17"/>
          <w:szCs w:val="17"/>
        </w:rPr>
        <w:t xml:space="preserve">║   ATTENDEE LAYER                  CURALIVE INTELLIGENCE                     ║</w:t>
      </w:r>
    </w:p>
    <w:p>
      <w:pPr>
        <w:shd w:fill="F8F8F8" w:color="F8F8F8" w:val="solid"/>
        <w:spacing w:after="0" w:before="0" w:line="260"/>
      </w:pPr>
      <w:r>
        <w:rPr>
          <w:rFonts w:ascii="Consolas" w:cs="Consolas" w:eastAsia="Consolas" w:hAnsi="Consolas"/>
          <w:color w:val="333333"/>
          <w:sz w:val="17"/>
          <w:szCs w:val="17"/>
        </w:rPr>
        <w:t xml:space="preserve">║   ┌─────────────────┐             ┌──────────────────────────────────┐      ║</w:t>
      </w:r>
    </w:p>
    <w:p>
      <w:pPr>
        <w:shd w:fill="F8F8F8" w:color="F8F8F8" w:val="solid"/>
        <w:spacing w:after="0" w:before="0" w:line="260"/>
      </w:pPr>
      <w:r>
        <w:rPr>
          <w:rFonts w:ascii="Consolas" w:cs="Consolas" w:eastAsia="Consolas" w:hAnsi="Consolas"/>
          <w:color w:val="333333"/>
          <w:sz w:val="17"/>
          <w:szCs w:val="17"/>
        </w:rPr>
        <w:t xml:space="preserve">║   │ /qa/:accessCode  │             │ AI Triage Engine (GPT-4o-mini)   │      ║</w:t>
      </w:r>
    </w:p>
    <w:p>
      <w:pPr>
        <w:shd w:fill="F8F8F8" w:color="F8F8F8" w:val="solid"/>
        <w:spacing w:after="0" w:before="0" w:line="260"/>
      </w:pPr>
      <w:r>
        <w:rPr>
          <w:rFonts w:ascii="Consolas" w:cs="Consolas" w:eastAsia="Consolas" w:hAnsi="Consolas"/>
          <w:color w:val="333333"/>
          <w:sz w:val="17"/>
          <w:szCs w:val="17"/>
        </w:rPr>
        <w:t xml:space="preserve">║   │ • Mobile-first   │ ──submit──▶ │ • Category classification        │      ║</w:t>
      </w:r>
    </w:p>
    <w:p>
      <w:pPr>
        <w:shd w:fill="F8F8F8" w:color="F8F8F8" w:val="solid"/>
        <w:spacing w:after="0" w:before="0" w:line="260"/>
      </w:pPr>
      <w:r>
        <w:rPr>
          <w:rFonts w:ascii="Consolas" w:cs="Consolas" w:eastAsia="Consolas" w:hAnsi="Consolas"/>
          <w:color w:val="333333"/>
          <w:sz w:val="17"/>
          <w:szCs w:val="17"/>
        </w:rPr>
        <w:t xml:space="preserve">║   │ • Voice-to-Text  │             │ • P2P Priority Rank (Claim 65)   │      ║</w:t>
      </w:r>
    </w:p>
    <w:p>
      <w:pPr>
        <w:shd w:fill="F8F8F8" w:color="F8F8F8" w:val="solid"/>
        <w:spacing w:after="0" w:before="0" w:line="260"/>
      </w:pPr>
      <w:r>
        <w:rPr>
          <w:rFonts w:ascii="Consolas" w:cs="Consolas" w:eastAsia="Consolas" w:hAnsi="Consolas"/>
          <w:color w:val="333333"/>
          <w:sz w:val="17"/>
          <w:szCs w:val="17"/>
        </w:rPr>
        <w:t xml:space="preserve">║   │ • Anonymous opt  │             │ • Compliance risk score (0–100)  │      ║</w:t>
      </w:r>
    </w:p>
    <w:p>
      <w:pPr>
        <w:shd w:fill="F8F8F8" w:color="F8F8F8" w:val="solid"/>
        <w:spacing w:after="0" w:before="0" w:line="260"/>
      </w:pPr>
      <w:r>
        <w:rPr>
          <w:rFonts w:ascii="Consolas" w:cs="Consolas" w:eastAsia="Consolas" w:hAnsi="Consolas"/>
          <w:color w:val="333333"/>
          <w:sz w:val="17"/>
          <w:szCs w:val="17"/>
        </w:rPr>
        <w:t xml:space="preserve">║   │ • No login req   │             │ • Triage score (0–100)           │      ║</w:t>
      </w:r>
    </w:p>
    <w:p>
      <w:pPr>
        <w:shd w:fill="F8F8F8" w:color="F8F8F8" w:val="solid"/>
        <w:spacing w:after="0" w:before="0" w:line="260"/>
      </w:pPr>
      <w:r>
        <w:rPr>
          <w:rFonts w:ascii="Consolas" w:cs="Consolas" w:eastAsia="Consolas" w:hAnsi="Consolas"/>
          <w:color w:val="333333"/>
          <w:sz w:val="17"/>
          <w:szCs w:val="17"/>
        </w:rPr>
        <w:t xml:space="preserve">║   └─────────────────┘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                ▼      ║</w:t>
      </w:r>
    </w:p>
    <w:p>
      <w:pPr>
        <w:shd w:fill="F8F8F8" w:color="F8F8F8" w:val="solid"/>
        <w:spacing w:after="0" w:before="0" w:line="260"/>
      </w:pPr>
      <w:r>
        <w:rPr>
          <w:rFonts w:ascii="Consolas" w:cs="Consolas" w:eastAsia="Consolas" w:hAnsi="Consolas"/>
          <w:color w:val="333333"/>
          <w:sz w:val="17"/>
          <w:szCs w:val="17"/>
        </w:rPr>
        <w:t xml:space="preserve">║   ┌──────────────────┐  ┌──────────────────┐  ┌────────────────┐         ║</w:t>
      </w:r>
    </w:p>
    <w:p>
      <w:pPr>
        <w:shd w:fill="F8F8F8" w:color="F8F8F8" w:val="solid"/>
        <w:spacing w:after="0" w:before="0" w:line="260"/>
      </w:pPr>
      <w:r>
        <w:rPr>
          <w:rFonts w:ascii="Consolas" w:cs="Consolas" w:eastAsia="Consolas" w:hAnsi="Consolas"/>
          <w:color w:val="333333"/>
          <w:sz w:val="17"/>
          <w:szCs w:val="17"/>
        </w:rPr>
        <w:t xml:space="preserve">║   │ GO LIVE GATE      │  │ Identity Mapping  │  │ MySQL Database │         ║</w:t>
      </w:r>
    </w:p>
    <w:p>
      <w:pPr>
        <w:shd w:fill="F8F8F8" w:color="F8F8F8" w:val="solid"/>
        <w:spacing w:after="0" w:before="0" w:line="260"/>
      </w:pPr>
      <w:r>
        <w:rPr>
          <w:rFonts w:ascii="Consolas" w:cs="Consolas" w:eastAsia="Consolas" w:hAnsi="Consolas"/>
          <w:color w:val="333333"/>
          <w:sz w:val="17"/>
          <w:szCs w:val="17"/>
        </w:rPr>
        <w:t xml:space="preserve">║   │ (Claim 62)        │  │ (Claim 61)        │  │ (5 tables)     │         ║</w:t>
      </w:r>
    </w:p>
    <w:p>
      <w:pPr>
        <w:shd w:fill="F8F8F8" w:color="F8F8F8" w:val="solid"/>
        <w:spacing w:after="0" w:before="0" w:line="260"/>
      </w:pPr>
      <w:r>
        <w:rPr>
          <w:rFonts w:ascii="Consolas" w:cs="Consolas" w:eastAsia="Consolas" w:hAnsi="Consolas"/>
          <w:color w:val="333333"/>
          <w:sz w:val="17"/>
          <w:szCs w:val="17"/>
        </w:rPr>
        <w:t xml:space="preserve">║   │ • Triage ≥ 40     │  │ • Name/email      │  │ • sessions     │         ║</w:t>
      </w:r>
    </w:p>
    <w:p>
      <w:pPr>
        <w:shd w:fill="F8F8F8" w:color="F8F8F8" w:val="solid"/>
        <w:spacing w:after="0" w:before="0" w:line="260"/>
      </w:pPr>
      <w:r>
        <w:rPr>
          <w:rFonts w:ascii="Consolas" w:cs="Consolas" w:eastAsia="Consolas" w:hAnsi="Consolas"/>
          <w:color w:val="333333"/>
          <w:sz w:val="17"/>
          <w:szCs w:val="17"/>
        </w:rPr>
        <w:t xml:space="preserve">║   │ • Compliance ≤ 70 │  │   correlation     │  │ • questions    │         ║</w:t>
      </w:r>
    </w:p>
    <w:p>
      <w:pPr>
        <w:shd w:fill="F8F8F8" w:color="F8F8F8" w:val="solid"/>
        <w:spacing w:after="0" w:before="0" w:line="260"/>
      </w:pPr>
      <w:r>
        <w:rPr>
          <w:rFonts w:ascii="Consolas" w:cs="Consolas" w:eastAsia="Consolas" w:hAnsi="Consolas"/>
          <w:color w:val="333333"/>
          <w:sz w:val="17"/>
          <w:szCs w:val="17"/>
        </w:rPr>
        <w:t xml:space="preserve">║   │ • authorised: T/F │  │ • Participant ID  │  │ • answers      │         ║</w:t>
      </w:r>
    </w:p>
    <w:p>
      <w:pPr>
        <w:shd w:fill="F8F8F8" w:color="F8F8F8" w:val="solid"/>
        <w:spacing w:after="0" w:before="0" w:line="260"/>
      </w:pPr>
      <w:r>
        <w:rPr>
          <w:rFonts w:ascii="Consolas" w:cs="Consolas" w:eastAsia="Consolas" w:hAnsi="Consolas"/>
          <w:color w:val="333333"/>
          <w:sz w:val="17"/>
          <w:szCs w:val="17"/>
        </w:rPr>
        <w:t xml:space="preserve">║   └────────┬─────────┘  └────────┬─────────┘  └────────────────┘         ║</w:t>
      </w:r>
    </w:p>
    <w:p>
      <w:pPr>
        <w:shd w:fill="F8F8F8" w:color="F8F8F8" w:val="solid"/>
        <w:spacing w:after="0" w:before="0" w:line="260"/>
      </w:pPr>
      <w:r>
        <w:rPr>
          <w:rFonts w:ascii="Consolas" w:cs="Consolas" w:eastAsia="Consolas" w:hAnsi="Consolas"/>
          <w:color w:val="333333"/>
          <w:sz w:val="17"/>
          <w:szCs w:val="17"/>
        </w:rPr>
        <w:t xml:space="preserve">║             ▼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Teams (Graph API) │ Zoom REST API │ Webex SDK │ Others       │       ║</w:t>
      </w:r>
    </w:p>
    <w:p>
      <w:pPr>
        <w:shd w:fill="F8F8F8" w:color="F8F8F8" w:val="solid"/>
        <w:spacing w:after="0" w:before="0" w:line="260"/>
      </w:pPr>
      <w:r>
        <w:rPr>
          <w:rFonts w:ascii="Consolas" w:cs="Consolas" w:eastAsia="Consolas" w:hAnsi="Consolas"/>
          <w:color w:val="333333"/>
          <w:sz w:val="17"/>
          <w:szCs w:val="17"/>
        </w:rPr>
        <w:t xml:space="preserve">║   │  ◄── Mute / Unmute / Spotlight (remote state control) ─────►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w:t>
      </w:r>
    </w:p>
    <w:p>
      <w:pPr>
        <w:spacing w:after="120"/>
      </w:pPr>
    </w:p>
    <w:p>
      <w:pPr>
        <w:spacing w:after="80" w:before="200"/>
        <w:jc w:val="center"/>
      </w:pPr>
      <w:r>
        <w:rPr>
          <w:rFonts w:ascii="Calibri" w:cs="Calibri" w:eastAsia="Calibri" w:hAnsi="Calibri"/>
          <w:b/>
          <w:bCs/>
          <w:color w:val="1B3A5C"/>
          <w:sz w:val="22"/>
          <w:szCs w:val="22"/>
        </w:rPr>
        <w:t xml:space="preserve">FIG 32 — Governance Gateway Decision Flow</w:t>
      </w:r>
    </w:p>
    <w:p>
      <w:pPr>
        <w:shd w:fill="F8F8F8" w:color="F8F8F8" w:val="solid"/>
        <w:spacing w:after="0" w:before="0" w:line="260"/>
      </w:pPr>
      <w:r>
        <w:rPr>
          <w:rFonts w:ascii="Consolas" w:cs="Consolas" w:eastAsia="Consolas" w:hAnsi="Consolas"/>
          <w:color w:val="333333"/>
          <w:sz w:val="17"/>
          <w:szCs w:val="17"/>
        </w:rPr>
        <w:t xml:space="preserve">╔══════════════════════════════════════════════════════════════════════════╗</w:t>
      </w:r>
    </w:p>
    <w:p>
      <w:pPr>
        <w:shd w:fill="F8F8F8" w:color="F8F8F8" w:val="solid"/>
        <w:spacing w:after="0" w:before="0" w:line="260"/>
      </w:pPr>
      <w:r>
        <w:rPr>
          <w:rFonts w:ascii="Consolas" w:cs="Consolas" w:eastAsia="Consolas" w:hAnsi="Consolas"/>
          <w:color w:val="333333"/>
          <w:sz w:val="17"/>
          <w:szCs w:val="17"/>
        </w:rPr>
        <w:t xml:space="preserve">║     GOVERNANCE GATEWAY DECISION FLOW (Claim 64)                             ║</w:t>
      </w:r>
    </w:p>
    <w:p>
      <w:pPr>
        <w:shd w:fill="F8F8F8" w:color="F8F8F8" w:val="solid"/>
        <w:spacing w:after="0" w:before="0" w:line="260"/>
      </w:pPr>
      <w:r>
        <w:rPr>
          <w:rFonts w:ascii="Consolas" w:cs="Consolas" w:eastAsia="Consolas" w:hAnsi="Consolas"/>
          <w:color w:val="333333"/>
          <w:sz w:val="17"/>
          <w:szCs w:val="17"/>
        </w:rPr>
        <w:t xml:space="preserve">╠══════════════════════════════════════════════════════════════════════════╣</w:t>
      </w:r>
    </w:p>
    <w:p>
      <w:pPr>
        <w:shd w:fill="F8F8F8" w:color="F8F8F8" w:val="solid"/>
        <w:spacing w:after="0" w:before="0" w:line="260"/>
      </w:pPr>
      <w:r>
        <w:rPr>
          <w:rFonts w:ascii="Consolas" w:cs="Consolas" w:eastAsia="Consolas" w:hAnsi="Consolas"/>
          <w:color w:val="333333"/>
          <w:sz w:val="17"/>
          <w:szCs w:val="17"/>
        </w:rPr>
        <w:t xml:space="preserve">║                                                                             ║</w:t>
      </w:r>
    </w:p>
    <w:p>
      <w:pPr>
        <w:shd w:fill="F8F8F8" w:color="F8F8F8" w:val="solid"/>
        <w:spacing w:after="0" w:before="0" w:line="260"/>
      </w:pPr>
      <w:r>
        <w:rPr>
          <w:rFonts w:ascii="Consolas" w:cs="Consolas" w:eastAsia="Consolas" w:hAnsi="Consolas"/>
          <w:color w:val="333333"/>
          <w:sz w:val="17"/>
          <w:szCs w:val="17"/>
        </w:rPr>
        <w:t xml:space="preserve">║   AI Meta-Observer (Module 28)                                               ║</w:t>
      </w:r>
    </w:p>
    <w:p>
      <w:pPr>
        <w:shd w:fill="F8F8F8" w:color="F8F8F8" w:val="solid"/>
        <w:spacing w:after="0" w:before="0" w:line="260"/>
      </w:pPr>
      <w:r>
        <w:rPr>
          <w:rFonts w:ascii="Consolas" w:cs="Consolas" w:eastAsia="Consolas" w:hAnsi="Consolas"/>
          <w:color w:val="333333"/>
          <w:sz w:val="17"/>
          <w:szCs w:val="17"/>
        </w:rPr>
        <w:t xml:space="preserve">║       │ identifies capability gap → proposes tool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ACCUMULATION ENGINE                    │                                ║</w:t>
      </w:r>
    </w:p>
    <w:p>
      <w:pPr>
        <w:shd w:fill="F8F8F8" w:color="F8F8F8" w:val="solid"/>
        <w:spacing w:after="0" w:before="0" w:line="260"/>
      </w:pPr>
      <w:r>
        <w:rPr>
          <w:rFonts w:ascii="Consolas" w:cs="Consolas" w:eastAsia="Consolas" w:hAnsi="Consolas"/>
          <w:color w:val="333333"/>
          <w:sz w:val="17"/>
          <w:szCs w:val="17"/>
        </w:rPr>
        <w:t xml:space="preserve">║   │ • Cluster observations                 │                                ║</w:t>
      </w:r>
    </w:p>
    <w:p>
      <w:pPr>
        <w:shd w:fill="F8F8F8" w:color="F8F8F8" w:val="solid"/>
        <w:spacing w:after="0" w:before="0" w:line="260"/>
      </w:pPr>
      <w:r>
        <w:rPr>
          <w:rFonts w:ascii="Consolas" w:cs="Consolas" w:eastAsia="Consolas" w:hAnsi="Consolas"/>
          <w:color w:val="333333"/>
          <w:sz w:val="17"/>
          <w:szCs w:val="17"/>
        </w:rPr>
        <w:t xml:space="preserve">║   │ • Apply decay W(t)=0.5^(d/14)          │                                ║</w:t>
      </w:r>
    </w:p>
    <w:p>
      <w:pPr>
        <w:shd w:fill="F8F8F8" w:color="F8F8F8" w:val="solid"/>
        <w:spacing w:after="0" w:before="0" w:line="260"/>
      </w:pPr>
      <w:r>
        <w:rPr>
          <w:rFonts w:ascii="Consolas" w:cs="Consolas" w:eastAsia="Consolas" w:hAnsi="Consolas"/>
          <w:color w:val="333333"/>
          <w:sz w:val="17"/>
          <w:szCs w:val="17"/>
        </w:rPr>
        <w:t xml:space="preserve">║   │ • Calculate quality score Q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emerging → proposed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GOVERNANCE GATEWAY                                            ║         ║</w:t>
      </w:r>
    </w:p>
    <w:p>
      <w:pPr>
        <w:shd w:fill="F8F8F8" w:color="F8F8F8" w:val="solid"/>
        <w:spacing w:after="0" w:before="0" w:line="260"/>
      </w:pPr>
      <w:r>
        <w:rPr>
          <w:rFonts w:ascii="Consolas" w:cs="Consolas" w:eastAsia="Consolas" w:hAnsi="Consolas"/>
          <w:color w:val="333333"/>
          <w:sz w:val="17"/>
          <w:szCs w:val="17"/>
        </w:rPr>
        <w:t xml:space="preserve">║   ║  ① Stability Score ≥ 0.65                                    ║         ║</w:t>
      </w:r>
    </w:p>
    <w:p>
      <w:pPr>
        <w:shd w:fill="F8F8F8" w:color="F8F8F8" w:val="solid"/>
        <w:spacing w:after="0" w:before="0" w:line="260"/>
      </w:pPr>
      <w:r>
        <w:rPr>
          <w:rFonts w:ascii="Consolas" w:cs="Consolas" w:eastAsia="Consolas" w:hAnsi="Consolas"/>
          <w:color w:val="333333"/>
          <w:sz w:val="17"/>
          <w:szCs w:val="17"/>
        </w:rPr>
        <w:t xml:space="preserve">║   ║  ② Consistent Observations ≥ 3                              ║         ║</w:t>
      </w:r>
    </w:p>
    <w:p>
      <w:pPr>
        <w:shd w:fill="F8F8F8" w:color="F8F8F8" w:val="solid"/>
        <w:spacing w:after="0" w:before="0" w:line="260"/>
      </w:pPr>
      <w:r>
        <w:rPr>
          <w:rFonts w:ascii="Consolas" w:cs="Consolas" w:eastAsia="Consolas" w:hAnsi="Consolas"/>
          <w:color w:val="333333"/>
          <w:sz w:val="17"/>
          <w:szCs w:val="17"/>
        </w:rPr>
        <w:t xml:space="preserve">║   ║  ③ Failure Rate ≤ 30%                                       ║         ║</w:t>
      </w:r>
    </w:p>
    <w:p>
      <w:pPr>
        <w:shd w:fill="F8F8F8" w:color="F8F8F8" w:val="solid"/>
        <w:spacing w:after="0" w:before="0" w:line="260"/>
      </w:pPr>
      <w:r>
        <w:rPr>
          <w:rFonts w:ascii="Consolas" w:cs="Consolas" w:eastAsia="Consolas" w:hAnsi="Consolas"/>
          <w:color w:val="333333"/>
          <w:sz w:val="17"/>
          <w:szCs w:val="17"/>
        </w:rPr>
        <w:t xml:space="preserve">║   ║  ④ Compliance Boundary: 0.75 if critical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PASSED ║          BLOCKED ║                                     ║</w:t>
      </w:r>
    </w:p>
    <w:p>
      <w:pPr>
        <w:shd w:fill="F8F8F8" w:color="F8F8F8" w:val="solid"/>
        <w:spacing w:after="0" w:before="0" w:line="260"/>
      </w:pPr>
      <w:r>
        <w:rPr>
          <w:rFonts w:ascii="Consolas" w:cs="Consolas" w:eastAsia="Consolas" w:hAnsi="Consolas"/>
          <w:color w:val="333333"/>
          <w:sz w:val="17"/>
          <w:szCs w:val="17"/>
        </w:rPr>
        <w:t xml:space="preserve">║                   ▼                ▼                                        ║</w:t>
      </w:r>
    </w:p>
    <w:p>
      <w:pPr>
        <w:shd w:fill="F8F8F8" w:color="F8F8F8" w:val="solid"/>
        <w:spacing w:after="0" w:before="0" w:line="260"/>
      </w:pPr>
      <w:r>
        <w:rPr>
          <w:rFonts w:ascii="Consolas" w:cs="Consolas" w:eastAsia="Consolas" w:hAnsi="Consolas"/>
          <w:color w:val="333333"/>
          <w:sz w:val="17"/>
          <w:szCs w:val="17"/>
        </w:rPr>
        <w:t xml:space="preserve">║   ┌──────────────────┐   ┌──────────────────────────┐                      ║</w:t>
      </w:r>
    </w:p>
    <w:p>
      <w:pPr>
        <w:shd w:fill="F8F8F8" w:color="F8F8F8" w:val="solid"/>
        <w:spacing w:after="0" w:before="0" w:line="260"/>
      </w:pPr>
      <w:r>
        <w:rPr>
          <w:rFonts w:ascii="Consolas" w:cs="Consolas" w:eastAsia="Consolas" w:hAnsi="Consolas"/>
          <w:color w:val="333333"/>
          <w:sz w:val="17"/>
          <w:szCs w:val="17"/>
        </w:rPr>
        <w:t xml:space="preserve">║   │ APPROVED → Deploy │   │ Remains PROPOSED + logs  │                      ║</w:t>
      </w:r>
    </w:p>
    <w:p>
      <w:pPr>
        <w:shd w:fill="F8F8F8" w:color="F8F8F8" w:val="solid"/>
        <w:spacing w:after="0" w:before="0" w:line="260"/>
      </w:pPr>
      <w:r>
        <w:rPr>
          <w:rFonts w:ascii="Consolas" w:cs="Consolas" w:eastAsia="Consolas" w:hAnsi="Consolas"/>
          <w:color w:val="333333"/>
          <w:sz w:val="17"/>
          <w:szCs w:val="17"/>
        </w:rPr>
        <w:t xml:space="preserve">║   └──────────────────┘   └──────────────────────────┘                      ║</w:t>
      </w:r>
    </w:p>
    <w:p>
      <w:pPr>
        <w:shd w:fill="F8F8F8" w:color="F8F8F8" w:val="solid"/>
        <w:spacing w:after="0" w:before="0" w:line="260"/>
      </w:pPr>
      <w:r>
        <w:rPr>
          <w:rFonts w:ascii="Consolas" w:cs="Consolas" w:eastAsia="Consolas" w:hAnsi="Consolas"/>
          <w:color w:val="333333"/>
          <w:sz w:val="17"/>
          <w:szCs w:val="17"/>
        </w:rPr>
        <w:t xml:space="preserve">╚══════════════════════════════════════════════════════════════════════════╝</w:t>
      </w:r>
    </w:p>
    <w:p>
      <w:pPr>
        <w:spacing w:after="120"/>
      </w:pPr>
    </w:p>
    <w:p>
      <w:pPr>
        <w:spacing w:after="80" w:before="200"/>
        <w:jc w:val="center"/>
      </w:pPr>
      <w:r>
        <w:rPr>
          <w:rFonts w:ascii="Calibri" w:cs="Calibri" w:eastAsia="Calibri" w:hAnsi="Calibri"/>
          <w:b/>
          <w:bCs/>
          <w:color w:val="1B3A5C"/>
          <w:sz w:val="22"/>
          <w:szCs w:val="22"/>
        </w:rPr>
        <w:t xml:space="preserve">FIG 33 — Predictive Jitter-Buffer Synchronization</w:t>
      </w:r>
    </w:p>
    <w:p>
      <w:pPr>
        <w:shd w:fill="F8F8F8" w:color="F8F8F8" w:val="solid"/>
        <w:spacing w:after="0" w:before="0" w:line="260"/>
      </w:pPr>
      <w:r>
        <w:rPr>
          <w:rFonts w:ascii="Consolas" w:cs="Consolas" w:eastAsia="Consolas" w:hAnsi="Consolas"/>
          <w:color w:val="333333"/>
          <w:sz w:val="17"/>
          <w:szCs w:val="17"/>
        </w:rPr>
        <w:t xml:space="preserve">╔══════════════════════════════════════════════════════════════════════════╗</w:t>
      </w:r>
    </w:p>
    <w:p>
      <w:pPr>
        <w:shd w:fill="F8F8F8" w:color="F8F8F8" w:val="solid"/>
        <w:spacing w:after="0" w:before="0" w:line="260"/>
      </w:pPr>
      <w:r>
        <w:rPr>
          <w:rFonts w:ascii="Consolas" w:cs="Consolas" w:eastAsia="Consolas" w:hAnsi="Consolas"/>
          <w:color w:val="333333"/>
          <w:sz w:val="17"/>
          <w:szCs w:val="17"/>
        </w:rPr>
        <w:t xml:space="preserve">║     PREDICTIVE JITTER-BUFFER SYNCHRONIZATION (Claim 66)                     ║</w:t>
      </w:r>
    </w:p>
    <w:p>
      <w:pPr>
        <w:shd w:fill="F8F8F8" w:color="F8F8F8" w:val="solid"/>
        <w:spacing w:after="0" w:before="0" w:line="260"/>
      </w:pPr>
      <w:r>
        <w:rPr>
          <w:rFonts w:ascii="Consolas" w:cs="Consolas" w:eastAsia="Consolas" w:hAnsi="Consolas"/>
          <w:color w:val="333333"/>
          <w:sz w:val="17"/>
          <w:szCs w:val="17"/>
        </w:rPr>
        <w:t xml:space="preserve">╠══════════════════════════════════════════════════════════════════════════╣</w:t>
      </w:r>
    </w:p>
    <w:p>
      <w:pPr>
        <w:shd w:fill="F8F8F8" w:color="F8F8F8" w:val="solid"/>
        <w:spacing w:after="0" w:before="0" w:line="260"/>
      </w:pPr>
      <w:r>
        <w:rPr>
          <w:rFonts w:ascii="Consolas" w:cs="Consolas" w:eastAsia="Consolas" w:hAnsi="Consolas"/>
          <w:color w:val="333333"/>
          <w:sz w:val="17"/>
          <w:szCs w:val="17"/>
        </w:rPr>
        <w:t xml:space="preserve">║                                                                             ║</w:t>
      </w:r>
    </w:p>
    <w:p>
      <w:pPr>
        <w:shd w:fill="F8F8F8" w:color="F8F8F8" w:val="solid"/>
        <w:spacing w:after="0" w:before="0" w:line="260"/>
      </w:pPr>
      <w:r>
        <w:rPr>
          <w:rFonts w:ascii="Consolas" w:cs="Consolas" w:eastAsia="Consolas" w:hAnsi="Consolas"/>
          <w:color w:val="333333"/>
          <w:sz w:val="17"/>
          <w:szCs w:val="17"/>
        </w:rPr>
        <w:t xml:space="preserve">║   Audio Signal ──▶ arrival_ms    Transcript Gen ──▶ generated_ms            ║</w:t>
      </w:r>
    </w:p>
    <w:p>
      <w:pPr>
        <w:shd w:fill="F8F8F8" w:color="F8F8F8" w:val="solid"/>
        <w:spacing w:after="0" w:before="0" w:line="260"/>
      </w:pPr>
      <w:r>
        <w:rPr>
          <w:rFonts w:ascii="Consolas" w:cs="Consolas" w:eastAsia="Consolas" w:hAnsi="Consolas"/>
          <w:color w:val="333333"/>
          <w:sz w:val="17"/>
          <w:szCs w:val="17"/>
        </w:rPr>
        <w:t xml:space="preserve">║                                                                             ║</w:t>
      </w:r>
    </w:p>
    <w:p>
      <w:pPr>
        <w:shd w:fill="F8F8F8" w:color="F8F8F8" w:val="solid"/>
        <w:spacing w:after="0" w:before="0" w:line="260"/>
      </w:pPr>
      <w:r>
        <w:rPr>
          <w:rFonts w:ascii="Consolas" w:cs="Consolas" w:eastAsia="Consolas" w:hAnsi="Consolas"/>
          <w:color w:val="333333"/>
          <w:sz w:val="17"/>
          <w:szCs w:val="17"/>
        </w:rPr>
        <w:t xml:space="preserve">║   delta = generated_ms − arrival_ms  (clamped 0–30000ms)                    ║</w:t>
      </w:r>
    </w:p>
    <w:p>
      <w:pPr>
        <w:shd w:fill="F8F8F8" w:color="F8F8F8" w:val="solid"/>
        <w:spacing w:after="0" w:before="0" w:line="260"/>
      </w:pPr>
      <w:r>
        <w:rPr>
          <w:rFonts w:ascii="Consolas" w:cs="Consolas" w:eastAsia="Consolas" w:hAnsi="Consolas"/>
          <w:color w:val="333333"/>
          <w:sz w:val="17"/>
          <w:szCs w:val="17"/>
        </w:rPr>
        <w:t xml:space="preserve">║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ROLLING BUFFER (50 samples per session)                       │         ║</w:t>
      </w:r>
    </w:p>
    <w:p>
      <w:pPr>
        <w:shd w:fill="F8F8F8" w:color="F8F8F8" w:val="solid"/>
        <w:spacing w:after="0" w:before="0" w:line="260"/>
      </w:pPr>
      <w:r>
        <w:rPr>
          <w:rFonts w:ascii="Consolas" w:cs="Consolas" w:eastAsia="Consolas" w:hAnsi="Consolas"/>
          <w:color w:val="333333"/>
          <w:sz w:val="17"/>
          <w:szCs w:val="17"/>
        </w:rPr>
        <w:t xml:space="preserve">║   │  avg_latency      = mean(deltas)                              │         ║</w:t>
      </w:r>
    </w:p>
    <w:p>
      <w:pPr>
        <w:shd w:fill="F8F8F8" w:color="F8F8F8" w:val="solid"/>
        <w:spacing w:after="0" w:before="0" w:line="260"/>
      </w:pPr>
      <w:r>
        <w:rPr>
          <w:rFonts w:ascii="Consolas" w:cs="Consolas" w:eastAsia="Consolas" w:hAnsi="Consolas"/>
          <w:color w:val="333333"/>
          <w:sz w:val="17"/>
          <w:szCs w:val="17"/>
        </w:rPr>
        <w:t xml:space="preserve">║   │  predicted_jitter = stddev(deltas)                            │         ║</w:t>
      </w:r>
    </w:p>
    <w:p>
      <w:pPr>
        <w:shd w:fill="F8F8F8" w:color="F8F8F8" w:val="solid"/>
        <w:spacing w:after="0" w:before="0" w:line="260"/>
      </w:pPr>
      <w:r>
        <w:rPr>
          <w:rFonts w:ascii="Consolas" w:cs="Consolas" w:eastAsia="Consolas" w:hAnsi="Consolas"/>
          <w:color w:val="333333"/>
          <w:sz w:val="17"/>
          <w:szCs w:val="17"/>
        </w:rPr>
        <w:t xml:space="preserve">║   │  adjustment       = avg + (jitter × 0.5)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aligned_timestamp = generated_ms − adjustment_factor                      ║</w:t>
      </w:r>
    </w:p>
    <w:p>
      <w:pPr>
        <w:shd w:fill="F8F8F8" w:color="F8F8F8" w:val="solid"/>
        <w:spacing w:after="0" w:before="0" w:line="260"/>
      </w:pPr>
      <w:r>
        <w:rPr>
          <w:rFonts w:ascii="Consolas" w:cs="Consolas" w:eastAsia="Consolas" w:hAnsi="Consolas"/>
          <w:color w:val="333333"/>
          <w:sz w:val="17"/>
          <w:szCs w:val="17"/>
        </w:rPr>
        <w:t xml:space="preserve">║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LOW ≤200  │ MOD ≤500     │ HIGH ≤1500   │ CRITICAL &gt;1500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Session TTL: 8 hours │ Eviction sweep: 10 minutes                         ║</w:t>
      </w:r>
    </w:p>
    <w:p>
      <w:pPr>
        <w:shd w:fill="F8F8F8" w:color="F8F8F8" w:val="solid"/>
        <w:spacing w:after="0" w:before="0" w:line="260"/>
      </w:pPr>
      <w:r>
        <w:rPr>
          <w:rFonts w:ascii="Consolas" w:cs="Consolas" w:eastAsia="Consolas" w:hAnsi="Consolas"/>
          <w:color w:val="333333"/>
          <w:sz w:val="17"/>
          <w:szCs w:val="17"/>
        </w:rPr>
        <w:t xml:space="preserve">╚══════════════════════════════════════════════════════════════════════════╝</w:t>
      </w:r>
    </w:p>
    <w:p>
      <w:pPr>
        <w:spacing w:after="120"/>
      </w:pPr>
    </w:p>
    <w:p>
      <w:pPr>
        <w:spacing w:after="80" w:before="200"/>
        <w:jc w:val="center"/>
      </w:pPr>
      <w:r>
        <w:rPr>
          <w:rFonts w:ascii="Calibri" w:cs="Calibri" w:eastAsia="Calibri" w:hAnsi="Calibri"/>
          <w:b/>
          <w:bCs/>
          <w:color w:val="1B3A5C"/>
          <w:sz w:val="22"/>
          <w:szCs w:val="22"/>
        </w:rPr>
        <w:t xml:space="preserve">FIG 34 — AEOS Quote-to-Cash Deterministic Financial State Machine</w:t>
      </w:r>
    </w:p>
    <w:p>
      <w:pPr>
        <w:shd w:fill="F8F8F8" w:color="F8F8F8" w:val="solid"/>
        <w:spacing w:after="0" w:before="0" w:line="260"/>
      </w:pPr>
      <w:r>
        <w:rPr>
          <w:rFonts w:ascii="Consolas" w:cs="Consolas" w:eastAsia="Consolas" w:hAnsi="Consolas"/>
          <w:color w:val="333333"/>
          <w:sz w:val="17"/>
          <w:szCs w:val="17"/>
        </w:rPr>
        <w:t xml:space="preserve">╔══════════════════════════════════════════════════════════════════════════╗</w:t>
      </w:r>
    </w:p>
    <w:p>
      <w:pPr>
        <w:shd w:fill="F8F8F8" w:color="F8F8F8" w:val="solid"/>
        <w:spacing w:after="0" w:before="0" w:line="260"/>
      </w:pPr>
      <w:r>
        <w:rPr>
          <w:rFonts w:ascii="Consolas" w:cs="Consolas" w:eastAsia="Consolas" w:hAnsi="Consolas"/>
          <w:color w:val="333333"/>
          <w:sz w:val="17"/>
          <w:szCs w:val="17"/>
        </w:rPr>
        <w:t xml:space="preserve">║     AEOS QUOTE-TO-CASH STATE MACHINE (Claim 71)                             ║</w:t>
      </w:r>
    </w:p>
    <w:p>
      <w:pPr>
        <w:shd w:fill="F8F8F8" w:color="F8F8F8" w:val="solid"/>
        <w:spacing w:after="0" w:before="0" w:line="260"/>
      </w:pPr>
      <w:r>
        <w:rPr>
          <w:rFonts w:ascii="Consolas" w:cs="Consolas" w:eastAsia="Consolas" w:hAnsi="Consolas"/>
          <w:color w:val="333333"/>
          <w:sz w:val="17"/>
          <w:szCs w:val="17"/>
        </w:rPr>
        <w:t xml:space="preserve">╠══════════════════════════════════════════════════════════════════════════╣</w:t>
      </w:r>
    </w:p>
    <w:p>
      <w:pPr>
        <w:shd w:fill="F8F8F8" w:color="F8F8F8" w:val="solid"/>
        <w:spacing w:after="0" w:before="0" w:line="260"/>
      </w:pPr>
      <w:r>
        <w:rPr>
          <w:rFonts w:ascii="Consolas" w:cs="Consolas" w:eastAsia="Consolas" w:hAnsi="Consolas"/>
          <w:color w:val="333333"/>
          <w:sz w:val="17"/>
          <w:szCs w:val="17"/>
        </w:rPr>
        <w:t xml:space="preserve">║                                                                             ║</w:t>
      </w:r>
    </w:p>
    <w:p>
      <w:pPr>
        <w:shd w:fill="F8F8F8" w:color="F8F8F8" w:val="solid"/>
        <w:spacing w:after="0" w:before="0" w:line="260"/>
      </w:pPr>
      <w:r>
        <w:rPr>
          <w:rFonts w:ascii="Consolas" w:cs="Consolas" w:eastAsia="Consolas" w:hAnsi="Consolas"/>
          <w:color w:val="333333"/>
          <w:sz w:val="17"/>
          <w:szCs w:val="17"/>
        </w:rPr>
        <w:t xml:space="preserve">║   ┌─────────────────┐    digital     ┌──────────────────────────┐          ║</w:t>
      </w:r>
    </w:p>
    <w:p>
      <w:pPr>
        <w:shd w:fill="F8F8F8" w:color="F8F8F8" w:val="solid"/>
        <w:spacing w:after="0" w:before="0" w:line="260"/>
      </w:pPr>
      <w:r>
        <w:rPr>
          <w:rFonts w:ascii="Consolas" w:cs="Consolas" w:eastAsia="Consolas" w:hAnsi="Consolas"/>
          <w:color w:val="333333"/>
          <w:sz w:val="17"/>
          <w:szCs w:val="17"/>
        </w:rPr>
        <w:t xml:space="preserve">║   │ STAGE 1          │    signature   │ STAGE 2                   │          ║</w:t>
      </w:r>
    </w:p>
    <w:p>
      <w:pPr>
        <w:shd w:fill="F8F8F8" w:color="F8F8F8" w:val="solid"/>
        <w:spacing w:after="0" w:before="0" w:line="260"/>
      </w:pPr>
      <w:r>
        <w:rPr>
          <w:rFonts w:ascii="Consolas" w:cs="Consolas" w:eastAsia="Consolas" w:hAnsi="Consolas"/>
          <w:color w:val="333333"/>
          <w:sz w:val="17"/>
          <w:szCs w:val="17"/>
        </w:rPr>
        <w:t xml:space="preserve">║   │ Predictive Quote │ ─────────────▶ │ Autonomous Registration  │          ║</w:t>
      </w:r>
    </w:p>
    <w:p>
      <w:pPr>
        <w:shd w:fill="F8F8F8" w:color="F8F8F8" w:val="solid"/>
        <w:spacing w:after="0" w:before="0" w:line="260"/>
      </w:pPr>
      <w:r>
        <w:rPr>
          <w:rFonts w:ascii="Consolas" w:cs="Consolas" w:eastAsia="Consolas" w:hAnsi="Consolas"/>
          <w:color w:val="333333"/>
          <w:sz w:val="17"/>
          <w:szCs w:val="17"/>
        </w:rPr>
        <w:t xml:space="preserve">║   │                  │                │                           │          ║</w:t>
      </w:r>
    </w:p>
    <w:p>
      <w:pPr>
        <w:shd w:fill="F8F8F8" w:color="F8F8F8" w:val="solid"/>
        <w:spacing w:after="0" w:before="0" w:line="260"/>
      </w:pPr>
      <w:r>
        <w:rPr>
          <w:rFonts w:ascii="Consolas" w:cs="Consolas" w:eastAsia="Consolas" w:hAnsi="Consolas"/>
          <w:color w:val="333333"/>
          <w:sz w:val="17"/>
          <w:szCs w:val="17"/>
        </w:rPr>
        <w:t xml:space="preserve">║   │ • Booking form   │                │ • Generate credentials    │          ║</w:t>
      </w:r>
    </w:p>
    <w:p>
      <w:pPr>
        <w:shd w:fill="F8F8F8" w:color="F8F8F8" w:val="solid"/>
        <w:spacing w:after="0" w:before="0" w:line="260"/>
      </w:pPr>
      <w:r>
        <w:rPr>
          <w:rFonts w:ascii="Consolas" w:cs="Consolas" w:eastAsia="Consolas" w:hAnsi="Consolas"/>
          <w:color w:val="333333"/>
          <w:sz w:val="17"/>
          <w:szCs w:val="17"/>
        </w:rPr>
        <w:t xml:space="preserve">║   │ • Resource check │                │ • Provision Ably channels │          ║</w:t>
      </w:r>
    </w:p>
    <w:p>
      <w:pPr>
        <w:shd w:fill="F8F8F8" w:color="F8F8F8" w:val="solid"/>
        <w:spacing w:after="0" w:before="0" w:line="260"/>
      </w:pPr>
      <w:r>
        <w:rPr>
          <w:rFonts w:ascii="Consolas" w:cs="Consolas" w:eastAsia="Consolas" w:hAnsi="Consolas"/>
          <w:color w:val="333333"/>
          <w:sz w:val="17"/>
          <w:szCs w:val="17"/>
        </w:rPr>
        <w:t xml:space="preserve">║   │ • Demand vector  │                │ • Allocate operators      │          ║</w:t>
      </w:r>
    </w:p>
    <w:p>
      <w:pPr>
        <w:shd w:fill="F8F8F8" w:color="F8F8F8" w:val="solid"/>
        <w:spacing w:after="0" w:before="0" w:line="260"/>
      </w:pPr>
      <w:r>
        <w:rPr>
          <w:rFonts w:ascii="Consolas" w:cs="Consolas" w:eastAsia="Consolas" w:hAnsi="Consolas"/>
          <w:color w:val="333333"/>
          <w:sz w:val="17"/>
          <w:szCs w:val="17"/>
        </w:rPr>
        <w:t xml:space="preserve">║   │ • Price calc     │                │ • Distribute onboarding   │          ║</w:t>
      </w:r>
    </w:p>
    <w:p>
      <w:pPr>
        <w:shd w:fill="F8F8F8" w:color="F8F8F8" w:val="solid"/>
        <w:spacing w:after="0" w:before="0" w:line="260"/>
      </w:pPr>
      <w:r>
        <w:rPr>
          <w:rFonts w:ascii="Consolas" w:cs="Consolas" w:eastAsia="Consolas" w:hAnsi="Consolas"/>
          <w:color w:val="333333"/>
          <w:sz w:val="17"/>
          <w:szCs w:val="17"/>
        </w:rPr>
        <w:t xml:space="preserve">║   └─────────────────┘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service-complete                   ║</w:t>
      </w:r>
    </w:p>
    <w:p>
      <w:pPr>
        <w:shd w:fill="F8F8F8" w:color="F8F8F8" w:val="solid"/>
        <w:spacing w:after="0" w:before="0" w:line="260"/>
      </w:pPr>
      <w:r>
        <w:rPr>
          <w:rFonts w:ascii="Consolas" w:cs="Consolas" w:eastAsia="Consolas" w:hAnsi="Consolas"/>
          <w:color w:val="333333"/>
          <w:sz w:val="17"/>
          <w:szCs w:val="17"/>
        </w:rPr>
        <w:t xml:space="preserve">║                                            signal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          ║</w:t>
      </w:r>
    </w:p>
    <w:p>
      <w:pPr>
        <w:shd w:fill="F8F8F8" w:color="F8F8F8" w:val="solid"/>
        <w:spacing w:after="0" w:before="0" w:line="260"/>
      </w:pPr>
      <w:r>
        <w:rPr>
          <w:rFonts w:ascii="Consolas" w:cs="Consolas" w:eastAsia="Consolas" w:hAnsi="Consolas"/>
          <w:color w:val="333333"/>
          <w:sz w:val="17"/>
          <w:szCs w:val="17"/>
        </w:rPr>
        <w:t xml:space="preserve">║   │ STAGE 4                   │       │ STAGE 3                   │          ║</w:t>
      </w:r>
    </w:p>
    <w:p>
      <w:pPr>
        <w:shd w:fill="F8F8F8" w:color="F8F8F8" w:val="solid"/>
        <w:spacing w:after="0" w:before="0" w:line="260"/>
      </w:pPr>
      <w:r>
        <w:rPr>
          <w:rFonts w:ascii="Consolas" w:cs="Consolas" w:eastAsia="Consolas" w:hAnsi="Consolas"/>
          <w:color w:val="333333"/>
          <w:sz w:val="17"/>
          <w:szCs w:val="17"/>
        </w:rPr>
        <w:t xml:space="preserve">║   │ Self-Healing Reconcile    │ ◄──── │ Event-Triggered Invoice  │          ║</w:t>
      </w:r>
    </w:p>
    <w:p>
      <w:pPr>
        <w:shd w:fill="F8F8F8" w:color="F8F8F8" w:val="solid"/>
        <w:spacing w:after="0" w:before="0" w:line="260"/>
      </w:pPr>
      <w:r>
        <w:rPr>
          <w:rFonts w:ascii="Consolas" w:cs="Consolas" w:eastAsia="Consolas" w:hAnsi="Consolas"/>
          <w:color w:val="333333"/>
          <w:sz w:val="17"/>
          <w:szCs w:val="17"/>
        </w:rPr>
        <w:t xml:space="preserve">║   │                           │       │                           │          ║</w:t>
      </w:r>
    </w:p>
    <w:p>
      <w:pPr>
        <w:shd w:fill="F8F8F8" w:color="F8F8F8" w:val="solid"/>
        <w:spacing w:after="0" w:before="0" w:line="260"/>
      </w:pPr>
      <w:r>
        <w:rPr>
          <w:rFonts w:ascii="Consolas" w:cs="Consolas" w:eastAsia="Consolas" w:hAnsi="Consolas"/>
          <w:color w:val="333333"/>
          <w:sz w:val="17"/>
          <w:szCs w:val="17"/>
        </w:rPr>
        <w:t xml:space="preserve">║   │ • Banking API interface   │       │ • Crypto-signed invoice   │          ║</w:t>
      </w:r>
    </w:p>
    <w:p>
      <w:pPr>
        <w:shd w:fill="F8F8F8" w:color="F8F8F8" w:val="solid"/>
        <w:spacing w:after="0" w:before="0" w:line="260"/>
      </w:pPr>
      <w:r>
        <w:rPr>
          <w:rFonts w:ascii="Consolas" w:cs="Consolas" w:eastAsia="Consolas" w:hAnsi="Consolas"/>
          <w:color w:val="333333"/>
          <w:sz w:val="17"/>
          <w:szCs w:val="17"/>
        </w:rPr>
        <w:t xml:space="preserve">║   │ • SHA-256 hash matching   │       │ • Event duration + stats  │          ║</w:t>
      </w:r>
    </w:p>
    <w:p>
      <w:pPr>
        <w:shd w:fill="F8F8F8" w:color="F8F8F8" w:val="solid"/>
        <w:spacing w:after="0" w:before="0" w:line="260"/>
      </w:pPr>
      <w:r>
        <w:rPr>
          <w:rFonts w:ascii="Consolas" w:cs="Consolas" w:eastAsia="Consolas" w:hAnsi="Consolas"/>
          <w:color w:val="333333"/>
          <w:sz w:val="17"/>
          <w:szCs w:val="17"/>
        </w:rPr>
        <w:t xml:space="preserve">║   │ • Discrepancy detection   │       │ • Blockchain cert ref     │          ║</w:t>
      </w:r>
    </w:p>
    <w:p>
      <w:pPr>
        <w:shd w:fill="F8F8F8" w:color="F8F8F8" w:val="solid"/>
        <w:spacing w:after="0" w:before="0" w:line="260"/>
      </w:pPr>
      <w:r>
        <w:rPr>
          <w:rFonts w:ascii="Consolas" w:cs="Consolas" w:eastAsia="Consolas" w:hAnsi="Consolas"/>
          <w:color w:val="333333"/>
          <w:sz w:val="17"/>
          <w:szCs w:val="17"/>
        </w:rPr>
        <w:t xml:space="preserve">║   │ • Resolution Agent        │       │ • AI session summary      │          ║</w:t>
      </w:r>
    </w:p>
    <w:p>
      <w:pPr>
        <w:shd w:fill="F8F8F8" w:color="F8F8F8" w:val="solid"/>
        <w:spacing w:after="0" w:before="0" w:line="260"/>
      </w:pPr>
      <w:r>
        <w:rPr>
          <w:rFonts w:ascii="Consolas" w:cs="Consolas" w:eastAsia="Consolas" w:hAnsi="Consolas"/>
          <w:color w:val="333333"/>
          <w:sz w:val="17"/>
          <w:szCs w:val="17"/>
        </w:rPr>
        <w:t xml:space="preserve">║   └──────────────────────────┘       └──────────────────────────┘          ║</w:t>
      </w:r>
    </w:p>
    <w:p>
      <w:pPr>
        <w:shd w:fill="F8F8F8" w:color="F8F8F8" w:val="solid"/>
        <w:spacing w:after="0" w:before="0" w:line="260"/>
      </w:pPr>
      <w:r>
        <w:rPr>
          <w:rFonts w:ascii="Consolas" w:cs="Consolas" w:eastAsia="Consolas" w:hAnsi="Consolas"/>
          <w:color w:val="333333"/>
          <w:sz w:val="17"/>
          <w:szCs w:val="17"/>
        </w:rPr>
        <w:t xml:space="preserve">║                                                                             ║</w:t>
      </w:r>
    </w:p>
    <w:p>
      <w:pPr>
        <w:shd w:fill="F8F8F8" w:color="F8F8F8" w:val="solid"/>
        <w:spacing w:after="0" w:before="0" w:line="260"/>
      </w:pPr>
      <w:r>
        <w:rPr>
          <w:rFonts w:ascii="Consolas" w:cs="Consolas" w:eastAsia="Consolas" w:hAnsi="Consolas"/>
          <w:color w:val="333333"/>
          <w:sz w:val="17"/>
          <w:szCs w:val="17"/>
        </w:rPr>
        <w:t xml:space="preserve">║   ALL STAGES ──▶ Governance Gateway (Claim 64) validates before execution   ║</w:t>
      </w:r>
    </w:p>
    <w:p>
      <w:pPr>
        <w:shd w:fill="F8F8F8" w:color="F8F8F8" w:val="solid"/>
        <w:spacing w:after="0" w:before="0" w:line="260"/>
      </w:pPr>
      <w:r>
        <w:rPr>
          <w:rFonts w:ascii="Consolas" w:cs="Consolas" w:eastAsia="Consolas" w:hAnsi="Consolas"/>
          <w:color w:val="333333"/>
          <w:sz w:val="17"/>
          <w:szCs w:val="17"/>
        </w:rPr>
        <w:t xml:space="preserve">║                                                                             ║</w:t>
      </w:r>
    </w:p>
    <w:p>
      <w:pPr>
        <w:shd w:fill="F8F8F8" w:color="F8F8F8" w:val="solid"/>
        <w:spacing w:after="0" w:before="0" w:line="260"/>
      </w:pPr>
      <w:r>
        <w:rPr>
          <w:rFonts w:ascii="Consolas" w:cs="Consolas" w:eastAsia="Consolas" w:hAnsi="Consolas"/>
          <w:color w:val="333333"/>
          <w:sz w:val="17"/>
          <w:szCs w:val="17"/>
        </w:rPr>
        <w:t xml:space="preserve">╚══════════════════════════════════════════════════════════════════════════╝</w:t>
      </w:r>
    </w:p>
    <w:p>
      <w:pPr>
        <w:spacing w:after="120"/>
      </w:pPr>
    </w:p>
    <w:p>
      <w:pPr>
        <w:spacing w:after="80" w:before="200"/>
        <w:jc w:val="center"/>
      </w:pPr>
      <w:r>
        <w:rPr>
          <w:rFonts w:ascii="Calibri" w:cs="Calibri" w:eastAsia="Calibri" w:hAnsi="Calibri"/>
          <w:b/>
          <w:bCs/>
          <w:color w:val="1B3A5C"/>
          <w:sz w:val="22"/>
          <w:szCs w:val="22"/>
        </w:rPr>
        <w:t xml:space="preserve">FIG 35 — Organizational Knowledge Graph (Digital Twin)</w:t>
      </w:r>
    </w:p>
    <w:p>
      <w:pPr>
        <w:shd w:fill="F8F8F8" w:color="F8F8F8" w:val="solid"/>
        <w:spacing w:after="0" w:before="0" w:line="260"/>
      </w:pPr>
      <w:r>
        <w:rPr>
          <w:rFonts w:ascii="Consolas" w:cs="Consolas" w:eastAsia="Consolas" w:hAnsi="Consolas"/>
          <w:color w:val="333333"/>
          <w:sz w:val="17"/>
          <w:szCs w:val="17"/>
        </w:rPr>
        <w:t xml:space="preserve">╔══════════════════════════════════════════════════════════════════════════╗</w:t>
      </w:r>
    </w:p>
    <w:p>
      <w:pPr>
        <w:shd w:fill="F8F8F8" w:color="F8F8F8" w:val="solid"/>
        <w:spacing w:after="0" w:before="0" w:line="260"/>
      </w:pPr>
      <w:r>
        <w:rPr>
          <w:rFonts w:ascii="Consolas" w:cs="Consolas" w:eastAsia="Consolas" w:hAnsi="Consolas"/>
          <w:color w:val="333333"/>
          <w:sz w:val="17"/>
          <w:szCs w:val="17"/>
        </w:rPr>
        <w:t xml:space="preserve">║     ORGANIZATIONAL KNOWLEDGE GRAPH — DIGITAL TWIN (Claim 72)                ║</w:t>
      </w:r>
    </w:p>
    <w:p>
      <w:pPr>
        <w:shd w:fill="F8F8F8" w:color="F8F8F8" w:val="solid"/>
        <w:spacing w:after="0" w:before="0" w:line="260"/>
      </w:pPr>
      <w:r>
        <w:rPr>
          <w:rFonts w:ascii="Consolas" w:cs="Consolas" w:eastAsia="Consolas" w:hAnsi="Consolas"/>
          <w:color w:val="333333"/>
          <w:sz w:val="17"/>
          <w:szCs w:val="17"/>
        </w:rPr>
        <w:t xml:space="preserve">╠══════════════════════════════════════════════════════════════════════════╣</w:t>
      </w:r>
    </w:p>
    <w:p>
      <w:pPr>
        <w:shd w:fill="F8F8F8" w:color="F8F8F8" w:val="solid"/>
        <w:spacing w:after="0" w:before="0" w:line="260"/>
      </w:pPr>
      <w:r>
        <w:rPr>
          <w:rFonts w:ascii="Consolas" w:cs="Consolas" w:eastAsia="Consolas" w:hAnsi="Consolas"/>
          <w:color w:val="333333"/>
          <w:sz w:val="17"/>
          <w:szCs w:val="17"/>
        </w:rPr>
        <w:t xml:space="preserve">║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COMPANY PROFILE   │                                ║</w:t>
      </w:r>
    </w:p>
    <w:p>
      <w:pPr>
        <w:shd w:fill="F8F8F8" w:color="F8F8F8" w:val="solid"/>
        <w:spacing w:after="0" w:before="0" w:line="260"/>
      </w:pPr>
      <w:r>
        <w:rPr>
          <w:rFonts w:ascii="Consolas" w:cs="Consolas" w:eastAsia="Consolas" w:hAnsi="Consolas"/>
          <w:color w:val="333333"/>
          <w:sz w:val="17"/>
          <w:szCs w:val="17"/>
        </w:rPr>
        <w:t xml:space="preserve">║                        │ • Personality      │                                ║</w:t>
      </w:r>
    </w:p>
    <w:p>
      <w:pPr>
        <w:shd w:fill="F8F8F8" w:color="F8F8F8" w:val="solid"/>
        <w:spacing w:after="0" w:before="0" w:line="260"/>
      </w:pPr>
      <w:r>
        <w:rPr>
          <w:rFonts w:ascii="Consolas" w:cs="Consolas" w:eastAsia="Consolas" w:hAnsi="Consolas"/>
          <w:color w:val="333333"/>
          <w:sz w:val="17"/>
          <w:szCs w:val="17"/>
        </w:rPr>
        <w:t xml:space="preserve">║                        │ • Brand voice      │                                ║</w:t>
      </w:r>
    </w:p>
    <w:p>
      <w:pPr>
        <w:shd w:fill="F8F8F8" w:color="F8F8F8" w:val="solid"/>
        <w:spacing w:after="0" w:before="0" w:line="260"/>
      </w:pPr>
      <w:r>
        <w:rPr>
          <w:rFonts w:ascii="Consolas" w:cs="Consolas" w:eastAsia="Consolas" w:hAnsi="Consolas"/>
          <w:color w:val="333333"/>
          <w:sz w:val="17"/>
          <w:szCs w:val="17"/>
        </w:rPr>
        <w:t xml:space="preserve">║                        │ • Risk tolerance   │                                ║</w:t>
      </w:r>
    </w:p>
    <w:p>
      <w:pPr>
        <w:shd w:fill="F8F8F8" w:color="F8F8F8" w:val="solid"/>
        <w:spacing w:after="0" w:before="0" w:line="260"/>
      </w:pPr>
      <w:r>
        <w:rPr>
          <w:rFonts w:ascii="Consolas" w:cs="Consolas" w:eastAsia="Consolas" w:hAnsi="Consolas"/>
          <w:color w:val="333333"/>
          <w:sz w:val="17"/>
          <w:szCs w:val="17"/>
        </w:rPr>
        <w:t xml:space="preserve">║                        │ • Reg. posture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                   │                       ║</w:t>
      </w:r>
    </w:p>
    <w:p>
      <w:pPr>
        <w:shd w:fill="F8F8F8" w:color="F8F8F8" w:val="solid"/>
        <w:spacing w:after="0" w:before="0" w:line="260"/>
      </w:pPr>
      <w:r>
        <w:rPr>
          <w:rFonts w:ascii="Consolas" w:cs="Consolas" w:eastAsia="Consolas" w:hAnsi="Consolas"/>
          <w:color w:val="333333"/>
          <w:sz w:val="17"/>
          <w:szCs w:val="17"/>
        </w:rPr>
        <w:t xml:space="preserve">║              ▼                  ▼                   ▼                       ║</w:t>
      </w:r>
    </w:p>
    <w:p>
      <w:pPr>
        <w:shd w:fill="F8F8F8" w:color="F8F8F8" w:val="solid"/>
        <w:spacing w:after="0" w:before="0" w:line="260"/>
      </w:pPr>
      <w:r>
        <w:rPr>
          <w:rFonts w:ascii="Consolas" w:cs="Consolas" w:eastAsia="Consolas" w:hAnsi="Consolas"/>
          <w:color w:val="333333"/>
          <w:sz w:val="17"/>
          <w:szCs w:val="17"/>
        </w:rPr>
        <w:t xml:space="preserve">║   ┌──────────────────┐ ┌────────────────┐ ┌──────────────────┐            ║</w:t>
      </w:r>
    </w:p>
    <w:p>
      <w:pPr>
        <w:shd w:fill="F8F8F8" w:color="F8F8F8" w:val="solid"/>
        <w:spacing w:after="0" w:before="0" w:line="260"/>
      </w:pPr>
      <w:r>
        <w:rPr>
          <w:rFonts w:ascii="Consolas" w:cs="Consolas" w:eastAsia="Consolas" w:hAnsi="Consolas"/>
          <w:color w:val="333333"/>
          <w:sz w:val="17"/>
          <w:szCs w:val="17"/>
        </w:rPr>
        <w:t xml:space="preserve">║   │ HISTORICAL       │ │ RELATIONSHIP    │ │ GOAL FRAMEWORK   │            ║</w:t>
      </w:r>
    </w:p>
    <w:p>
      <w:pPr>
        <w:shd w:fill="F8F8F8" w:color="F8F8F8" w:val="solid"/>
        <w:spacing w:after="0" w:before="0" w:line="260"/>
      </w:pPr>
      <w:r>
        <w:rPr>
          <w:rFonts w:ascii="Consolas" w:cs="Consolas" w:eastAsia="Consolas" w:hAnsi="Consolas"/>
          <w:color w:val="333333"/>
          <w:sz w:val="17"/>
          <w:szCs w:val="17"/>
        </w:rPr>
        <w:t xml:space="preserve">║   │ INTELLIGENCE     │ │ MAP             │ │                  │            ║</w:t>
      </w:r>
    </w:p>
    <w:p>
      <w:pPr>
        <w:shd w:fill="F8F8F8" w:color="F8F8F8" w:val="solid"/>
        <w:spacing w:after="0" w:before="0" w:line="260"/>
      </w:pPr>
      <w:r>
        <w:rPr>
          <w:rFonts w:ascii="Consolas" w:cs="Consolas" w:eastAsia="Consolas" w:hAnsi="Consolas"/>
          <w:color w:val="333333"/>
          <w:sz w:val="17"/>
          <w:szCs w:val="17"/>
        </w:rPr>
        <w:t xml:space="preserve">║   │                  │ │                 │ │ • Client KPIs    │            ║</w:t>
      </w:r>
    </w:p>
    <w:p>
      <w:pPr>
        <w:shd w:fill="F8F8F8" w:color="F8F8F8" w:val="solid"/>
        <w:spacing w:after="0" w:before="0" w:line="260"/>
      </w:pPr>
      <w:r>
        <w:rPr>
          <w:rFonts w:ascii="Consolas" w:cs="Consolas" w:eastAsia="Consolas" w:hAnsi="Consolas"/>
          <w:color w:val="333333"/>
          <w:sz w:val="17"/>
          <w:szCs w:val="17"/>
        </w:rPr>
        <w:t xml:space="preserve">║   │ • Transcripts    │ │ Client          │ │ • Engagement     │            ║</w:t>
      </w:r>
    </w:p>
    <w:p>
      <w:pPr>
        <w:shd w:fill="F8F8F8" w:color="F8F8F8" w:val="solid"/>
        <w:spacing w:after="0" w:before="0" w:line="260"/>
      </w:pPr>
      <w:r>
        <w:rPr>
          <w:rFonts w:ascii="Consolas" w:cs="Consolas" w:eastAsia="Consolas" w:hAnsi="Consolas"/>
          <w:color w:val="333333"/>
          <w:sz w:val="17"/>
          <w:szCs w:val="17"/>
        </w:rPr>
        <w:t xml:space="preserve">║   │ • Q&amp;A patterns   │ │   └─▶ Event    │ │   targets        │            ║</w:t>
      </w:r>
    </w:p>
    <w:p>
      <w:pPr>
        <w:shd w:fill="F8F8F8" w:color="F8F8F8" w:val="solid"/>
        <w:spacing w:after="0" w:before="0" w:line="260"/>
      </w:pPr>
      <w:r>
        <w:rPr>
          <w:rFonts w:ascii="Consolas" w:cs="Consolas" w:eastAsia="Consolas" w:hAnsi="Consolas"/>
          <w:color w:val="333333"/>
          <w:sz w:val="17"/>
          <w:szCs w:val="17"/>
        </w:rPr>
        <w:t xml:space="preserve">║   │ • Compliance     │ │       └─▶ Atnd │ │ • Compliance     │            ║</w:t>
      </w:r>
    </w:p>
    <w:p>
      <w:pPr>
        <w:shd w:fill="F8F8F8" w:color="F8F8F8" w:val="solid"/>
        <w:spacing w:after="0" w:before="0" w:line="260"/>
      </w:pPr>
      <w:r>
        <w:rPr>
          <w:rFonts w:ascii="Consolas" w:cs="Consolas" w:eastAsia="Consolas" w:hAnsi="Consolas"/>
          <w:color w:val="333333"/>
          <w:sz w:val="17"/>
          <w:szCs w:val="17"/>
        </w:rPr>
        <w:t xml:space="preserve">║   │   incidents      │ │           └─▶ Q│ │   reduction      │            ║</w:t>
      </w:r>
    </w:p>
    <w:p>
      <w:pPr>
        <w:shd w:fill="F8F8F8" w:color="F8F8F8" w:val="solid"/>
        <w:spacing w:after="0" w:before="0" w:line="260"/>
      </w:pPr>
      <w:r>
        <w:rPr>
          <w:rFonts w:ascii="Consolas" w:cs="Consolas" w:eastAsia="Consolas" w:hAnsi="Consolas"/>
          <w:color w:val="333333"/>
          <w:sz w:val="17"/>
          <w:szCs w:val="17"/>
        </w:rPr>
        <w:t xml:space="preserve">║   │ • Sentiment      │ │               S│ │ • Response time  │            ║</w:t>
      </w:r>
    </w:p>
    <w:p>
      <w:pPr>
        <w:shd w:fill="F8F8F8" w:color="F8F8F8" w:val="solid"/>
        <w:spacing w:after="0" w:before="0" w:line="260"/>
      </w:pPr>
      <w:r>
        <w:rPr>
          <w:rFonts w:ascii="Consolas" w:cs="Consolas" w:eastAsia="Consolas" w:hAnsi="Consolas"/>
          <w:color w:val="333333"/>
          <w:sz w:val="17"/>
          <w:szCs w:val="17"/>
        </w:rPr>
        <w:t xml:space="preserve">║   │   trends         │ │ (Sentiment)    │ │   improvement    │            ║</w:t>
      </w:r>
    </w:p>
    <w:p>
      <w:pPr>
        <w:shd w:fill="F8F8F8" w:color="F8F8F8" w:val="solid"/>
        <w:spacing w:after="0" w:before="0" w:line="260"/>
      </w:pPr>
      <w:r>
        <w:rPr>
          <w:rFonts w:ascii="Consolas" w:cs="Consolas" w:eastAsia="Consolas" w:hAnsi="Consolas"/>
          <w:color w:val="333333"/>
          <w:sz w:val="17"/>
          <w:szCs w:val="17"/>
        </w:rPr>
        <w:t xml:space="preserve">║   │ • Decay-weighted │ │                 │ │                  │            ║</w:t>
      </w:r>
    </w:p>
    <w:p>
      <w:pPr>
        <w:shd w:fill="F8F8F8" w:color="F8F8F8" w:val="solid"/>
        <w:spacing w:after="0" w:before="0" w:line="260"/>
      </w:pPr>
      <w:r>
        <w:rPr>
          <w:rFonts w:ascii="Consolas" w:cs="Consolas" w:eastAsia="Consolas" w:hAnsi="Consolas"/>
          <w:color w:val="333333"/>
          <w:sz w:val="17"/>
          <w:szCs w:val="17"/>
        </w:rPr>
        <w:t xml:space="preserve">║   └──────────────────┘ └────────────────┘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 PREDICTIVE OUTPUTS                    │                      ║</w:t>
      </w:r>
    </w:p>
    <w:p>
      <w:pPr>
        <w:shd w:fill="F8F8F8" w:color="F8F8F8" w:val="solid"/>
        <w:spacing w:after="0" w:before="0" w:line="260"/>
      </w:pPr>
      <w:r>
        <w:rPr>
          <w:rFonts w:ascii="Consolas" w:cs="Consolas" w:eastAsia="Consolas" w:hAnsi="Consolas"/>
          <w:color w:val="333333"/>
          <w:sz w:val="17"/>
          <w:szCs w:val="17"/>
        </w:rPr>
        <w:t xml:space="preserve">║              │ • Staffing forecasts                  │                      ║</w:t>
      </w:r>
    </w:p>
    <w:p>
      <w:pPr>
        <w:shd w:fill="F8F8F8" w:color="F8F8F8" w:val="solid"/>
        <w:spacing w:after="0" w:before="0" w:line="260"/>
      </w:pPr>
      <w:r>
        <w:rPr>
          <w:rFonts w:ascii="Consolas" w:cs="Consolas" w:eastAsia="Consolas" w:hAnsi="Consolas"/>
          <w:color w:val="333333"/>
          <w:sz w:val="17"/>
          <w:szCs w:val="17"/>
        </w:rPr>
        <w:t xml:space="preserve">║              │ • Compliance analyst pre-allocation   │                      ║</w:t>
      </w:r>
    </w:p>
    <w:p>
      <w:pPr>
        <w:shd w:fill="F8F8F8" w:color="F8F8F8" w:val="solid"/>
        <w:spacing w:after="0" w:before="0" w:line="260"/>
      </w:pPr>
      <w:r>
        <w:rPr>
          <w:rFonts w:ascii="Consolas" w:cs="Consolas" w:eastAsia="Consolas" w:hAnsi="Consolas"/>
          <w:color w:val="333333"/>
          <w:sz w:val="17"/>
          <w:szCs w:val="17"/>
        </w:rPr>
        <w:t xml:space="preserve">║              │ • Crisis brief preparation            │                      ║</w:t>
      </w:r>
    </w:p>
    <w:p>
      <w:pPr>
        <w:shd w:fill="F8F8F8" w:color="F8F8F8" w:val="solid"/>
        <w:spacing w:after="0" w:before="0" w:line="260"/>
      </w:pPr>
      <w:r>
        <w:rPr>
          <w:rFonts w:ascii="Consolas" w:cs="Consolas" w:eastAsia="Consolas" w:hAnsi="Consolas"/>
          <w:color w:val="333333"/>
          <w:sz w:val="17"/>
          <w:szCs w:val="17"/>
        </w:rPr>
        <w:t xml:space="preserve">║              │ • Pricing recommendations             │                      ║</w:t>
      </w:r>
    </w:p>
    <w:p>
      <w:pPr>
        <w:shd w:fill="F8F8F8" w:color="F8F8F8" w:val="solid"/>
        <w:spacing w:after="0" w:before="0" w:line="260"/>
      </w:pPr>
      <w:r>
        <w:rPr>
          <w:rFonts w:ascii="Consolas" w:cs="Consolas" w:eastAsia="Consolas" w:hAnsi="Consolas"/>
          <w:color w:val="333333"/>
          <w:sz w:val="17"/>
          <w:szCs w:val="17"/>
        </w:rPr>
        <w:t xml:space="preserve">║              └──────────────────────────────────────┘                      ║</w:t>
      </w:r>
    </w:p>
    <w:p>
      <w:pPr>
        <w:shd w:fill="F8F8F8" w:color="F8F8F8" w:val="solid"/>
        <w:spacing w:after="0" w:before="0" w:line="260"/>
      </w:pPr>
      <w:r>
        <w:rPr>
          <w:rFonts w:ascii="Consolas" w:cs="Consolas" w:eastAsia="Consolas" w:hAnsi="Consolas"/>
          <w:color w:val="333333"/>
          <w:sz w:val="17"/>
          <w:szCs w:val="17"/>
        </w:rPr>
        <w:t xml:space="preserve">║                                                                             ║</w:t>
      </w:r>
    </w:p>
    <w:p>
      <w:pPr>
        <w:shd w:fill="F8F8F8" w:color="F8F8F8" w:val="solid"/>
        <w:spacing w:after="0" w:before="0" w:line="260"/>
      </w:pPr>
      <w:r>
        <w:rPr>
          <w:rFonts w:ascii="Consolas" w:cs="Consolas" w:eastAsia="Consolas" w:hAnsi="Consolas"/>
          <w:color w:val="333333"/>
          <w:sz w:val="17"/>
          <w:szCs w:val="17"/>
        </w:rPr>
        <w:t xml:space="preserve">║   SOVEREIGN DATA: Isolated per-client │ Zero-trust │ POPIA/GDPR/SOX        ║</w:t>
      </w:r>
    </w:p>
    <w:p>
      <w:pPr>
        <w:shd w:fill="F8F8F8" w:color="F8F8F8" w:val="solid"/>
        <w:spacing w:after="0" w:before="0" w:line="260"/>
      </w:pPr>
      <w:r>
        <w:rPr>
          <w:rFonts w:ascii="Consolas" w:cs="Consolas" w:eastAsia="Consolas" w:hAnsi="Consolas"/>
          <w:color w:val="333333"/>
          <w:sz w:val="17"/>
          <w:szCs w:val="17"/>
        </w:rPr>
        <w:t xml:space="preserve">║                                                                             ║</w:t>
      </w:r>
    </w:p>
    <w:p>
      <w:pPr>
        <w:shd w:fill="F8F8F8" w:color="F8F8F8" w:val="solid"/>
        <w:spacing w:after="0" w:before="0" w:line="260"/>
      </w:pPr>
      <w:r>
        <w:rPr>
          <w:rFonts w:ascii="Consolas" w:cs="Consolas" w:eastAsia="Consolas" w:hAnsi="Consolas"/>
          <w:color w:val="333333"/>
          <w:sz w:val="17"/>
          <w:szCs w:val="17"/>
        </w:rPr>
        <w:t xml:space="preserve">╚══════════════════════════════════════════════════════════════════════════╝</w:t>
      </w:r>
    </w:p>
    <w:p>
      <w:pPr>
        <w:spacing w:after="120"/>
      </w:pPr>
    </w:p>
    <w:p>
      <w:pPr>
        <w:spacing w:after="60"/>
      </w:pPr>
    </w:p>
    <w:p>
      <w:pPr>
        <w:spacing w:after="120" w:before="0"/>
      </w:pPr>
      <w:r>
        <w:rPr>
          <w:rFonts w:ascii="Calibri" w:cs="Calibri" w:eastAsia="Calibri" w:hAnsi="Calibri"/>
          <w:b w:val="false"/>
          <w:bCs w:val="false"/>
          <w:i/>
          <w:iCs/>
          <w:color w:val="666666"/>
          <w:sz w:val="21"/>
          <w:szCs w:val="21"/>
        </w:rPr>
        <w:t xml:space="preserve">FIG 31–35 are provided as black-and-white line drawings in accordance with CIPC drawing standards.</w:t>
      </w:r>
    </w:p>
    <w:p>
      <w:pPr>
        <w:pageBreakBefore/>
      </w:pPr>
      <w:r>
        <w:br/>
      </w:r>
    </w:p>
    <w:p>
      <w:pPr>
        <w:spacing w:after="160" w:before="360"/>
      </w:pPr>
      <w:r>
        <w:rPr>
          <w:rFonts w:ascii="Calibri" w:cs="Calibri" w:eastAsia="Calibri" w:hAnsi="Calibri"/>
          <w:b/>
          <w:bCs/>
          <w:color w:val="1B3A5C"/>
          <w:sz w:val="26"/>
          <w:szCs w:val="26"/>
        </w:rPr>
        <w:t xml:space="preserve">16. Incorporation by Reference</w:t>
      </w:r>
    </w:p>
    <w:p>
      <w:pPr>
        <w:spacing w:after="120" w:before="0"/>
      </w:pPr>
      <w:r>
        <w:rPr>
          <w:rFonts w:ascii="Calibri" w:cs="Calibri" w:eastAsia="Calibri" w:hAnsi="Calibri"/>
          <w:b w:val="false"/>
          <w:bCs w:val="false"/>
          <w:i w:val="false"/>
          <w:iCs w:val="false"/>
          <w:color w:val="000000"/>
          <w:sz w:val="21"/>
          <w:szCs w:val="21"/>
        </w:rPr>
        <w:t xml:space="preserve">This CIP Submission 6 incorporates by reference all disclosures, claims, figures, and descriptions from:</w:t>
      </w:r>
    </w:p>
    <w:p>
      <w:pPr>
        <w:spacing w:after="60"/>
      </w:pPr>
    </w:p>
    <w:p>
      <w:pPr>
        <w:pStyle w:val="ListParagraph"/>
        <w:numPr>
          <w:ilvl w:val="0"/>
          <w:numId w:val="1"/>
        </w:numPr>
        <w:spacing w:after="60"/>
        <w:ind w:left="720"/>
      </w:pPr>
      <w:r>
        <w:rPr>
          <w:rFonts w:ascii="Calibri" w:cs="Calibri" w:eastAsia="Calibri" w:hAnsi="Calibri"/>
          <w:sz w:val="21"/>
          <w:szCs w:val="21"/>
        </w:rPr>
        <w:t xml:space="preserve">Parent Provisional Specification (Application ID 1773575338868, filed 12 March 2026)</w:t>
      </w:r>
    </w:p>
    <w:p>
      <w:pPr>
        <w:pStyle w:val="ListParagraph"/>
        <w:numPr>
          <w:ilvl w:val="0"/>
          <w:numId w:val="1"/>
        </w:numPr>
        <w:spacing w:after="60"/>
        <w:ind w:left="720"/>
      </w:pPr>
      <w:r>
        <w:rPr>
          <w:rFonts w:ascii="Calibri" w:cs="Calibri" w:eastAsia="Calibri" w:hAnsi="Calibri"/>
          <w:sz w:val="21"/>
          <w:szCs w:val="21"/>
        </w:rPr>
        <w:t xml:space="preserve">CIP Submission 2 (filed 16 March 2026)</w:t>
      </w:r>
    </w:p>
    <w:p>
      <w:pPr>
        <w:pStyle w:val="ListParagraph"/>
        <w:numPr>
          <w:ilvl w:val="0"/>
          <w:numId w:val="1"/>
        </w:numPr>
        <w:spacing w:after="60"/>
        <w:ind w:left="720"/>
      </w:pPr>
      <w:r>
        <w:rPr>
          <w:rFonts w:ascii="Calibri" w:cs="Calibri" w:eastAsia="Calibri" w:hAnsi="Calibri"/>
          <w:sz w:val="21"/>
          <w:szCs w:val="21"/>
        </w:rPr>
        <w:t xml:space="preserve">CIP Submission 3 (filed 18 March 2026)</w:t>
      </w:r>
    </w:p>
    <w:p>
      <w:pPr>
        <w:pStyle w:val="ListParagraph"/>
        <w:numPr>
          <w:ilvl w:val="0"/>
          <w:numId w:val="1"/>
        </w:numPr>
        <w:spacing w:after="60"/>
        <w:ind w:left="720"/>
      </w:pPr>
      <w:r>
        <w:rPr>
          <w:rFonts w:ascii="Calibri" w:cs="Calibri" w:eastAsia="Calibri" w:hAnsi="Calibri"/>
          <w:sz w:val="21"/>
          <w:szCs w:val="21"/>
        </w:rPr>
        <w:t xml:space="preserve">CIP Submission 4 (filed 19 March 2026)</w:t>
      </w:r>
    </w:p>
    <w:p>
      <w:pPr>
        <w:pStyle w:val="ListParagraph"/>
        <w:numPr>
          <w:ilvl w:val="0"/>
          <w:numId w:val="1"/>
        </w:numPr>
        <w:spacing w:after="60"/>
        <w:ind w:left="720"/>
      </w:pPr>
      <w:r>
        <w:rPr>
          <w:rFonts w:ascii="Calibri" w:cs="Calibri" w:eastAsia="Calibri" w:hAnsi="Calibri"/>
          <w:sz w:val="21"/>
          <w:szCs w:val="21"/>
        </w:rPr>
        <w:t xml:space="preserve">CIP Submission 5 (filed 20 March 2026)</w:t>
      </w:r>
    </w:p>
    <w:p>
      <w:pPr>
        <w:spacing w:after="60"/>
      </w:pPr>
    </w:p>
    <w:p>
      <w:pPr>
        <w:spacing w:after="120" w:before="0"/>
      </w:pPr>
      <w:r>
        <w:rPr>
          <w:rFonts w:ascii="Calibri" w:cs="Calibri" w:eastAsia="Calibri" w:hAnsi="Calibri"/>
          <w:b w:val="false"/>
          <w:bCs w:val="false"/>
          <w:i w:val="false"/>
          <w:iCs w:val="false"/>
          <w:color w:val="000000"/>
          <w:sz w:val="21"/>
          <w:szCs w:val="21"/>
        </w:rPr>
        <w:t xml:space="preserve">All prior modules (1–31), claims (1–55), and figures (FIG 1–30) remain in full force. This submission adds Module 32, Claims 56–75, and FIG 31–35.</w:t>
      </w:r>
    </w:p>
    <w:p>
      <w:pPr>
        <w:spacing w:after="160" w:before="360"/>
      </w:pPr>
      <w:r>
        <w:rPr>
          <w:rFonts w:ascii="Calibri" w:cs="Calibri" w:eastAsia="Calibri" w:hAnsi="Calibri"/>
          <w:b/>
          <w:bCs/>
          <w:color w:val="1B3A5C"/>
          <w:sz w:val="26"/>
          <w:szCs w:val="26"/>
        </w:rPr>
        <w:t xml:space="preserve">17. Declaration</w:t>
      </w:r>
    </w:p>
    <w:p>
      <w:pPr>
        <w:spacing w:after="120" w:before="0"/>
      </w:pPr>
      <w:r>
        <w:rPr>
          <w:rFonts w:ascii="Calibri" w:cs="Calibri" w:eastAsia="Calibri" w:hAnsi="Calibri"/>
          <w:b w:val="false"/>
          <w:bCs w:val="false"/>
          <w:i w:val="false"/>
          <w:iCs w:val="false"/>
          <w:color w:val="000000"/>
          <w:sz w:val="21"/>
          <w:szCs w:val="21"/>
        </w:rPr>
        <w:t xml:space="preserve">I, David Cameron, declare that:</w:t>
      </w:r>
    </w:p>
    <w:p>
      <w:pPr>
        <w:spacing w:after="60"/>
      </w:pPr>
    </w:p>
    <w:p>
      <w:pPr>
        <w:pStyle w:val="ListParagraph"/>
        <w:numPr>
          <w:ilvl w:val="0"/>
          <w:numId w:val="1"/>
        </w:numPr>
        <w:spacing w:after="60"/>
        <w:ind w:left="720"/>
      </w:pPr>
      <w:r>
        <w:rPr>
          <w:rFonts w:ascii="Calibri" w:cs="Calibri" w:eastAsia="Calibri" w:hAnsi="Calibri"/>
          <w:sz w:val="21"/>
          <w:szCs w:val="21"/>
        </w:rPr>
        <w:t xml:space="preserve">I am the sole inventor and applicant for this continuation-in-part specification</w:t>
      </w:r>
    </w:p>
    <w:p>
      <w:pPr>
        <w:pStyle w:val="ListParagraph"/>
        <w:numPr>
          <w:ilvl w:val="0"/>
          <w:numId w:val="1"/>
        </w:numPr>
        <w:spacing w:after="60"/>
        <w:ind w:left="720"/>
      </w:pPr>
      <w:r>
        <w:rPr>
          <w:rFonts w:ascii="Calibri" w:cs="Calibri" w:eastAsia="Calibri" w:hAnsi="Calibri"/>
          <w:sz w:val="21"/>
          <w:szCs w:val="21"/>
        </w:rPr>
        <w:t xml:space="preserve">The innovations described herein are novel and not previously disclosed in any prior art known to me</w:t>
      </w:r>
    </w:p>
    <w:p>
      <w:pPr>
        <w:pStyle w:val="ListParagraph"/>
        <w:numPr>
          <w:ilvl w:val="0"/>
          <w:numId w:val="1"/>
        </w:numPr>
        <w:spacing w:after="60"/>
        <w:ind w:left="720"/>
      </w:pPr>
      <w:r>
        <w:rPr>
          <w:rFonts w:ascii="Calibri" w:cs="Calibri" w:eastAsia="Calibri" w:hAnsi="Calibri"/>
          <w:sz w:val="21"/>
          <w:szCs w:val="21"/>
        </w:rPr>
        <w:t xml:space="preserve">The system described is fully implemented in production code, deployed, and operational at the Production URL specified</w:t>
      </w:r>
    </w:p>
    <w:p>
      <w:pPr>
        <w:pStyle w:val="ListParagraph"/>
        <w:numPr>
          <w:ilvl w:val="0"/>
          <w:numId w:val="1"/>
        </w:numPr>
        <w:spacing w:after="60"/>
        <w:ind w:left="720"/>
      </w:pPr>
      <w:r>
        <w:rPr>
          <w:rFonts w:ascii="Calibri" w:cs="Calibri" w:eastAsia="Calibri" w:hAnsi="Calibri"/>
          <w:sz w:val="21"/>
          <w:szCs w:val="21"/>
        </w:rPr>
        <w:t xml:space="preserve">All code implementations referenced in this specification exist in the GitHub repository and production deployment</w:t>
      </w:r>
    </w:p>
    <w:p>
      <w:pPr>
        <w:pStyle w:val="ListParagraph"/>
        <w:numPr>
          <w:ilvl w:val="0"/>
          <w:numId w:val="1"/>
        </w:numPr>
        <w:spacing w:after="60"/>
        <w:ind w:left="720"/>
      </w:pPr>
      <w:r>
        <w:rPr>
          <w:rFonts w:ascii="Calibri" w:cs="Calibri" w:eastAsia="Calibri" w:hAnsi="Calibri"/>
          <w:sz w:val="21"/>
          <w:szCs w:val="21"/>
        </w:rPr>
        <w:t xml:space="preserve">This CIP Submission 6 extends the parent provisional and all prior CIP submissions without contradiction</w:t>
      </w:r>
    </w:p>
    <w:p>
      <w:pPr>
        <w:spacing w:after="60"/>
      </w:pPr>
    </w:p>
    <w:p>
      <w:pPr>
        <w:spacing w:after="60"/>
      </w:pPr>
    </w:p>
    <w:p>
      <w:pPr>
        <w:spacing w:after="120" w:before="0"/>
      </w:pPr>
      <w:r>
        <w:rPr>
          <w:rFonts w:ascii="Calibri" w:cs="Calibri" w:eastAsia="Calibri" w:hAnsi="Calibri"/>
          <w:b w:val="false"/>
          <w:bCs w:val="false"/>
          <w:i w:val="false"/>
          <w:iCs w:val="false"/>
          <w:color w:val="000000"/>
          <w:sz w:val="21"/>
          <w:szCs w:val="21"/>
        </w:rPr>
        <w:t xml:space="preserve">Signed: ___________________________</w:t>
      </w:r>
    </w:p>
    <w:p>
      <w:pPr>
        <w:spacing w:after="120" w:before="0"/>
      </w:pPr>
      <w:r>
        <w:rPr>
          <w:rFonts w:ascii="Calibri" w:cs="Calibri" w:eastAsia="Calibri" w:hAnsi="Calibri"/>
          <w:b w:val="false"/>
          <w:bCs w:val="false"/>
          <w:i w:val="false"/>
          <w:iCs w:val="false"/>
          <w:color w:val="000000"/>
          <w:sz w:val="21"/>
          <w:szCs w:val="21"/>
        </w:rPr>
        <w:t xml:space="preserve">David Cameron</w:t>
      </w:r>
    </w:p>
    <w:p>
      <w:pPr>
        <w:spacing w:after="120" w:before="0"/>
      </w:pPr>
      <w:r>
        <w:rPr>
          <w:rFonts w:ascii="Calibri" w:cs="Calibri" w:eastAsia="Calibri" w:hAnsi="Calibri"/>
          <w:b w:val="false"/>
          <w:bCs w:val="false"/>
          <w:i w:val="false"/>
          <w:iCs w:val="false"/>
          <w:color w:val="000000"/>
          <w:sz w:val="21"/>
          <w:szCs w:val="21"/>
        </w:rPr>
        <w:t xml:space="preserve">Date: 20 March 2026</w:t>
      </w:r>
    </w:p>
    <w:p>
      <w:pPr>
        <w:spacing w:after="120" w:before="0"/>
      </w:pPr>
      <w:r>
        <w:rPr>
          <w:rFonts w:ascii="Calibri" w:cs="Calibri" w:eastAsia="Calibri" w:hAnsi="Calibri"/>
          <w:b w:val="false"/>
          <w:bCs w:val="false"/>
          <w:i w:val="false"/>
          <w:iCs w:val="false"/>
          <w:color w:val="000000"/>
          <w:sz w:val="21"/>
          <w:szCs w:val="21"/>
        </w:rPr>
        <w:t xml:space="preserve">Johannesburg, South Africa</w:t>
      </w:r>
    </w:p>
    <w:p>
      <w:pPr>
        <w:spacing w:after="60"/>
      </w:pPr>
    </w:p>
    <w:p>
      <w:pPr>
        <w:spacing w:after="60"/>
      </w:pPr>
    </w:p>
    <w:p>
      <w:pPr>
        <w:spacing w:after="80" w:before="0"/>
        <w:jc w:val="center"/>
      </w:pPr>
      <w:r>
        <w:rPr>
          <w:rFonts w:ascii="Calibri" w:cs="Calibri" w:eastAsia="Calibri" w:hAnsi="Calibri"/>
          <w:b w:val="false"/>
          <w:bCs w:val="false"/>
          <w:i/>
          <w:iCs/>
          <w:color w:val="666666"/>
          <w:sz w:val="20"/>
          <w:szCs w:val="20"/>
        </w:rPr>
        <w:t xml:space="preserve">— End of CIP Submission 6 —</w:t>
      </w:r>
    </w:p>
    <w:p>
      <w:pPr>
        <w:spacing w:after="80" w:before="0"/>
        <w:jc w:val="center"/>
      </w:pPr>
      <w:r>
        <w:rPr>
          <w:rFonts w:ascii="Calibri" w:cs="Calibri" w:eastAsia="Calibri" w:hAnsi="Calibri"/>
          <w:b w:val="false"/>
          <w:bCs w:val="false"/>
          <w:i w:val="false"/>
          <w:iCs w:val="false"/>
          <w:color w:val="666666"/>
          <w:sz w:val="18"/>
          <w:szCs w:val="18"/>
        </w:rPr>
        <w:t xml:space="preserve">CIPC Patent Application ID 1773575338868 | 75 Total Claims | 32 Modules</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CuraLive CIPC CIP Submission 6 — Claims 56–75</dc:title>
  <dc:creator>CuraLive — David Cameron</dc:creator>
  <cp:lastModifiedBy>Un-named</cp:lastModifiedBy>
  <cp:revision>1</cp:revision>
  <dcterms:created xsi:type="dcterms:W3CDTF">2026-03-21T08:01:36.293Z</dcterms:created>
  <dcterms:modified xsi:type="dcterms:W3CDTF">2026-03-21T08:01:36.293Z</dcterms:modified>
</cp:coreProperties>
</file>

<file path=docProps/custom.xml><?xml version="1.0" encoding="utf-8"?>
<Properties xmlns="http://schemas.openxmlformats.org/officeDocument/2006/custom-properties" xmlns:vt="http://schemas.openxmlformats.org/officeDocument/2006/docPropsVTypes"/>
</file>