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rFonts w:ascii="Calibri" w:cs="Calibri" w:eastAsia="Calibri" w:hAnsi="Calibri"/>
          <w:b/>
          <w:bCs/>
          <w:color w:val="3B82F6"/>
          <w:sz w:val="28"/>
          <w:szCs w:val="28"/>
        </w:rPr>
        <w:t xml:space="preserve">CONTINUATION-IN-PART (CIP)</w:t>
      </w:r>
    </w:p>
    <w:p>
      <w:pPr>
        <w:spacing w:after="200"/>
        <w:jc w:val="center"/>
      </w:pPr>
      <w:r>
        <w:rPr>
          <w:rFonts w:ascii="Calibri" w:cs="Calibri" w:eastAsia="Calibri" w:hAnsi="Calibri"/>
          <w:b/>
          <w:bCs/>
          <w:color w:val="3B82F6"/>
          <w:sz w:val="28"/>
          <w:szCs w:val="28"/>
        </w:rPr>
        <w:t xml:space="preserve">SUPPLEMENTARY PATENT SPECIFICATION</w:t>
      </w:r>
    </w:p>
    <w:p>
      <w:pPr>
        <w:spacing w:after="100"/>
        <w:jc w:val="center"/>
      </w:pPr>
      <w:r>
        <w:rPr>
          <w:rFonts w:ascii="Calibri" w:cs="Calibri" w:eastAsia="Calibri" w:hAnsi="Calibri"/>
          <w:b/>
          <w:bCs/>
          <w:color w:val="1B2A4A"/>
          <w:sz w:val="52"/>
          <w:szCs w:val="52"/>
        </w:rPr>
        <w:t xml:space="preserve">CuraLive</w:t>
      </w:r>
    </w:p>
    <w:p>
      <w:pPr>
        <w:spacing w:after="100"/>
        <w:jc w:val="center"/>
      </w:pPr>
      <w:r>
        <w:rPr>
          <w:rFonts w:ascii="Calibri" w:cs="Calibri" w:eastAsia="Calibri" w:hAnsi="Calibri"/>
          <w:color w:val="2C3E6B"/>
          <w:sz w:val="28"/>
          <w:szCs w:val="28"/>
        </w:rPr>
        <w:t xml:space="preserve">Second CIPC Submission</w:t>
      </w:r>
    </w:p>
    <w:p>
      <w:pPr>
        <w:spacing w:after="100"/>
        <w:jc w:val="center"/>
      </w:pPr>
      <w:r>
        <w:rPr>
          <w:rFonts w:ascii="Calibri" w:cs="Calibri" w:eastAsia="Calibri" w:hAnsi="Calibri"/>
          <w:color w:val="2C3E6B"/>
          <w:sz w:val="28"/>
          <w:szCs w:val="28"/>
        </w:rPr>
        <w:t xml:space="preserve">Autonomous Intelligence Modules 14–20</w:t>
      </w:r>
    </w:p>
    <w:p>
      <w:pPr>
        <w:spacing w:after="400"/>
        <w:jc w:val="center"/>
      </w:pPr>
      <w:r>
        <w:rPr>
          <w:rFonts w:ascii="Calibri" w:cs="Calibri" w:eastAsia="Calibri" w:hAnsi="Calibri"/>
          <w:i/>
          <w:iCs/>
          <w:color w:val="666666"/>
          <w:sz w:val="22"/>
          <w:szCs w:val="22"/>
        </w:rPr>
        <w:t xml:space="preserve">(Extending Modules 1–13 and Claims 1–25 of the Parent Provisional)</w:t>
      </w:r>
    </w:p>
    <w:p>
      <w:pPr>
        <w:spacing w:after="400"/>
        <w:jc w:val="center"/>
      </w:pPr>
      <w:r>
        <w:rPr>
          <w:color w:val="CCCCCC"/>
          <w:sz w:val="20"/>
          <w:szCs w:val="20"/>
        </w:rPr>
        <w:t xml:space="preserve">────────────────────────────────────</w:t>
      </w:r>
    </w:p>
    <w:p>
      <w:pPr>
        <w:spacing w:after="40"/>
        <w:jc w:val="center"/>
      </w:pPr>
      <w:r>
        <w:rPr>
          <w:rFonts w:ascii="Calibri" w:cs="Calibri" w:eastAsia="Calibri" w:hAnsi="Calibri"/>
          <w:b/>
          <w:bCs/>
          <w:color w:val="1B2A4A"/>
          <w:sz w:val="20"/>
          <w:szCs w:val="20"/>
        </w:rPr>
        <w:t xml:space="preserve">Document Classification: </w:t>
      </w:r>
      <w:r>
        <w:rPr>
          <w:rFonts w:ascii="Calibri" w:cs="Calibri" w:eastAsia="Calibri" w:hAnsi="Calibri"/>
          <w:color w:val="000000"/>
          <w:sz w:val="20"/>
          <w:szCs w:val="20"/>
        </w:rPr>
        <w:t xml:space="preserve">Confidential — Patent Filing Support Material</w:t>
      </w:r>
    </w:p>
    <w:p>
      <w:pPr>
        <w:spacing w:after="40"/>
        <w:jc w:val="center"/>
      </w:pPr>
      <w:r>
        <w:rPr>
          <w:rFonts w:ascii="Calibri" w:cs="Calibri" w:eastAsia="Calibri" w:hAnsi="Calibri"/>
          <w:b/>
          <w:bCs/>
          <w:color w:val="1B2A4A"/>
          <w:sz w:val="20"/>
          <w:szCs w:val="20"/>
        </w:rPr>
        <w:t xml:space="preserve">Document Type: </w:t>
      </w:r>
      <w:r>
        <w:rPr>
          <w:rFonts w:ascii="Calibri" w:cs="Calibri" w:eastAsia="Calibri" w:hAnsi="Calibri"/>
          <w:color w:val="000000"/>
          <w:sz w:val="20"/>
          <w:szCs w:val="20"/>
        </w:rPr>
        <w:t xml:space="preserve">Continuation-in-Part (CIP) Supplementary Specification</w:t>
      </w:r>
    </w:p>
    <w:p>
      <w:pPr>
        <w:spacing w:after="40"/>
        <w:jc w:val="center"/>
      </w:pPr>
      <w:r>
        <w:rPr>
          <w:rFonts w:ascii="Calibri" w:cs="Calibri" w:eastAsia="Calibri" w:hAnsi="Calibri"/>
          <w:b/>
          <w:bCs/>
          <w:color w:val="1B2A4A"/>
          <w:sz w:val="20"/>
          <w:szCs w:val="20"/>
        </w:rPr>
        <w:t xml:space="preserve">Submission Number: </w:t>
      </w:r>
      <w:r>
        <w:rPr>
          <w:rFonts w:ascii="Calibri" w:cs="Calibri" w:eastAsia="Calibri" w:hAnsi="Calibri"/>
          <w:color w:val="000000"/>
          <w:sz w:val="20"/>
          <w:szCs w:val="20"/>
        </w:rPr>
        <w:t xml:space="preserve">Second CIPC Filing</w:t>
      </w:r>
    </w:p>
    <w:p>
      <w:pPr>
        <w:spacing w:after="40"/>
        <w:jc w:val="center"/>
      </w:pPr>
      <w:r>
        <w:rPr>
          <w:rFonts w:ascii="Calibri" w:cs="Calibri" w:eastAsia="Calibri" w:hAnsi="Calibri"/>
          <w:b/>
          <w:bCs/>
          <w:color w:val="1B2A4A"/>
          <w:sz w:val="20"/>
          <w:szCs w:val="20"/>
        </w:rPr>
        <w:t xml:space="preserve">Prepared: </w:t>
      </w:r>
      <w:r>
        <w:rPr>
          <w:rFonts w:ascii="Calibri" w:cs="Calibri" w:eastAsia="Calibri" w:hAnsi="Calibri"/>
          <w:color w:val="000000"/>
          <w:sz w:val="20"/>
          <w:szCs w:val="20"/>
        </w:rPr>
        <w:t xml:space="preserve">March 2026</w:t>
      </w:r>
    </w:p>
    <w:p>
      <w:pPr>
        <w:spacing w:after="200"/>
      </w:pPr>
    </w:p>
    <w:p>
      <w:pPr>
        <w:spacing w:after="80" w:before="100"/>
        <w:jc w:val="center"/>
      </w:pPr>
      <w:r>
        <w:rPr>
          <w:rFonts w:ascii="Calibri" w:cs="Calibri" w:eastAsia="Calibri" w:hAnsi="Calibri"/>
          <w:b/>
          <w:bCs/>
          <w:color w:val="1B2A4A"/>
          <w:sz w:val="24"/>
          <w:szCs w:val="24"/>
        </w:rPr>
        <w:t xml:space="preserve">Applicant</w:t>
      </w:r>
    </w:p>
    <w:p>
      <w:pPr>
        <w:spacing w:after="40"/>
        <w:jc w:val="center"/>
      </w:pPr>
      <w:r>
        <w:rPr>
          <w:rFonts w:ascii="Calibri" w:cs="Calibri" w:eastAsia="Calibri" w:hAnsi="Calibri"/>
          <w:b/>
          <w:bCs/>
          <w:color w:val="1B2A4A"/>
          <w:sz w:val="20"/>
          <w:szCs w:val="20"/>
        </w:rPr>
        <w:t xml:space="preserve">Name: </w:t>
      </w:r>
      <w:r>
        <w:rPr>
          <w:rFonts w:ascii="Calibri" w:cs="Calibri" w:eastAsia="Calibri" w:hAnsi="Calibri"/>
          <w:color w:val="000000"/>
          <w:sz w:val="20"/>
          <w:szCs w:val="20"/>
        </w:rPr>
        <w:t xml:space="preserve">David Cameron</w:t>
      </w:r>
    </w:p>
    <w:p>
      <w:pPr>
        <w:spacing w:after="40"/>
        <w:jc w:val="center"/>
      </w:pPr>
      <w:r>
        <w:rPr>
          <w:rFonts w:ascii="Calibri" w:cs="Calibri" w:eastAsia="Calibri" w:hAnsi="Calibri"/>
          <w:b/>
          <w:bCs/>
          <w:color w:val="1B2A4A"/>
          <w:sz w:val="20"/>
          <w:szCs w:val="20"/>
        </w:rPr>
        <w:t xml:space="preserve">Address: </w:t>
      </w:r>
      <w:r>
        <w:rPr>
          <w:rFonts w:ascii="Calibri" w:cs="Calibri" w:eastAsia="Calibri" w:hAnsi="Calibri"/>
          <w:color w:val="000000"/>
          <w:sz w:val="20"/>
          <w:szCs w:val="20"/>
        </w:rPr>
        <w:t xml:space="preserve">41 Rooigras Avenue, 73 Tiffani Gardens, Bassonia, 2090, Johannesburg</w:t>
      </w:r>
    </w:p>
    <w:p>
      <w:pPr>
        <w:spacing w:after="40"/>
        <w:jc w:val="center"/>
      </w:pPr>
      <w:r>
        <w:rPr>
          <w:rFonts w:ascii="Calibri" w:cs="Calibri" w:eastAsia="Calibri" w:hAnsi="Calibri"/>
          <w:b/>
          <w:bCs/>
          <w:color w:val="1B2A4A"/>
          <w:sz w:val="20"/>
          <w:szCs w:val="20"/>
        </w:rPr>
        <w:t xml:space="preserve">Contact: </w:t>
      </w:r>
      <w:r>
        <w:rPr>
          <w:rFonts w:ascii="Calibri" w:cs="Calibri" w:eastAsia="Calibri" w:hAnsi="Calibri"/>
          <w:color w:val="000000"/>
          <w:sz w:val="20"/>
          <w:szCs w:val="20"/>
        </w:rPr>
        <w:t xml:space="preserve">+27 84 444 6001</w:t>
      </w:r>
    </w:p>
    <w:p>
      <w:pPr>
        <w:spacing w:after="40"/>
        <w:jc w:val="center"/>
      </w:pPr>
      <w:r>
        <w:rPr>
          <w:rFonts w:ascii="Calibri" w:cs="Calibri" w:eastAsia="Calibri" w:hAnsi="Calibri"/>
          <w:b/>
          <w:bCs/>
          <w:color w:val="1B2A4A"/>
          <w:sz w:val="20"/>
          <w:szCs w:val="20"/>
        </w:rPr>
        <w:t xml:space="preserve">Country: </w:t>
      </w:r>
      <w:r>
        <w:rPr>
          <w:rFonts w:ascii="Calibri" w:cs="Calibri" w:eastAsia="Calibri" w:hAnsi="Calibri"/>
          <w:color w:val="000000"/>
          <w:sz w:val="20"/>
          <w:szCs w:val="20"/>
        </w:rPr>
        <w:t xml:space="preserve">Republic of South Africa</w:t>
      </w:r>
    </w:p>
    <w:p>
      <w:pPr>
        <w:spacing w:after="200"/>
      </w:pPr>
    </w:p>
    <w:p>
      <w:pPr>
        <w:spacing w:after="40"/>
        <w:jc w:val="center"/>
      </w:pPr>
      <w:r>
        <w:rPr>
          <w:rFonts w:ascii="Calibri" w:cs="Calibri" w:eastAsia="Calibri" w:hAnsi="Calibri"/>
          <w:b/>
          <w:bCs/>
          <w:color w:val="1B2A4A"/>
          <w:sz w:val="20"/>
          <w:szCs w:val="20"/>
        </w:rPr>
        <w:t xml:space="preserve">Filing Authority: </w:t>
      </w:r>
      <w:r>
        <w:rPr>
          <w:rFonts w:ascii="Calibri" w:cs="Calibri" w:eastAsia="Calibri" w:hAnsi="Calibri"/>
          <w:color w:val="000000"/>
          <w:sz w:val="20"/>
          <w:szCs w:val="20"/>
        </w:rPr>
        <w:t xml:space="preserve">Companies and Intellectual Property Commission (CIPC)</w:t>
      </w:r>
    </w:p>
    <w:p>
      <w:pPr>
        <w:spacing w:after="40"/>
        <w:jc w:val="center"/>
      </w:pPr>
      <w:r>
        <w:rPr>
          <w:rFonts w:ascii="Calibri" w:cs="Calibri" w:eastAsia="Calibri" w:hAnsi="Calibri"/>
          <w:b/>
          <w:bCs/>
          <w:color w:val="1B2A4A"/>
          <w:sz w:val="20"/>
          <w:szCs w:val="20"/>
        </w:rPr>
        <w:t xml:space="preserve">Filing Jurisdiction: </w:t>
      </w:r>
      <w:r>
        <w:rPr>
          <w:rFonts w:ascii="Calibri" w:cs="Calibri" w:eastAsia="Calibri" w:hAnsi="Calibri"/>
          <w:color w:val="000000"/>
          <w:sz w:val="20"/>
          <w:szCs w:val="20"/>
        </w:rPr>
        <w:t xml:space="preserve">South Africa (CIPC), with PCT international phase intended</w:t>
      </w:r>
    </w:p>
    <w:p>
      <w:pPr>
        <w:spacing w:after="40"/>
        <w:jc w:val="center"/>
      </w:pPr>
      <w:r>
        <w:rPr>
          <w:rFonts w:ascii="Calibri" w:cs="Calibri" w:eastAsia="Calibri" w:hAnsi="Calibri"/>
          <w:b/>
          <w:bCs/>
          <w:color w:val="1B2A4A"/>
          <w:sz w:val="20"/>
          <w:szCs w:val="20"/>
        </w:rPr>
        <w:t xml:space="preserve">Production URL: </w:t>
      </w:r>
      <w:r>
        <w:rPr>
          <w:rFonts w:ascii="Calibri" w:cs="Calibri" w:eastAsia="Calibri" w:hAnsi="Calibri"/>
          <w:color w:val="000000"/>
          <w:sz w:val="20"/>
          <w:szCs w:val="20"/>
        </w:rPr>
        <w:t xml:space="preserve">https://curalive-platform.replit.app</w:t>
      </w:r>
    </w:p>
    <w:p>
      <w:pPr>
        <w:spacing w:after="40"/>
        <w:jc w:val="center"/>
      </w:pPr>
      <w:r>
        <w:rPr>
          <w:rFonts w:ascii="Calibri" w:cs="Calibri" w:eastAsia="Calibri" w:hAnsi="Calibri"/>
          <w:b/>
          <w:bCs/>
          <w:color w:val="1B2A4A"/>
          <w:sz w:val="20"/>
          <w:szCs w:val="20"/>
        </w:rPr>
        <w:t xml:space="preserve">GitHub Repository: </w:t>
      </w:r>
      <w:r>
        <w:rPr>
          <w:rFonts w:ascii="Calibri" w:cs="Calibri" w:eastAsia="Calibri" w:hAnsi="Calibri"/>
          <w:color w:val="000000"/>
          <w:sz w:val="20"/>
          <w:szCs w:val="20"/>
        </w:rPr>
        <w:t xml:space="preserve">github.com/davecameron187-sys/curalive-platform</w:t>
      </w:r>
    </w:p>
    <w:p>
      <w:pPr>
        <w:spacing w:before="300"/>
      </w:pPr>
    </w:p>
    <w:p>
      <w:pPr>
        <w:spacing w:after="300"/>
        <w:jc w:val="center"/>
      </w:pPr>
      <w:r>
        <w:rPr>
          <w:rFonts w:ascii="Calibri" w:cs="Calibri" w:eastAsia="Calibri" w:hAnsi="Calibri"/>
          <w:i/>
          <w:iCs/>
          <w:color w:val="2C3E6B"/>
          <w:sz w:val="22"/>
          <w:szCs w:val="22"/>
        </w:rPr>
        <w:t xml:space="preserve">"System and Method for Autonomous Intelligence Orchestration, Self-Healing Regulatory Compliance, Multi-Event Integrity Certification, Autonomous Agent Swarm Command, Real-Time Valuation Simulation, and Self-Auditing Investor Engagement ROI for Investor Communication Events"</w:t>
      </w:r>
    </w:p>
    <w:p>
      <w:pPr>
        <w:spacing w:after="100" w:before="200"/>
      </w:pPr>
      <w:r>
        <w:rPr>
          <w:rFonts w:ascii="Calibri" w:cs="Calibri" w:eastAsia="Calibri" w:hAnsi="Calibri"/>
          <w:b/>
          <w:bCs/>
          <w:color w:val="1B2A4A"/>
          <w:sz w:val="22"/>
          <w:szCs w:val="22"/>
        </w:rPr>
        <w:t xml:space="preserve">Cross-Reference to Parent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Detail</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Value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Filing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Provisional Patent Specification — First CIPC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Title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System and Method for AI-Based Monitoring, Analysis, Cross-Platform Intelligence Capture, and Autonomous Intelligence Generation for Investor Communication Events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Applicant</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David Cameron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March 2026</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Scope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13 Subsystems (Sections 1–13), 25 Claims, 12 Figures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Filing Adds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7 New Autonomous Modules (14–20), 6 New Claims (26–31), 6 New Figures (13–18)</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 TITLE OF INVENTION</w:t>
      </w:r>
    </w:p>
    <w:p>
      <w:pPr>
        <w:spacing w:after="120"/>
      </w:pPr>
      <w:r>
        <w:rPr>
          <w:rFonts w:ascii="Calibri" w:cs="Calibri" w:eastAsia="Calibri" w:hAnsi="Calibri"/>
          <w:color w:val="000000"/>
          <w:sz w:val="21"/>
          <w:szCs w:val="21"/>
        </w:rPr>
        <w:t xml:space="preserve">System and Method for Autonomous Intelligence Orchestration, Self-Healing Regulatory Compliance, Multi-Event Integrity Certification, Autonomous Agent Swarm Command, Real-Time Valuation Impact Simulation, and Self-Auditing Investor Engagement ROI for Investor Communication Events</w:t>
      </w:r>
    </w:p>
    <w:p>
      <w:pPr>
        <w:pStyle w:val="Heading1"/>
        <w:pBdr>
          <w:bottom w:val="single" w:color="3B82F6" w:sz="2"/>
        </w:pBdr>
        <w:spacing w:after="200" w:before="400"/>
      </w:pPr>
      <w:r>
        <w:rPr>
          <w:rFonts w:ascii="Calibri" w:cs="Calibri" w:eastAsia="Calibri" w:hAnsi="Calibri"/>
          <w:b/>
          <w:bCs/>
          <w:color w:val="1B2A4A"/>
          <w:sz w:val="28"/>
          <w:szCs w:val="28"/>
        </w:rPr>
        <w:t xml:space="preserve">2. FIELD OF THE INVENTION</w:t>
      </w:r>
    </w:p>
    <w:p>
      <w:pPr>
        <w:spacing w:after="120"/>
      </w:pPr>
      <w:r>
        <w:rPr>
          <w:rFonts w:ascii="Calibri" w:cs="Calibri" w:eastAsia="Calibri" w:hAnsi="Calibri"/>
          <w:color w:val="000000"/>
          <w:sz w:val="21"/>
          <w:szCs w:val="21"/>
        </w:rPr>
        <w:t xml:space="preserve">The present invention relates to financial technology and investor relations platforms. More particularly, this Continuation-in-Part (CIP) supplementary specification extends the parent provisional patent specification (First CIPC Submission) to encompass autonomous, self-healing, and self-orchestrating intelligence capabilities that span entire investor communication campaigns without human planning or retraining.</w:t>
      </w:r>
    </w:p>
    <w:p>
      <w:pPr>
        <w:spacing w:after="120"/>
      </w:pPr>
      <w:r>
        <w:rPr>
          <w:rFonts w:ascii="Calibri" w:cs="Calibri" w:eastAsia="Calibri" w:hAnsi="Calibri"/>
          <w:color w:val="000000"/>
          <w:sz w:val="21"/>
          <w:szCs w:val="21"/>
        </w:rPr>
        <w:t xml:space="preserve">The invention further relates to methods for autonomous event campaign orchestration, self-healing regulatory compliance with predictive horizon scanning, multi-event blockchain integrity certification, autonomous AI agent swarm coordination across parallel global events, real-time valuation impact simulation during live investor events, and self-auditing investor engagement return-on-investment calculation with cryptographic proof of integrity.</w:t>
      </w:r>
    </w:p>
    <w:p>
      <w:pPr>
        <w:pStyle w:val="Heading1"/>
        <w:pBdr>
          <w:bottom w:val="single" w:color="3B82F6" w:sz="2"/>
        </w:pBdr>
        <w:spacing w:after="200" w:before="400"/>
      </w:pPr>
      <w:r>
        <w:rPr>
          <w:rFonts w:ascii="Calibri" w:cs="Calibri" w:eastAsia="Calibri" w:hAnsi="Calibri"/>
          <w:b/>
          <w:bCs/>
          <w:color w:val="1B2A4A"/>
          <w:sz w:val="28"/>
          <w:szCs w:val="28"/>
        </w:rPr>
        <w:t xml:space="preserve">3. RELATIONSHIP TO PARENT SPECIFICATION</w:t>
      </w:r>
    </w:p>
    <w:p>
      <w:pPr>
        <w:spacing w:after="120"/>
      </w:pPr>
      <w:r>
        <w:rPr>
          <w:rFonts w:ascii="Calibri" w:cs="Calibri" w:eastAsia="Calibri" w:hAnsi="Calibri"/>
          <w:color w:val="000000"/>
          <w:sz w:val="21"/>
          <w:szCs w:val="21"/>
        </w:rPr>
        <w:t xml:space="preserve">The parent provisional specification (First CIPC Submission) disclosed the following 13 subsystems with 25 independent claims and 12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Section</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Key Capability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 Monitoring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Real-time capture of communication signals from live events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Communication Signal Processing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Speech-to-text, speaker ID, question extraction, topic classification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Communication Analysis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Sentiment detection, topic classification, risk indicators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Agentic Event Intelligence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Multi-agent AI orchestration (sentiment, compliance, Q&amp;A, engagement)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Cross-Platform Communication Signal Capture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bridge connection via DTMF + silent AI agents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Embedded Real-Time Intelligence Operator Interface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Live AI analysis within operator control console (OCC)</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Anonymised Communication Intelligence Benchmarking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Industry-wide anonymised benchmarks from aggregate data</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Compliance Intervention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Real-time compliance-sensitive language detection + automated response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Self-Improving Communication Intelligence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Operator corrections as training signals for model refinement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Predictive Communication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Predicted investor concerns + market reactions from historical data</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Communication Intelligence Indexes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Transparency Index, Health Score, Concern Index</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Intervention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Moderator alerts, automated moderation, question prioritisation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Self-Evolving Platform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Three-layer autonomy: real-time, inter-event learning, platform evolution</w:t>
            </w:r>
          </w:p>
        </w:tc>
      </w:tr>
    </w:tbl>
    <w:p>
      <w:pPr>
        <w:spacing w:after="100"/>
      </w:pPr>
    </w:p>
    <w:p>
      <w:pPr>
        <w:spacing w:after="120"/>
      </w:pPr>
      <w:r>
        <w:rPr>
          <w:rFonts w:ascii="Calibri" w:cs="Calibri" w:eastAsia="Calibri" w:hAnsi="Calibri"/>
          <w:color w:val="000000"/>
          <w:sz w:val="21"/>
          <w:szCs w:val="21"/>
        </w:rPr>
        <w:t xml:space="preserve">The parent specification also disclosed 25 independent claims (System Claims 1–15, Method Claims 16–20, and Autonomous Self-Evolving Platform Claims 21–25) and 12 figures (FIG 1–12).</w:t>
      </w:r>
    </w:p>
    <w:p>
      <w:pPr>
        <w:spacing w:after="120"/>
      </w:pPr>
      <w:r>
        <w:rPr>
          <w:rFonts w:ascii="Calibri" w:cs="Calibri" w:eastAsia="Calibri" w:hAnsi="Calibri"/>
          <w:color w:val="000000"/>
          <w:sz w:val="21"/>
          <w:szCs w:val="21"/>
        </w:rPr>
        <w:t xml:space="preserve">This CIP supplementary specification adds 7 entirely new autonomous modules (numbered 14–20), 6 new independent claims (Claims 26–31), and 6 new figures (FIG 13–18). All new modules build upon and extend the capabilities disclosed in the parent specification.</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4. BACKGROUND OF THE INVENTION (UPDATED)</w:t>
      </w:r>
    </w:p>
    <w:p>
      <w:pPr>
        <w:spacing w:after="120"/>
      </w:pPr>
      <w:r>
        <w:rPr>
          <w:rFonts w:ascii="Calibri" w:cs="Calibri" w:eastAsia="Calibri" w:hAnsi="Calibri"/>
          <w:color w:val="000000"/>
          <w:sz w:val="21"/>
          <w:szCs w:val="21"/>
        </w:rPr>
        <w:t xml:space="preserve">The parent provisional specification disclosed real-time monitoring, cross-platform capture via silent agents, AI analysis, OCC integration, anonymised benchmarking, and autonomous self-evolving platform intelligence. This CIP supplementary specification addresses the next critical gap: autonomous, self-healing, and self-orchestrating intelligence that spans entire investor communication campaigns without human planning or retraining.</w:t>
      </w:r>
    </w:p>
    <w:p>
      <w:pPr>
        <w:spacing w:after="120"/>
      </w:pPr>
      <w:r>
        <w:rPr>
          <w:rFonts w:ascii="Calibri" w:cs="Calibri" w:eastAsia="Calibri" w:hAnsi="Calibri"/>
          <w:color w:val="000000"/>
          <w:sz w:val="21"/>
          <w:szCs w:val="21"/>
        </w:rPr>
        <w:t xml:space="preserve">The following limitations remain unaddressed by prior art and by the parent specification: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No prior art system autonomously designs, schedules, and continuously re-optimises entire multi-event investor campaigns (earnings season, roadshow series, AGM cycle) based on historical outcomes and market conditions.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No prior art system autonomously adapts to regulatory changes before they take effect, with predictive horizon scanning of 6–18 months and zero-downtime model patching across all compliance modules.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No prior art system autonomously builds and evolves a global investor influence graph from multi-channel event interactions, proactively scheduling optimal touchpoints to maximise capital raise probability.</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No prior art system links multiple successive investor events into a single verifiable blockchain-certified communication history chain with zero-knowledge privacy proofs and cumulative disclosure grading.</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No prior art system autonomously spawns, coordinates, and optimises swarms of AI agents across multiple simultaneous global events with reinforcement-learning resource allocation.</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No prior art system performs real-time share price valuation simulations during live events, updating intrinsic value estimates based on live sentiment and guidance tone, with fair-value-gap alerts delivered to the operator console and teleprompter.</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No prior art system autonomously tracks every investor touchpoint, calculates precise per-investor ROI, and generates self-audited quarterly reports with cryptographic proof of calculation integrity.</w:t>
      </w:r>
    </w:p>
    <w:p>
      <w:pPr>
        <w:pStyle w:val="Heading1"/>
        <w:pBdr>
          <w:bottom w:val="single" w:color="3B82F6" w:sz="2"/>
        </w:pBdr>
        <w:spacing w:after="200" w:before="400"/>
      </w:pPr>
      <w:r>
        <w:rPr>
          <w:rFonts w:ascii="Calibri" w:cs="Calibri" w:eastAsia="Calibri" w:hAnsi="Calibri"/>
          <w:b/>
          <w:bCs/>
          <w:color w:val="1B2A4A"/>
          <w:sz w:val="28"/>
          <w:szCs w:val="28"/>
        </w:rPr>
        <w:t xml:space="preserve">5. SUMMARY OF THE INVENTION (UPDATED)</w:t>
      </w:r>
    </w:p>
    <w:p>
      <w:pPr>
        <w:spacing w:after="120"/>
      </w:pPr>
      <w:r>
        <w:rPr>
          <w:rFonts w:ascii="Calibri" w:cs="Calibri" w:eastAsia="Calibri" w:hAnsi="Calibri"/>
          <w:color w:val="000000"/>
          <w:sz w:val="21"/>
          <w:szCs w:val="21"/>
        </w:rPr>
        <w:t xml:space="preserve">With this CIP filing, the platform now comprises 20 interconnected subsystems: the original 13 from the parent specification plus 7 new autonomous modules (14–20) disclosed herein. The new modules introduce true platform autonomy — the ability to orchestrate, heal, certify, and self-audit without human intervention.</w:t>
      </w:r>
    </w:p>
    <w:p>
      <w:pPr>
        <w:spacing w:after="100"/>
      </w:pPr>
    </w:p>
    <w:p>
      <w:pPr>
        <w:spacing w:after="120"/>
      </w:pPr>
      <w:r>
        <w:rPr>
          <w:rFonts w:ascii="Calibri" w:cs="Calibri" w:eastAsia="Calibri" w:hAnsi="Calibri"/>
          <w:color w:val="000000"/>
          <w:sz w:val="21"/>
          <w:szCs w:val="21"/>
        </w:rPr>
        <w:t xml:space="preserve">New Autonomous Modules (14–20) added by this CIP: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Module #</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 Name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Novel Capability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Campaign Orchestrator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RL-based multi-event campaign design, scheduling, and continuous re-optimisation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Predictive 6–18 month horizon scanning + zero-downtime model patching + jurisdiction-specific template generation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Investor Relationship Graph Weaver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Dynamic investor influence graph + proactive touchpoint scheduling for capital raise maximisation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Self-Certifying Multi-Event Integrity Chain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Inter-event blockchain hash linking + zero-knowledge proofs + cumulative AAA–NR History Certificate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Agent Swarm Commander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Dynamic spawning of parallel shadow agents across global events + RL resource allocation + cross-swarm fusion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Valuation Impact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Live Monte-Carlo intrinsic value simulation + fair-value-gap alerts in OCC and teleprompter</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Investor Engagement ROI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Per-investor ROI tracking + cryptographic proof of calculation integrity + self-audited quarterly reports</w:t>
            </w:r>
          </w:p>
        </w:tc>
      </w:tr>
    </w:tbl>
    <w:p>
      <w:pPr>
        <w:spacing w:after="200"/>
      </w:pPr>
    </w:p>
    <w:p>
      <w:pPr>
        <w:spacing w:after="120"/>
      </w:pPr>
      <w:r>
        <w:rPr>
          <w:rFonts w:ascii="Calibri" w:cs="Calibri" w:eastAsia="Calibri" w:hAnsi="Calibri"/>
          <w:color w:val="000000"/>
          <w:sz w:val="21"/>
          <w:szCs w:val="21"/>
        </w:rPr>
        <w:t xml:space="preserve">Combined Platform Summary — All 20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Source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 Monitoring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Communication Signal Processing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Communication Analysis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Agentic Event Intelligence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Cross-Platform Communication Signal Capture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Embedded Real-Time Intelligence Operator Interface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Anonymised Communication Intelligence Benchmarking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Compliance Intervention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Self-Improving Communication Intelligence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Predictive Communication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Communication Intelligence Indexes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Intervention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Self-Evolving Platform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Campaign Orchestrator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Investor Relationship Graph Weaver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Self-Certifying Multi-Event Integrity Chain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Agent Swarm Commander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Valuation Impact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Investor Engagement ROI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6. DETAILED DESCRIPTION OF NEW SUBSYSTEMS (MODULES 14–20)</w:t>
      </w:r>
    </w:p>
    <w:p>
      <w:pPr>
        <w:spacing w:after="100" w:before="200"/>
        <w:jc w:val="center"/>
      </w:pPr>
      <w:r>
        <w:rPr>
          <w:rFonts w:ascii="Calibri" w:cs="Calibri" w:eastAsia="Calibri" w:hAnsi="Calibri"/>
          <w:b/>
          <w:bCs/>
          <w:color w:val="3B82F6"/>
          <w:sz w:val="32"/>
          <w:szCs w:val="32"/>
        </w:rPr>
        <w:t xml:space="preserve">CIP SUPPLEMENTARY SPECIFICATION — AUTONOMOUS MODULES 14–20</w:t>
      </w:r>
    </w:p>
    <w:p>
      <w:pPr>
        <w:spacing w:after="300"/>
        <w:jc w:val="center"/>
      </w:pPr>
      <w:r>
        <w:rPr>
          <w:rFonts w:ascii="Calibri" w:cs="Calibri" w:eastAsia="Calibri" w:hAnsi="Calibri"/>
          <w:i/>
          <w:iCs/>
          <w:color w:val="666666"/>
          <w:sz w:val="22"/>
          <w:szCs w:val="22"/>
        </w:rPr>
        <w:t xml:space="preserve">Continuation-in-Part addition to the parent provisional specification filed March 2026</w:t>
      </w:r>
    </w:p>
    <w:p>
      <w:pPr>
        <w:pStyle w:val="Heading2"/>
        <w:spacing w:after="150" w:before="300"/>
      </w:pPr>
      <w:r>
        <w:rPr>
          <w:rFonts w:ascii="Calibri" w:cs="Calibri" w:eastAsia="Calibri" w:hAnsi="Calibri"/>
          <w:b/>
          <w:bCs/>
          <w:color w:val="2C3E6B"/>
          <w:sz w:val="24"/>
          <w:szCs w:val="24"/>
        </w:rPr>
        <w:t xml:space="preserve">6.14 Autonomous Event Campaign Orchestrator (Module 14)</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13</w:t>
      </w:r>
    </w:p>
    <w:p>
      <w:pPr>
        <w:spacing w:after="120"/>
      </w:pPr>
      <w:r>
        <w:rPr>
          <w:rFonts w:ascii="Calibri" w:cs="Calibri" w:eastAsia="Calibri" w:hAnsi="Calibri"/>
          <w:color w:val="000000"/>
          <w:sz w:val="21"/>
          <w:szCs w:val="21"/>
        </w:rPr>
        <w:t xml:space="preserve">Purpose: The AI autonomously designs, schedules, sequences, and continuously re-optimises entire multi-event investor campaigns (earnings season, roadshow series, AGM cycle) based on historical outcomes, regulatory calendars, investor intent graphs, and market volatility forecasts — without human input after initial high-level goals.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Ingests historical event outcomes including sentiment scores, investor attendance, capital raise conversion rates, and regulatory feedback from all prior campaigns.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Uses reinforcement learning to optimise campaign sequence, timing, content strategy, and speaker allocation across multi-event series (e.g., Q1 earnings → roadshow → AGM → Q2 earnings).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Autonomously schedules shadow agents (Module 5 of parent) and OCC resources (Module 6 of parent) for each event in the campaign based on predicted complexity and risk profile.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Dynamically re-plans remaining events in the campaign based on live regulatory signals, market volatility changes, and outcomes from completed events.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Generates pre-event strategic briefings including predicted investor concerns, recommended messaging, and optimal presentation structures.</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Produces campaign performance dashboards with real-time ROI tracking, sentiment trajectory graphs, and investor engagement funnels.</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Supports multi-geography campaign planning with timezone optimisation, regulatory calendar awareness, and cross-jurisdiction compliance checks.</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autonomously designs and continuously re-optimises multi-event investor campaigns using reinforcement learning.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Dynamic re-planning of remaining campaign events based on live outcomes from completed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shadow agent and OCC resource scheduling based on predicted event risk profiles.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6.15 Self-Healing Regulatory Oracle (Module 15)</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14</w:t>
      </w:r>
    </w:p>
    <w:p>
      <w:pPr>
        <w:spacing w:after="120"/>
      </w:pPr>
      <w:r>
        <w:rPr>
          <w:rFonts w:ascii="Calibri" w:cs="Calibri" w:eastAsia="Calibri" w:hAnsi="Calibri"/>
          <w:color w:val="000000"/>
          <w:sz w:val="21"/>
          <w:szCs w:val="21"/>
        </w:rPr>
        <w:t xml:space="preserve">Purpose: A meta-agent continuously monitors global regulatory changes (SEC, JSE, FCA, EU MAR) via legal feeds and case law. It pre-emptively updates all compliance classifiers, thresholds, and response templates across every module before new rules take effect. This extends the compliance capabilities of Module 8 (Autonomous Compliance Intervention) from the parent specification.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Continuous ingestion of global regulatory updates from SEC EDGAR, JSE SENS, FCA Register, EU MAR notifications, and legal commentary feeds.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Predictive impact modelling with 6–18 month horizon scanning: analyses proposed regulations, consultation papers, and parliamentary bills to predict future compliance requirements before enactment.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Autonomous generation and deployment of updated classifiers and templates with zero-downtime patching — new compliance models are hot-swapped without service interruption.</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Rollback safety gates: if updated classifiers produce anomalous results (false positive rate exceeds threshold), the system automatically rolls back to the prior version and flags for review.</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Jurisdiction-specific template generation: automatically creates jurisdiction-appropriate response templates, filing formats, and disclosure language (e.g., SENS for JSE, 8-K for SEC, RNS for FCA).</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Blockchain-logged adaptation records: every classifier update, threshold change, and template revision is cryptographically logged for audit-proof compliance demonstration.</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Regulatory change impact scoring: each detected regulatory change is scored for impact severity, affected modules, and estimated compliance effort.</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performs predictive regulatory horizon scanning with autonomous pre-emptive model updates.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Zero-downtime classifier patching with automatic rollback safety gates.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Blockchain-logged adaptation records for audit-proof regulatory compliance demonstration.</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6.16 Autonomous Investor Relationship Graph Weaver (Module 16)</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13 (Campaign context), FIG 16 (Swarm integration)</w:t>
      </w:r>
    </w:p>
    <w:p>
      <w:pPr>
        <w:spacing w:after="120"/>
      </w:pPr>
      <w:r>
        <w:rPr>
          <w:rFonts w:ascii="Calibri" w:cs="Calibri" w:eastAsia="Calibri" w:hAnsi="Calibri"/>
          <w:color w:val="000000"/>
          <w:sz w:val="21"/>
          <w:szCs w:val="21"/>
        </w:rPr>
        <w:t xml:space="preserve">Purpose: The AI autonomously builds and evolves a global investor influence graph from every interaction across events, emails, and shadow sessions. It proactively suggests and schedules optimal next-touchpoints to maximise engagement and capital raise probability. This extends the predictive capabilities of Module 10 (Predictive Communication Intelligence) from the parent specification.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Constructs a dynamic knowledge graph of investor relationships with nodes representing investors, companies, events, topics, and outcomes.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Edge weights continuously updated based on: attendance frequency, question sentiment, engagement duration, follow-up meeting conversion, and capital allocation history.</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Graph embedding algorithms identify hidden influence clusters — groups of investors who co-attend events, ask similar questions, or share investment theses.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Proactive touchpoint scheduling: based on graph analysis, the system autonomously recommends and schedules optimal next interactions (one-on-ones, roadshow meetings, targeted webcasts).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Capital raise probability scoring: for each investor node, the system calculates a dynamic probability of capital allocation based on engagement patterns, sentiment trajectory, and peer behaviour.</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Relationship health monitoring: alerts when key investor relationships show declining engagement, sentiment deterioration, or competitor-directed activity.</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autonomously builds and evolves a global investor influence graph from multi-channel event interactions.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Proactive touchpoint scheduling based on graph-derived capital raise probability maximisation.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Hidden influence cluster detection using graph embedding algorithms on investor behaviour data.</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6.17 Self-Certifying Multi-Event Integrity Chain (Module 17)</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15</w:t>
      </w:r>
    </w:p>
    <w:p>
      <w:pPr>
        <w:spacing w:after="120"/>
      </w:pPr>
      <w:r>
        <w:rPr>
          <w:rFonts w:ascii="Calibri" w:cs="Calibri" w:eastAsia="Calibri" w:hAnsi="Calibri"/>
          <w:color w:val="000000"/>
          <w:sz w:val="21"/>
          <w:szCs w:val="21"/>
        </w:rPr>
        <w:t xml:space="preserve">Purpose: The AI links multiple successive investor events (e.g., Q1 earnings → roadshow → AGM → Q2 earnings) into a single verifiable "Investor Communication History Chain" on blockchain. This extends the anonymised benchmarking concepts from Module 7 and the cryptographic audit concepts from Module 8 of the parent specification.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Inter-event hash linking: the final hash of each event's digital twin becomes the genesis hash of the subsequent event's chain, creating an unbroken cryptographic link across the entire investor communication history.</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Zero-knowledge proofs for privacy: enables regulators and auditors to verify the integrity and consistency of the communication chain without accessing the underlying transcript content.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Cumulative "Clean Disclosure History Certificate" with AAA–NR grading: a single certificate spanning the entire campaign or fiscal year, graded on cumulative disclosure quality, consistency, and regulatory compliance.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Automatic anomaly detection for long-term messaging drift: the system detects when executive messaging gradually shifts over multiple events, even when individual events appear internally consistent.</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Cross-event contradiction scoring: identifies statements in the current event that contradict positions taken in any prior linked event.</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Regulatory submission package: automatically generates a complete, verifiable disclosure package suitable for submission to JSE, SEC, or FCA upon request.</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Independent verification portal: external parties (regulators, auditors, institutional investors) can verify certificate authenticity using only the public hash chain.</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creates a cryptographically linked multi-event investor communication history chain.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Zero-knowledge proofs enabling integrity verification without content disclosure.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Cumulative Clean Disclosure History Certificate spanning entire fiscal years with AAA–NR grading.</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6.18 Autonomous AI Agent Swarm Commander (Module 18)</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16</w:t>
      </w:r>
    </w:p>
    <w:p>
      <w:pPr>
        <w:spacing w:after="120"/>
      </w:pPr>
      <w:r>
        <w:rPr>
          <w:rFonts w:ascii="Calibri" w:cs="Calibri" w:eastAsia="Calibri" w:hAnsi="Calibri"/>
          <w:color w:val="000000"/>
          <w:sz w:val="21"/>
          <w:szCs w:val="21"/>
        </w:rPr>
        <w:t xml:space="preserve">Purpose: The system autonomously spawns, coordinates, and optimises swarms of shadow AI agents across multiple simultaneous global events. It dynamically allocates compute, re-prioritises high-risk events, and merges intelligence into a unified command view. This extends Module 4 (Agentic Event Intelligence System) and Module 5 (Cross-Platform Capture) from the parent specification to operate at massive parallel scale.</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Dynamic agent spawning: when multiple investor events occur simultaneously (e.g., multiple companies reporting earnings on the same day), the system autonomously spawns independent shadow agents for each event.</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Real-time resource allocation using reinforcement learning: compute resources (transcription, AI analysis, sentiment scoring) are dynamically allocated based on event priority, risk profile, and real-time complexity assessment.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Cross-swarm intelligence fusion: insights from parallel events are correlated in real time — identifying sector-wide trends, peer company comparisons, and market-moving patterns that emerge only when viewing multiple events together.</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Unified command dashboard: the OCC (Module 6 of parent) displays a consolidated view of all active swarm agents with per-event status, risk indicators, and escalation flags.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Autonomous escalation: if any agent detects a critical compliance breach, significant sentiment shift, or material disclosure, it autonomously escalates to the unified command view with priority override.</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Agent health monitoring: each swarm agent is continuously monitored for performance degradation, connectivity issues, or analysis accuracy drift. Unhealthy agents are automatically replaced with fresh instances.</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Post-session cross-event intelligence report: after all simultaneous events conclude, the system generates a unified cross-event intelligence report highlighting sector trends, relative company performance, and market implications.</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autonomously spawns and coordinates swarms of AI agents across parallel investor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Reinforcement learning-based dynamic compute resource allocation for parallel event monitoring.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Cross-swarm intelligence fusion for identifying sector-wide trends across simultaneous events.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6.19 Autonomous Valuation Impact Oracle (Module 19)</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17</w:t>
      </w:r>
    </w:p>
    <w:p>
      <w:pPr>
        <w:spacing w:after="120"/>
      </w:pPr>
      <w:r>
        <w:rPr>
          <w:rFonts w:ascii="Calibri" w:cs="Calibri" w:eastAsia="Calibri" w:hAnsi="Calibri"/>
          <w:color w:val="000000"/>
          <w:sz w:val="21"/>
          <w:szCs w:val="21"/>
        </w:rPr>
        <w:t xml:space="preserve">Purpose: The AI autonomously runs real-time share price valuation simulations during live events, updating intrinsic value estimates based on live sentiment, guidance tone, and market reaction forecasts. It displays live valuation cones and "fair value gap" alerts in the OCC and teleprompter. This extends Module 10 (Predictive Communication Intelligence) from the parent specification with real-time financial modelling.</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Continuous ingestion of live transcript vectors, sentiment scores, guidance language analysis, and market microstructure data during the event.</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Real-time Monte-Carlo valuation simulations: runs 1,000+ parallel scenarios computing intrinsic value estimates using discounted cash flow (DCF), comparable company analysis, and precedent transaction models.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Live valuation cone display: shows the evolving probability distribution of fair value estimates as the event progresses, with the cone narrowing as more information is disclosed.</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Fair-value-gap alerts: when the current market price diverges significantly from the AI's evolving fair value estimate, alerts are generated in the OCC (Module 6 of parent) and optionally on the speaker's teleprompter.</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Guidance impact modelling: when executives provide forward guidance, the system instantly recalculates valuation implications and displays the impact delta.</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Peer comparison valuation: simultaneously monitors peer company valuations and relative value positioning during the event.</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Post-event valuation accuracy tracking: after market close, the system compares its live predictions against actual price movements to continuously improve model accuracy.</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performs real-time intrinsic valuation simulations during live investor events with live-updated fair value cones.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Fair-value-gap alerts delivered to operator console and teleprompter during live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Post-event valuation accuracy tracking for continuous model improvement.</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6.20 Self-Auditing Investor Engagement ROI Engine (Module 20)</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18</w:t>
      </w:r>
    </w:p>
    <w:p>
      <w:pPr>
        <w:spacing w:after="120"/>
      </w:pPr>
      <w:r>
        <w:rPr>
          <w:rFonts w:ascii="Calibri" w:cs="Calibri" w:eastAsia="Calibri" w:hAnsi="Calibri"/>
          <w:color w:val="000000"/>
          <w:sz w:val="21"/>
          <w:szCs w:val="21"/>
        </w:rPr>
        <w:t xml:space="preserve">Purpose: The AI autonomously tracks every investor touchpoint, calculates precise ROI per investor (capital raised, meeting conversion, sentiment shift), and generates self-audited quarterly reports with cryptographic proof of calculation integrity. This extends Module 7 (Anonymised Benchmarking) from the parent specification with per-investor attribution and cryptographic auditability.</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Comprehensive touchpoint tracking: every interaction with every investor is logged across all channels — events attended, questions asked, shadow session observations (Module 5 of parent), follow-up meetings, email exchanges, and capital allocation decisions.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Per-investor ROI calculation: for each investor in the graph (Module 16), the system calculates precise return on engagement investment including: cost of touchpoints (events, travel, time), capital raised or committed, sentiment trajectory, and meeting conversion rates.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Campaign ROI attribution: allocates capital raise outcomes to specific events and touchpoints in the campaign (Module 14), enabling precise understanding of which investor relations activities drive the most value.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Self-audited quarterly reports: generates comprehensive quarterly investor engagement reports with full calculation methodology, data sources, and assumptions documented for audit review.</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Cryptographic proof of calculation integrity: every ROI calculation is cryptographically hashed with its input data, methodology, and parameters. Any subsequent query can verify that the reported figures were computed from the stated inputs using the stated methodology.</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Benchmark comparison: ROI metrics are compared against industry benchmarks from the anonymised aggregate dataset (Module 7 of parent), enabling relative performance assessment.</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Predictive ROI modelling: based on historical touchpoint-to-outcome patterns, the system predicts expected ROI for proposed future investor engagement activities, enabling data-driven IR budget allocation.</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calculates per-investor ROI with cryptographic proof of calculation integrity.</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Self-audited quarterly reports with verifiable methodology and data source documentation.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Predictive ROI modelling for data-driven investor relations budget allocation.</w:t>
      </w:r>
    </w:p>
    <w:p>
      <w:pPr>
        <w:pBdr>
          <w:bottom w:val="single" w:color="DDDDDD" w:sz="1"/>
        </w:pBdr>
        <w:spacing w:after="200" w:before="200"/>
      </w:pPr>
      <w:r>
        <w:t xml:space="preserve"/>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7. ALTERNATIVE IMPLEMENTATIONS</w:t>
      </w:r>
    </w:p>
    <w:p>
      <w:pPr>
        <w:spacing w:after="120"/>
      </w:pPr>
      <w:r>
        <w:rPr>
          <w:rFonts w:ascii="Calibri" w:cs="Calibri" w:eastAsia="Calibri" w:hAnsi="Calibri"/>
          <w:color w:val="000000"/>
          <w:sz w:val="21"/>
          <w:szCs w:val="21"/>
        </w:rPr>
        <w:t xml:space="preserve">The systems and methods described in this supplementary specification may be implemented using a variety of computational architectures and analytical techniques.</w:t>
      </w:r>
    </w:p>
    <w:p>
      <w:pPr>
        <w:spacing w:after="120"/>
      </w:pPr>
      <w:r>
        <w:rPr>
          <w:rFonts w:ascii="Calibri" w:cs="Calibri" w:eastAsia="Calibri" w:hAnsi="Calibri"/>
          <w:color w:val="000000"/>
          <w:sz w:val="21"/>
          <w:szCs w:val="21"/>
        </w:rPr>
        <w:t xml:space="preserve">The reinforcement learning systems described for campaign orchestration (Module 14) and swarm resource allocation (Module 18) may use any suitable RL algorithm including but not limited to: Q-learning, policy gradient methods, proximal policy optimisation (PPO), actor-critic methods, or multi-agent reinforcement learning (MARL) frameworks.</w:t>
      </w:r>
    </w:p>
    <w:p>
      <w:pPr>
        <w:spacing w:after="120"/>
      </w:pPr>
      <w:r>
        <w:rPr>
          <w:rFonts w:ascii="Calibri" w:cs="Calibri" w:eastAsia="Calibri" w:hAnsi="Calibri"/>
          <w:color w:val="000000"/>
          <w:sz w:val="21"/>
          <w:szCs w:val="21"/>
        </w:rPr>
        <w:t xml:space="preserve">The blockchain certification systems (Module 17) may utilise any distributed ledger technology including but not limited to: Ethereum, Hyperledger Fabric, Polygon, or private blockchain implementations. Zero-knowledge proof implementations may use zk-SNARKs, zk-STARKs, Bulletproofs, or equivalent cryptographic proof systems.</w:t>
      </w:r>
    </w:p>
    <w:p>
      <w:pPr>
        <w:spacing w:after="120"/>
      </w:pPr>
      <w:r>
        <w:rPr>
          <w:rFonts w:ascii="Calibri" w:cs="Calibri" w:eastAsia="Calibri" w:hAnsi="Calibri"/>
          <w:color w:val="000000"/>
          <w:sz w:val="21"/>
          <w:szCs w:val="21"/>
        </w:rPr>
        <w:t xml:space="preserve">The graph database systems for investor relationship management (Module 16) may utilise any graph database technology including but not limited to: Neo4j, Amazon Neptune, TigerGraph, or property graph models implemented on relational databases.</w:t>
      </w:r>
    </w:p>
    <w:p>
      <w:pPr>
        <w:spacing w:after="120"/>
      </w:pPr>
      <w:r>
        <w:rPr>
          <w:rFonts w:ascii="Calibri" w:cs="Calibri" w:eastAsia="Calibri" w:hAnsi="Calibri"/>
          <w:color w:val="000000"/>
          <w:sz w:val="21"/>
          <w:szCs w:val="21"/>
        </w:rPr>
        <w:t xml:space="preserve">The valuation models (Module 19) may use any financial modelling methodology including but not limited to: discounted cash flow (DCF), dividend discount models (DDM), comparable company analysis, precedent transaction analysis, or hybrid AI-enhanced valuation approaches.</w:t>
      </w:r>
    </w:p>
    <w:p>
      <w:pPr>
        <w:spacing w:after="120"/>
      </w:pPr>
      <w:r>
        <w:rPr>
          <w:rFonts w:ascii="Calibri" w:cs="Calibri" w:eastAsia="Calibri" w:hAnsi="Calibri"/>
          <w:color w:val="000000"/>
          <w:sz w:val="21"/>
          <w:szCs w:val="21"/>
        </w:rPr>
        <w:t xml:space="preserve">The specific examples described in this specification are provided for illustrative purposes and should not be interpreted as limiting the scope of the invention to any particular technology, platform, deployment model, or implementation approach.</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8. NEW INDEPENDENT CLAIMS (CIP ADDENDUM)</w:t>
      </w:r>
    </w:p>
    <w:p>
      <w:pPr>
        <w:spacing w:after="120"/>
      </w:pPr>
      <w:r>
        <w:rPr>
          <w:rFonts w:ascii="Calibri" w:cs="Calibri" w:eastAsia="Calibri" w:hAnsi="Calibri"/>
          <w:color w:val="000000"/>
          <w:sz w:val="21"/>
          <w:szCs w:val="21"/>
        </w:rPr>
        <w:t xml:space="preserve">The following claims are additional to and supplement Claims 1–25 of the parent provisional specification (First CIPC Submission).</w:t>
      </w:r>
    </w:p>
    <w:p>
      <w:pPr>
        <w:spacing w:after="200"/>
      </w:pPr>
    </w:p>
    <w:p>
      <w:pPr>
        <w:pBdr>
          <w:left w:val="single" w:color="3B82F6" w:sz="4"/>
        </w:pBdr>
        <w:shd w:color="F0F4FF" w:val="solid"/>
        <w:spacing w:after="160"/>
        <w:ind w:left="200"/>
      </w:pPr>
      <w:r>
        <w:rPr>
          <w:rFonts w:ascii="Calibri" w:cs="Calibri" w:eastAsia="Calibri" w:hAnsi="Calibri"/>
          <w:b/>
          <w:bCs/>
          <w:color w:val="1B2A4A"/>
          <w:sz w:val="21"/>
          <w:szCs w:val="21"/>
        </w:rPr>
        <w:t xml:space="preserve">Claim 26 (CIP): </w:t>
      </w:r>
      <w:r>
        <w:rPr>
          <w:rFonts w:ascii="Calibri" w:cs="Calibri" w:eastAsia="Calibri" w:hAnsi="Calibri"/>
          <w:color w:val="000000"/>
          <w:sz w:val="21"/>
          <w:szCs w:val="21"/>
        </w:rPr>
        <w:t xml:space="preserve">A computer-implemented method for autonomous orchestration of multi-event investor communication campaigns, comprising: (a) ingesting outcomes from prior events including sentiment scores, investor attendance, capital raise conversion rates, and regulatory feedback; (b) using reinforcement learning to optimise campaign sequence, timing, content strategy, and speaker allocation; (c) autonomously scheduling shadow agents and OCC resources for each event based on predicted complexity and risk profile; (d) dynamically re-planning remaining events in the campaign based on live regulatory signals, market volatility changes, and outcomes from completed events; and (e) generating campaign performance dashboards with real-time ROI tracking and investor engagement funnels.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27 (CIP): </w:t>
      </w:r>
      <w:r>
        <w:rPr>
          <w:rFonts w:ascii="Calibri" w:cs="Calibri" w:eastAsia="Calibri" w:hAnsi="Calibri"/>
          <w:color w:val="000000"/>
          <w:sz w:val="21"/>
          <w:szCs w:val="21"/>
        </w:rPr>
        <w:t xml:space="preserve">A self-healing regulatory oracle comprising: (a) real-time ingestion of global regulatory updates from SEC, JSE, FCA, and EU MAR notification feeds; (b) predictive impact modelling with 6–18 month horizon scanning of proposed regulations, consultation papers, and parliamentary bills; (c) autonomous generation and deployment of updated compliance classifiers and response templates with zero-downtime patching; (d) rollback safety gates that automatically revert to prior classifier versions when anomalous results are detected; (e) jurisdiction-specific template generation for SENS, 8-K, RNS, and equivalent disclosure formats; and (f) blockchain-logged adaptation records for audit-proof regulatory compliance demonstration.</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28 (CIP): </w:t>
      </w:r>
      <w:r>
        <w:rPr>
          <w:rFonts w:ascii="Calibri" w:cs="Calibri" w:eastAsia="Calibri" w:hAnsi="Calibri"/>
          <w:color w:val="000000"/>
          <w:sz w:val="21"/>
          <w:szCs w:val="21"/>
        </w:rPr>
        <w:t xml:space="preserve">A method for creating a self-certifying multi-event integrity chain, comprising: (a) cryptographically linking digital twins of successive investor events into a single verifiable chain where the final hash of each event becomes the genesis hash of the subsequent event; (b) autonomous consistency scoring across the entire communication history; (c) detection of long-term messaging drift across multiple events even when individual events appear internally consistent; (d) zero-knowledge proof generation enabling regulators to verify chain integrity without accessing underlying transcript content; and (e) issuance of a cumulative Clean Disclosure History Certificate with AAA–NR grading verifiable by regulators and investors through an independent verification portal.</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29 (CIP): </w:t>
      </w:r>
      <w:r>
        <w:rPr>
          <w:rFonts w:ascii="Calibri" w:cs="Calibri" w:eastAsia="Calibri" w:hAnsi="Calibri"/>
          <w:color w:val="000000"/>
          <w:sz w:val="21"/>
          <w:szCs w:val="21"/>
        </w:rPr>
        <w:t xml:space="preserve">An autonomous AI agent swarm commander for parallel investor events, comprising: (a) dynamic spawning of multiple silent shadow agents across simultaneous global investor meetings; (b) real-time compute resource allocation using reinforcement learning based on event priority, risk profile, and complexity assessment; (c) cross-swarm intelligence fusion for identifying sector-wide trends and peer company comparisons across parallel events; (d) unified command dashboard with per-event status, risk indicators, and autonomous escalation to the OCC for critical events; (e) agent health monitoring with automatic replacement of degraded agent instances; and (f) post-session cross-event intelligence report generation highlighting market implications.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30 (CIP): </w:t>
      </w:r>
      <w:r>
        <w:rPr>
          <w:rFonts w:ascii="Calibri" w:cs="Calibri" w:eastAsia="Calibri" w:hAnsi="Calibri"/>
          <w:color w:val="000000"/>
          <w:sz w:val="21"/>
          <w:szCs w:val="21"/>
        </w:rPr>
        <w:t xml:space="preserve">An autonomous valuation impact oracle comprising: (a) continuous ingestion of live transcript vectors, sentiment scores, and market microstructure data during investor events; (b) real-time Monte-Carlo valuation simulations with 1,000+ parallel scenarios using DCF, comparable company, and precedent transaction models; (c) live valuation cone display showing evolving probability distribution of fair value estimates; (d) fair-value-gap alerts generated in the operator console and teleprompter when market price diverges from AI fair value estimates; (e) guidance impact modelling that instantly recalculates valuation implications when executives provide forward guidance; and (f) post-event valuation accuracy tracking for continuous model improvement.</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31 (CIP): </w:t>
      </w:r>
      <w:r>
        <w:rPr>
          <w:rFonts w:ascii="Calibri" w:cs="Calibri" w:eastAsia="Calibri" w:hAnsi="Calibri"/>
          <w:color w:val="000000"/>
          <w:sz w:val="21"/>
          <w:szCs w:val="21"/>
        </w:rPr>
        <w:t xml:space="preserve">A self-auditing investor engagement ROI engine comprising: (a) autonomous tracking of every investor touchpoint across all channels including events, shadow sessions, follow-up meetings, and capital allocation decisions; (b) per-investor ROI calculation including cost of touchpoints, capital raised, sentiment trajectory, and meeting conversion rates; (c) campaign ROI attribution allocating capital raise outcomes to specific events and touchpoints; (d) generation of self-audited quarterly reports with documented calculation methodology, data sources, and assumptions; (e) cryptographic proof of calculation integrity where every ROI figure is hashed with its inputs and methodology for independent verification; and (f) predictive ROI modelling for proposed future engagement activities enabling data-driven IR budget allocation.</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9. UPDATED DRAWINGS (NEW FIGURES FOR CIP SUBMISSION)</w:t>
      </w:r>
    </w:p>
    <w:p>
      <w:pPr>
        <w:spacing w:after="120"/>
      </w:pPr>
      <w:r>
        <w:rPr>
          <w:rFonts w:ascii="Calibri" w:cs="Calibri" w:eastAsia="Calibri" w:hAnsi="Calibri"/>
          <w:color w:val="000000"/>
          <w:sz w:val="21"/>
          <w:szCs w:val="21"/>
        </w:rPr>
        <w:t xml:space="preserve">The following figures (FIG 13–18) supplement Figures 1–12 of the parent provisional specification.</w:t>
      </w:r>
    </w:p>
    <w:p>
      <w:pPr>
        <w:spacing w:after="200"/>
      </w:pPr>
    </w:p>
    <w:p>
      <w:pPr>
        <w:spacing w:after="120" w:before="300"/>
        <w:jc w:val="center"/>
      </w:pPr>
      <w:r>
        <w:rPr>
          <w:rFonts w:ascii="Calibri" w:cs="Calibri" w:eastAsia="Calibri" w:hAnsi="Calibri"/>
          <w:b/>
          <w:bCs/>
          <w:color w:val="3B82F6"/>
          <w:sz w:val="22"/>
          <w:szCs w:val="22"/>
        </w:rPr>
        <w:t xml:space="preserve">Figure 13: </w:t>
      </w:r>
      <w:r>
        <w:rPr>
          <w:rFonts w:ascii="Calibri" w:cs="Calibri" w:eastAsia="Calibri" w:hAnsi="Calibri"/>
          <w:b/>
          <w:bCs/>
          <w:color w:val="1B2A4A"/>
          <w:sz w:val="22"/>
          <w:szCs w:val="22"/>
        </w:rPr>
        <w:t xml:space="preserve">Autonomous Campaign Orchestrator Architecture (Module 14)</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HIGH-LEVEL CAMPAIGN GOALS                     │</w:t>
      </w:r>
    </w:p>
    <w:p>
      <w:pPr>
        <w:shd w:color="F8FAFF" w:val="solid"/>
        <w:spacing w:after="0"/>
        <w:jc w:val="center"/>
      </w:pPr>
      <w:r>
        <w:rPr>
          <w:rFonts w:ascii="Courier New" w:cs="Courier New" w:eastAsia="Courier New" w:hAnsi="Courier New"/>
          <w:color w:val="2C3E6B"/>
          <w:sz w:val="18"/>
          <w:szCs w:val="18"/>
        </w:rPr>
        <w:t xml:space="preserve">│  (earnings season / roadshow / AGM cycle)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REINFORCEMENT LEARNING ENGINE                  │</w:t>
      </w:r>
    </w:p>
    <w:p>
      <w:pPr>
        <w:shd w:color="F8FAFF" w:val="solid"/>
        <w:spacing w:after="0"/>
        <w:jc w:val="center"/>
      </w:pPr>
      <w:r>
        <w:rPr>
          <w:rFonts w:ascii="Courier New" w:cs="Courier New" w:eastAsia="Courier New" w:hAnsi="Courier New"/>
          <w:color w:val="2C3E6B"/>
          <w:sz w:val="18"/>
          <w:szCs w:val="18"/>
        </w:rPr>
        <w:t xml:space="preserve">│  • Historical outcomes analysis                 │</w:t>
      </w:r>
    </w:p>
    <w:p>
      <w:pPr>
        <w:shd w:color="F8FAFF" w:val="solid"/>
        <w:spacing w:after="0"/>
        <w:jc w:val="center"/>
      </w:pPr>
      <w:r>
        <w:rPr>
          <w:rFonts w:ascii="Courier New" w:cs="Courier New" w:eastAsia="Courier New" w:hAnsi="Courier New"/>
          <w:color w:val="2C3E6B"/>
          <w:sz w:val="18"/>
          <w:szCs w:val="18"/>
        </w:rPr>
        <w:t xml:space="preserve">│  • Regulatory calendar awareness                │</w:t>
      </w:r>
    </w:p>
    <w:p>
      <w:pPr>
        <w:shd w:color="F8FAFF" w:val="solid"/>
        <w:spacing w:after="0"/>
        <w:jc w:val="center"/>
      </w:pPr>
      <w:r>
        <w:rPr>
          <w:rFonts w:ascii="Courier New" w:cs="Courier New" w:eastAsia="Courier New" w:hAnsi="Courier New"/>
          <w:color w:val="2C3E6B"/>
          <w:sz w:val="18"/>
          <w:szCs w:val="18"/>
        </w:rPr>
        <w:t xml:space="preserve">│  • Market volatility forecasts                  │</w:t>
      </w:r>
    </w:p>
    <w:p>
      <w:pPr>
        <w:shd w:color="F8FAFF" w:val="solid"/>
        <w:spacing w:after="0"/>
        <w:jc w:val="center"/>
      </w:pPr>
      <w:r>
        <w:rPr>
          <w:rFonts w:ascii="Courier New" w:cs="Courier New" w:eastAsia="Courier New" w:hAnsi="Courier New"/>
          <w:color w:val="2C3E6B"/>
          <w:sz w:val="18"/>
          <w:szCs w:val="18"/>
        </w:rPr>
        <w:t xml:space="preserve">│  • Investor intent graph inputs (Module 16)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CAMPAIGN SCHEDULE    ││ RESOURCE PLANNER    │</w:t>
      </w:r>
    </w:p>
    <w:p>
      <w:pPr>
        <w:shd w:color="F8FAFF" w:val="solid"/>
        <w:spacing w:after="0"/>
        <w:jc w:val="center"/>
      </w:pPr>
      <w:r>
        <w:rPr>
          <w:rFonts w:ascii="Courier New" w:cs="Courier New" w:eastAsia="Courier New" w:hAnsi="Courier New"/>
          <w:color w:val="2C3E6B"/>
          <w:sz w:val="18"/>
          <w:szCs w:val="18"/>
        </w:rPr>
        <w:t xml:space="preserve">│ • Event sequence    ││ • Shadow agents    │</w:t>
      </w:r>
    </w:p>
    <w:p>
      <w:pPr>
        <w:shd w:color="F8FAFF" w:val="solid"/>
        <w:spacing w:after="0"/>
        <w:jc w:val="center"/>
      </w:pPr>
      <w:r>
        <w:rPr>
          <w:rFonts w:ascii="Courier New" w:cs="Courier New" w:eastAsia="Courier New" w:hAnsi="Courier New"/>
          <w:color w:val="2C3E6B"/>
          <w:sz w:val="18"/>
          <w:szCs w:val="18"/>
        </w:rPr>
        <w:t xml:space="preserve">│ • Timing optim.    ││ • OCC allocation   │</w:t>
      </w:r>
    </w:p>
    <w:p>
      <w:pPr>
        <w:shd w:color="F8FAFF" w:val="solid"/>
        <w:spacing w:after="0"/>
        <w:jc w:val="center"/>
      </w:pPr>
      <w:r>
        <w:rPr>
          <w:rFonts w:ascii="Courier New" w:cs="Courier New" w:eastAsia="Courier New" w:hAnsi="Courier New"/>
          <w:color w:val="2C3E6B"/>
          <w:sz w:val="18"/>
          <w:szCs w:val="18"/>
        </w:rPr>
        <w:t xml:space="preserve">│ • Speaker alloc.   ││ • Compute reserve  │</w:t>
      </w:r>
    </w:p>
    <w:p>
      <w:pPr>
        <w:shd w:color="F8FAFF" w:val="solid"/>
        <w:spacing w:after="0"/>
        <w:jc w:val="center"/>
      </w:pPr>
      <w:r>
        <w:rPr>
          <w:rFonts w:ascii="Courier New" w:cs="Courier New" w:eastAsia="Courier New" w:hAnsi="Courier New"/>
          <w:color w:val="2C3E6B"/>
          <w:sz w:val="18"/>
          <w:szCs w:val="18"/>
        </w:rPr>
        <w:t xml:space="preserve">│ • Content strategy ││ • Risk assessment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LIVE EXECUTION &amp; DYNAMIC RE-PLANNING           │</w:t>
      </w:r>
    </w:p>
    <w:p>
      <w:pPr>
        <w:shd w:color="F8FAFF" w:val="solid"/>
        <w:spacing w:after="0"/>
        <w:jc w:val="center"/>
      </w:pPr>
      <w:r>
        <w:rPr>
          <w:rFonts w:ascii="Courier New" w:cs="Courier New" w:eastAsia="Courier New" w:hAnsi="Courier New"/>
          <w:color w:val="2C3E6B"/>
          <w:sz w:val="18"/>
          <w:szCs w:val="18"/>
        </w:rPr>
        <w:t xml:space="preserve">│  • Monitor completed event outcomes              │</w:t>
      </w:r>
    </w:p>
    <w:p>
      <w:pPr>
        <w:shd w:color="F8FAFF" w:val="solid"/>
        <w:spacing w:after="0"/>
        <w:jc w:val="center"/>
      </w:pPr>
      <w:r>
        <w:rPr>
          <w:rFonts w:ascii="Courier New" w:cs="Courier New" w:eastAsia="Courier New" w:hAnsi="Courier New"/>
          <w:color w:val="2C3E6B"/>
          <w:sz w:val="18"/>
          <w:szCs w:val="18"/>
        </w:rPr>
        <w:t xml:space="preserve">│  • Dynamic re-plan remaining events             │</w:t>
      </w:r>
    </w:p>
    <w:p>
      <w:pPr>
        <w:shd w:color="F8FAFF" w:val="solid"/>
        <w:spacing w:after="0"/>
        <w:jc w:val="center"/>
      </w:pPr>
      <w:r>
        <w:rPr>
          <w:rFonts w:ascii="Courier New" w:cs="Courier New" w:eastAsia="Courier New" w:hAnsi="Courier New"/>
          <w:color w:val="2C3E6B"/>
          <w:sz w:val="18"/>
          <w:szCs w:val="18"/>
        </w:rPr>
        <w:t xml:space="preserve">│  • Campaign performance dashboard               │</w:t>
      </w:r>
    </w:p>
    <w:p>
      <w:pPr>
        <w:shd w:color="F8FAFF" w:val="solid"/>
        <w:spacing w:after="0"/>
        <w:jc w:val="center"/>
      </w:pPr>
      <w:r>
        <w:rPr>
          <w:rFonts w:ascii="Courier New" w:cs="Courier New" w:eastAsia="Courier New" w:hAnsi="Courier New"/>
          <w:color w:val="2C3E6B"/>
          <w:sz w:val="18"/>
          <w:szCs w:val="18"/>
        </w:rPr>
        <w:t xml:space="preserve">│  • Real-time ROI tracking                       │</w:t>
      </w:r>
    </w:p>
    <w:p>
      <w:pPr>
        <w:shd w:color="F8FAFF" w:val="solid"/>
        <w:spacing w:after="0"/>
        <w:jc w:val="center"/>
      </w:pPr>
      <w:r>
        <w:rPr>
          <w:rFonts w:ascii="Courier New" w:cs="Courier New" w:eastAsia="Courier New" w:hAnsi="Courier New"/>
          <w:color w:val="2C3E6B"/>
          <w:sz w:val="18"/>
          <w:szCs w:val="18"/>
        </w:rPr>
        <w:t xml:space="preserve">└──────────────────────────────────────────┘</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14: </w:t>
      </w:r>
      <w:r>
        <w:rPr>
          <w:rFonts w:ascii="Calibri" w:cs="Calibri" w:eastAsia="Calibri" w:hAnsi="Calibri"/>
          <w:b/>
          <w:bCs/>
          <w:color w:val="1B2A4A"/>
          <w:sz w:val="22"/>
          <w:szCs w:val="22"/>
        </w:rPr>
        <w:t xml:space="preserve">Self-Healing Regulatory Oracle — Horizon Scanning Pipeline (Module 15)</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SEC EDGAR  │ │ JSE SENS   │ │ FCA        │ │ EU MAR     │</w:t>
      </w:r>
    </w:p>
    <w:p>
      <w:pPr>
        <w:shd w:color="F8FAFF" w:val="solid"/>
        <w:spacing w:after="0"/>
        <w:jc w:val="center"/>
      </w:pPr>
      <w:r>
        <w:rPr>
          <w:rFonts w:ascii="Courier New" w:cs="Courier New" w:eastAsia="Courier New" w:hAnsi="Courier New"/>
          <w:color w:val="2C3E6B"/>
          <w:sz w:val="18"/>
          <w:szCs w:val="18"/>
        </w:rPr>
        <w:t xml:space="preserve">│ Updates    │ │ Notices    │ │ Register   │ │ Directives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PREDICTIVE HORIZON SCANNER                    │</w:t>
      </w:r>
    </w:p>
    <w:p>
      <w:pPr>
        <w:shd w:color="F8FAFF" w:val="solid"/>
        <w:spacing w:after="0"/>
        <w:jc w:val="center"/>
      </w:pPr>
      <w:r>
        <w:rPr>
          <w:rFonts w:ascii="Courier New" w:cs="Courier New" w:eastAsia="Courier New" w:hAnsi="Courier New"/>
          <w:color w:val="2C3E6B"/>
          <w:sz w:val="18"/>
          <w:szCs w:val="18"/>
        </w:rPr>
        <w:t xml:space="preserve">│  6–18 month forward analysis                   │</w:t>
      </w:r>
    </w:p>
    <w:p>
      <w:pPr>
        <w:shd w:color="F8FAFF" w:val="solid"/>
        <w:spacing w:after="0"/>
        <w:jc w:val="center"/>
      </w:pPr>
      <w:r>
        <w:rPr>
          <w:rFonts w:ascii="Courier New" w:cs="Courier New" w:eastAsia="Courier New" w:hAnsi="Courier New"/>
          <w:color w:val="2C3E6B"/>
          <w:sz w:val="18"/>
          <w:szCs w:val="18"/>
        </w:rPr>
        <w:t xml:space="preserve">│  • Proposed regulations                        │</w:t>
      </w:r>
    </w:p>
    <w:p>
      <w:pPr>
        <w:shd w:color="F8FAFF" w:val="solid"/>
        <w:spacing w:after="0"/>
        <w:jc w:val="center"/>
      </w:pPr>
      <w:r>
        <w:rPr>
          <w:rFonts w:ascii="Courier New" w:cs="Courier New" w:eastAsia="Courier New" w:hAnsi="Courier New"/>
          <w:color w:val="2C3E6B"/>
          <w:sz w:val="18"/>
          <w:szCs w:val="18"/>
        </w:rPr>
        <w:t xml:space="preserve">│  • Consultation papers                         │</w:t>
      </w:r>
    </w:p>
    <w:p>
      <w:pPr>
        <w:shd w:color="F8FAFF" w:val="solid"/>
        <w:spacing w:after="0"/>
        <w:jc w:val="center"/>
      </w:pPr>
      <w:r>
        <w:rPr>
          <w:rFonts w:ascii="Courier New" w:cs="Courier New" w:eastAsia="Courier New" w:hAnsi="Courier New"/>
          <w:color w:val="2C3E6B"/>
          <w:sz w:val="18"/>
          <w:szCs w:val="18"/>
        </w:rPr>
        <w:t xml:space="preserve">│  • Parliamentary bills                         │</w:t>
      </w:r>
    </w:p>
    <w:p>
      <w:pPr>
        <w:shd w:color="F8FAFF" w:val="solid"/>
        <w:spacing w:after="0"/>
        <w:jc w:val="center"/>
      </w:pPr>
      <w:r>
        <w:rPr>
          <w:rFonts w:ascii="Courier New" w:cs="Courier New" w:eastAsia="Courier New" w:hAnsi="Courier New"/>
          <w:color w:val="2C3E6B"/>
          <w:sz w:val="18"/>
          <w:szCs w:val="18"/>
        </w:rPr>
        <w:t xml:space="preserve">│  • Regulatory impact scoring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CLASSIFIER UPDATER  ││ TEMPLATE GENERATOR  │</w:t>
      </w:r>
    </w:p>
    <w:p>
      <w:pPr>
        <w:shd w:color="F8FAFF" w:val="solid"/>
        <w:spacing w:after="0"/>
        <w:jc w:val="center"/>
      </w:pPr>
      <w:r>
        <w:rPr>
          <w:rFonts w:ascii="Courier New" w:cs="Courier New" w:eastAsia="Courier New" w:hAnsi="Courier New"/>
          <w:color w:val="2C3E6B"/>
          <w:sz w:val="18"/>
          <w:szCs w:val="18"/>
        </w:rPr>
        <w:t xml:space="preserve">│ • Zero-downtime     ││ • SENS (JSE)       │</w:t>
      </w:r>
    </w:p>
    <w:p>
      <w:pPr>
        <w:shd w:color="F8FAFF" w:val="solid"/>
        <w:spacing w:after="0"/>
        <w:jc w:val="center"/>
      </w:pPr>
      <w:r>
        <w:rPr>
          <w:rFonts w:ascii="Courier New" w:cs="Courier New" w:eastAsia="Courier New" w:hAnsi="Courier New"/>
          <w:color w:val="2C3E6B"/>
          <w:sz w:val="18"/>
          <w:szCs w:val="18"/>
        </w:rPr>
        <w:t xml:space="preserve">│   hot-swap          ││ • 8-K  (SEC)       │</w:t>
      </w:r>
    </w:p>
    <w:p>
      <w:pPr>
        <w:shd w:color="F8FAFF" w:val="solid"/>
        <w:spacing w:after="0"/>
        <w:jc w:val="center"/>
      </w:pPr>
      <w:r>
        <w:rPr>
          <w:rFonts w:ascii="Courier New" w:cs="Courier New" w:eastAsia="Courier New" w:hAnsi="Courier New"/>
          <w:color w:val="2C3E6B"/>
          <w:sz w:val="18"/>
          <w:szCs w:val="18"/>
        </w:rPr>
        <w:t xml:space="preserve">│ • Rollback gates    ││ • RNS  (FCA)       │</w:t>
      </w:r>
    </w:p>
    <w:p>
      <w:pPr>
        <w:shd w:color="F8FAFF" w:val="solid"/>
        <w:spacing w:after="0"/>
        <w:jc w:val="center"/>
      </w:pPr>
      <w:r>
        <w:rPr>
          <w:rFonts w:ascii="Courier New" w:cs="Courier New" w:eastAsia="Courier New" w:hAnsi="Courier New"/>
          <w:color w:val="2C3E6B"/>
          <w:sz w:val="18"/>
          <w:szCs w:val="18"/>
        </w:rPr>
        <w:t xml:space="preserve">│ • FP rate monitor   ││ • EU MAR formats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BLOCKCHAIN ADAPTATION LOG                     │</w:t>
      </w:r>
    </w:p>
    <w:p>
      <w:pPr>
        <w:shd w:color="F8FAFF" w:val="solid"/>
        <w:spacing w:after="0"/>
        <w:jc w:val="center"/>
      </w:pPr>
      <w:r>
        <w:rPr>
          <w:rFonts w:ascii="Courier New" w:cs="Courier New" w:eastAsia="Courier New" w:hAnsi="Courier New"/>
          <w:color w:val="2C3E6B"/>
          <w:sz w:val="18"/>
          <w:szCs w:val="18"/>
        </w:rPr>
        <w:t xml:space="preserve">│  • Every update cryptographically logged        │</w:t>
      </w:r>
    </w:p>
    <w:p>
      <w:pPr>
        <w:shd w:color="F8FAFF" w:val="solid"/>
        <w:spacing w:after="0"/>
        <w:jc w:val="center"/>
      </w:pPr>
      <w:r>
        <w:rPr>
          <w:rFonts w:ascii="Courier New" w:cs="Courier New" w:eastAsia="Courier New" w:hAnsi="Courier New"/>
          <w:color w:val="2C3E6B"/>
          <w:sz w:val="18"/>
          <w:szCs w:val="18"/>
        </w:rPr>
        <w:t xml:space="preserve">│  • Audit-proof compliance record                │</w:t>
      </w:r>
    </w:p>
    <w:p>
      <w:pPr>
        <w:shd w:color="F8FAFF" w:val="solid"/>
        <w:spacing w:after="0"/>
        <w:jc w:val="center"/>
      </w:pPr>
      <w:r>
        <w:rPr>
          <w:rFonts w:ascii="Courier New" w:cs="Courier New" w:eastAsia="Courier New" w:hAnsi="Courier New"/>
          <w:color w:val="2C3E6B"/>
          <w:sz w:val="18"/>
          <w:szCs w:val="18"/>
        </w:rPr>
        <w:t xml:space="preserve">│  • Rollback history preserved                   │</w:t>
      </w:r>
    </w:p>
    <w:p>
      <w:pPr>
        <w:shd w:color="F8FAFF" w:val="solid"/>
        <w:spacing w:after="0"/>
        <w:jc w:val="center"/>
      </w:pPr>
      <w:r>
        <w:rPr>
          <w:rFonts w:ascii="Courier New" w:cs="Courier New" w:eastAsia="Courier New" w:hAnsi="Courier New"/>
          <w:color w:val="2C3E6B"/>
          <w:sz w:val="18"/>
          <w:szCs w:val="18"/>
        </w:rPr>
        <w:t xml:space="preserve">└──────────────────────────────────────────┘</w:t>
      </w:r>
    </w:p>
    <w:p>
      <w:r>
        <w:br w:type="page"/>
      </w:r>
    </w:p>
    <w:p>
      <w:pPr>
        <w:spacing w:after="120" w:before="300"/>
        <w:jc w:val="center"/>
      </w:pPr>
      <w:r>
        <w:rPr>
          <w:rFonts w:ascii="Calibri" w:cs="Calibri" w:eastAsia="Calibri" w:hAnsi="Calibri"/>
          <w:b/>
          <w:bCs/>
          <w:color w:val="3B82F6"/>
          <w:sz w:val="22"/>
          <w:szCs w:val="22"/>
        </w:rPr>
        <w:t xml:space="preserve">Figure 15: </w:t>
      </w:r>
      <w:r>
        <w:rPr>
          <w:rFonts w:ascii="Calibri" w:cs="Calibri" w:eastAsia="Calibri" w:hAnsi="Calibri"/>
          <w:b/>
          <w:bCs/>
          <w:color w:val="1B2A4A"/>
          <w:sz w:val="22"/>
          <w:szCs w:val="22"/>
        </w:rPr>
        <w:t xml:space="preserve">Multi-Event Integrity Chain — Blockchain Linking (Module 17)</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Q1 EARNINGS    │    │   ROADSHOW      │    │     AGM         │</w:t>
      </w:r>
    </w:p>
    <w:p>
      <w:pPr>
        <w:shd w:color="F8FAFF" w:val="solid"/>
        <w:spacing w:after="0"/>
        <w:jc w:val="center"/>
      </w:pPr>
      <w:r>
        <w:rPr>
          <w:rFonts w:ascii="Courier New" w:cs="Courier New" w:eastAsia="Courier New" w:hAnsi="Courier New"/>
          <w:color w:val="2C3E6B"/>
          <w:sz w:val="18"/>
          <w:szCs w:val="18"/>
        </w:rPr>
        <w:t xml:space="preserve">│  EVENT TWIN     │    │   EVENT TWIN    │    │   EVENT TWIN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Genesis: 0x00  │    │ Genesis:        │    │ Genesis:       │</w:t>
      </w:r>
    </w:p>
    <w:p>
      <w:pPr>
        <w:shd w:color="F8FAFF" w:val="solid"/>
        <w:spacing w:after="0"/>
        <w:jc w:val="center"/>
      </w:pPr>
      <w:r>
        <w:rPr>
          <w:rFonts w:ascii="Courier New" w:cs="Courier New" w:eastAsia="Courier New" w:hAnsi="Courier New"/>
          <w:color w:val="2C3E6B"/>
          <w:sz w:val="18"/>
          <w:szCs w:val="18"/>
        </w:rPr>
        <w:t xml:space="preserve">│ Seg 1: a3f2.. │    │   = Q1 Final    │    │   = RS Final   │</w:t>
      </w:r>
    </w:p>
    <w:p>
      <w:pPr>
        <w:shd w:color="F8FAFF" w:val="solid"/>
        <w:spacing w:after="0"/>
        <w:jc w:val="center"/>
      </w:pPr>
      <w:r>
        <w:rPr>
          <w:rFonts w:ascii="Courier New" w:cs="Courier New" w:eastAsia="Courier New" w:hAnsi="Courier New"/>
          <w:color w:val="2C3E6B"/>
          <w:sz w:val="18"/>
          <w:szCs w:val="18"/>
        </w:rPr>
        <w:t xml:space="preserve">│ Seg 2: 7b1c.. │    │ Seg 1: d4e5..  │    │ Seg 1: f6g7.. │</w:t>
      </w:r>
    </w:p>
    <w:p>
      <w:pPr>
        <w:shd w:color="F8FAFF" w:val="solid"/>
        <w:spacing w:after="0"/>
        <w:jc w:val="center"/>
      </w:pPr>
      <w:r>
        <w:rPr>
          <w:rFonts w:ascii="Courier New" w:cs="Courier New" w:eastAsia="Courier New" w:hAnsi="Courier New"/>
          <w:color w:val="2C3E6B"/>
          <w:sz w:val="18"/>
          <w:szCs w:val="18"/>
        </w:rPr>
        <w:t xml:space="preserve">│ ...           │    │ Seg 2: h8i9..  │    │ Seg 2: j0k1.. │</w:t>
      </w:r>
    </w:p>
    <w:p>
      <w:pPr>
        <w:shd w:color="F8FAFF" w:val="solid"/>
        <w:spacing w:after="0"/>
        <w:jc w:val="center"/>
      </w:pPr>
      <w:r>
        <w:rPr>
          <w:rFonts w:ascii="Courier New" w:cs="Courier New" w:eastAsia="Courier New" w:hAnsi="Courier New"/>
          <w:color w:val="2C3E6B"/>
          <w:sz w:val="18"/>
          <w:szCs w:val="18"/>
        </w:rPr>
        <w:t xml:space="preserve">│ Final: c9d8.. │──▶│ ...            │    │ ...           │</w:t>
      </w:r>
    </w:p>
    <w:p>
      <w:pPr>
        <w:shd w:color="F8FAFF" w:val="solid"/>
        <w:spacing w:after="0"/>
        <w:jc w:val="center"/>
      </w:pPr>
      <w:r>
        <w:rPr>
          <w:rFonts w:ascii="Courier New" w:cs="Courier New" w:eastAsia="Courier New" w:hAnsi="Courier New"/>
          <w:color w:val="2C3E6B"/>
          <w:sz w:val="18"/>
          <w:szCs w:val="18"/>
        </w:rPr>
        <w:t xml:space="preserve">│               │    │ Final: m2n3.. │──▶│ Final: p4q5..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CUMULATIVE HISTORY CERTIFICATE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Chain: Q1 → RS → AGM              │</w:t>
      </w:r>
    </w:p>
    <w:p>
      <w:pPr>
        <w:shd w:color="F8FAFF" w:val="solid"/>
        <w:spacing w:after="0"/>
        <w:jc w:val="center"/>
      </w:pPr>
      <w:r>
        <w:rPr>
          <w:rFonts w:ascii="Courier New" w:cs="Courier New" w:eastAsia="Courier New" w:hAnsi="Courier New"/>
          <w:color w:val="2C3E6B"/>
          <w:sz w:val="18"/>
          <w:szCs w:val="18"/>
        </w:rPr>
        <w:t xml:space="preserve">                  │  Grade: AAA | AA | A | BBB | NR    │</w:t>
      </w:r>
    </w:p>
    <w:p>
      <w:pPr>
        <w:shd w:color="F8FAFF" w:val="solid"/>
        <w:spacing w:after="0"/>
        <w:jc w:val="center"/>
      </w:pPr>
      <w:r>
        <w:rPr>
          <w:rFonts w:ascii="Courier New" w:cs="Courier New" w:eastAsia="Courier New" w:hAnsi="Courier New"/>
          <w:color w:val="2C3E6B"/>
          <w:sz w:val="18"/>
          <w:szCs w:val="18"/>
        </w:rPr>
        <w:t xml:space="preserve">                  │  Consistency: Cross-event score    │</w:t>
      </w:r>
    </w:p>
    <w:p>
      <w:pPr>
        <w:shd w:color="F8FAFF" w:val="solid"/>
        <w:spacing w:after="0"/>
        <w:jc w:val="center"/>
      </w:pPr>
      <w:r>
        <w:rPr>
          <w:rFonts w:ascii="Courier New" w:cs="Courier New" w:eastAsia="Courier New" w:hAnsi="Courier New"/>
          <w:color w:val="2C3E6B"/>
          <w:sz w:val="18"/>
          <w:szCs w:val="18"/>
        </w:rPr>
        <w:t xml:space="preserve">                  │  Drift Detection: Long-term trend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Zero-Knowledge Proof:             │</w:t>
      </w:r>
    </w:p>
    <w:p>
      <w:pPr>
        <w:shd w:color="F8FAFF" w:val="solid"/>
        <w:spacing w:after="0"/>
        <w:jc w:val="center"/>
      </w:pPr>
      <w:r>
        <w:rPr>
          <w:rFonts w:ascii="Courier New" w:cs="Courier New" w:eastAsia="Courier New" w:hAnsi="Courier New"/>
          <w:color w:val="2C3E6B"/>
          <w:sz w:val="18"/>
          <w:szCs w:val="18"/>
        </w:rPr>
        <w:t xml:space="preserve">                  │  Verifiable without content access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16: </w:t>
      </w:r>
      <w:r>
        <w:rPr>
          <w:rFonts w:ascii="Calibri" w:cs="Calibri" w:eastAsia="Calibri" w:hAnsi="Calibri"/>
          <w:b/>
          <w:bCs/>
          <w:color w:val="1B2A4A"/>
          <w:sz w:val="22"/>
          <w:szCs w:val="22"/>
        </w:rPr>
        <w:t xml:space="preserve">Autonomous Swarm Commander — Resource Allocation (Module 18)</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SWARM COMMAND CONTROLLER              │</w:t>
      </w:r>
    </w:p>
    <w:p>
      <w:pPr>
        <w:shd w:color="F8FAFF" w:val="solid"/>
        <w:spacing w:after="0"/>
        <w:jc w:val="center"/>
      </w:pPr>
      <w:r>
        <w:rPr>
          <w:rFonts w:ascii="Courier New" w:cs="Courier New" w:eastAsia="Courier New" w:hAnsi="Courier New"/>
          <w:color w:val="2C3E6B"/>
          <w:sz w:val="18"/>
          <w:szCs w:val="18"/>
        </w:rPr>
        <w:t xml:space="preserve">              │    Reinforcement Learning Engine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│Agent 1 ││Agent 2 ││Agent 3 ││Agent N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│Co. A   ││Co. B   ││Co. C   ││Co. N   │</w:t>
      </w:r>
    </w:p>
    <w:p>
      <w:pPr>
        <w:shd w:color="F8FAFF" w:val="solid"/>
        <w:spacing w:after="0"/>
        <w:jc w:val="center"/>
      </w:pPr>
      <w:r>
        <w:rPr>
          <w:rFonts w:ascii="Courier New" w:cs="Courier New" w:eastAsia="Courier New" w:hAnsi="Courier New"/>
          <w:color w:val="2C3E6B"/>
          <w:sz w:val="18"/>
          <w:szCs w:val="18"/>
        </w:rPr>
        <w:t xml:space="preserve">              │Earnings││Earnings││AGM     ││Roadshow│</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│Risk:MED││Risk:HI ││Risk:LOW││Risk:HI │</w:t>
      </w:r>
    </w:p>
    <w:p>
      <w:pPr>
        <w:shd w:color="F8FAFF" w:val="solid"/>
        <w:spacing w:after="0"/>
        <w:jc w:val="center"/>
      </w:pPr>
      <w:r>
        <w:rPr>
          <w:rFonts w:ascii="Courier New" w:cs="Courier New" w:eastAsia="Courier New" w:hAnsi="Courier New"/>
          <w:color w:val="2C3E6B"/>
          <w:sz w:val="18"/>
          <w:szCs w:val="18"/>
        </w:rPr>
        <w:t xml:space="preserve">              │CPU:15% ││CPU:35% ││CPU:10% ││CPU:40%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CROSS-SWARM INTELLIGENCE FUSION        │</w:t>
      </w:r>
    </w:p>
    <w:p>
      <w:pPr>
        <w:shd w:color="F8FAFF" w:val="solid"/>
        <w:spacing w:after="0"/>
        <w:jc w:val="center"/>
      </w:pPr>
      <w:r>
        <w:rPr>
          <w:rFonts w:ascii="Courier New" w:cs="Courier New" w:eastAsia="Courier New" w:hAnsi="Courier New"/>
          <w:color w:val="2C3E6B"/>
          <w:sz w:val="18"/>
          <w:szCs w:val="18"/>
        </w:rPr>
        <w:t xml:space="preserve">              │  • Sector-wide trend detection           │</w:t>
      </w:r>
    </w:p>
    <w:p>
      <w:pPr>
        <w:shd w:color="F8FAFF" w:val="solid"/>
        <w:spacing w:after="0"/>
        <w:jc w:val="center"/>
      </w:pPr>
      <w:r>
        <w:rPr>
          <w:rFonts w:ascii="Courier New" w:cs="Courier New" w:eastAsia="Courier New" w:hAnsi="Courier New"/>
          <w:color w:val="2C3E6B"/>
          <w:sz w:val="18"/>
          <w:szCs w:val="18"/>
        </w:rPr>
        <w:t xml:space="preserve">              │  • Peer company comparison               │</w:t>
      </w:r>
    </w:p>
    <w:p>
      <w:pPr>
        <w:shd w:color="F8FAFF" w:val="solid"/>
        <w:spacing w:after="0"/>
        <w:jc w:val="center"/>
      </w:pPr>
      <w:r>
        <w:rPr>
          <w:rFonts w:ascii="Courier New" w:cs="Courier New" w:eastAsia="Courier New" w:hAnsi="Courier New"/>
          <w:color w:val="2C3E6B"/>
          <w:sz w:val="18"/>
          <w:szCs w:val="18"/>
        </w:rPr>
        <w:t xml:space="preserve">              │  • Market-moving pattern alerts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UNIFIED COMMAND DASHBOARD (OCC)        │</w:t>
      </w:r>
    </w:p>
    <w:p>
      <w:pPr>
        <w:shd w:color="F8FAFF" w:val="solid"/>
        <w:spacing w:after="0"/>
        <w:jc w:val="center"/>
      </w:pPr>
      <w:r>
        <w:rPr>
          <w:rFonts w:ascii="Courier New" w:cs="Courier New" w:eastAsia="Courier New" w:hAnsi="Courier New"/>
          <w:color w:val="2C3E6B"/>
          <w:sz w:val="18"/>
          <w:szCs w:val="18"/>
        </w:rPr>
        <w:t xml:space="preserve">              │  • Per-event status + risk flags         │</w:t>
      </w:r>
    </w:p>
    <w:p>
      <w:pPr>
        <w:shd w:color="F8FAFF" w:val="solid"/>
        <w:spacing w:after="0"/>
        <w:jc w:val="center"/>
      </w:pPr>
      <w:r>
        <w:rPr>
          <w:rFonts w:ascii="Courier New" w:cs="Courier New" w:eastAsia="Courier New" w:hAnsi="Courier New"/>
          <w:color w:val="2C3E6B"/>
          <w:sz w:val="18"/>
          <w:szCs w:val="18"/>
        </w:rPr>
        <w:t xml:space="preserve">              │  • Autonomous escalation                 │</w:t>
      </w:r>
    </w:p>
    <w:p>
      <w:pPr>
        <w:shd w:color="F8FAFF" w:val="solid"/>
        <w:spacing w:after="0"/>
        <w:jc w:val="center"/>
      </w:pPr>
      <w:r>
        <w:rPr>
          <w:rFonts w:ascii="Courier New" w:cs="Courier New" w:eastAsia="Courier New" w:hAnsi="Courier New"/>
          <w:color w:val="2C3E6B"/>
          <w:sz w:val="18"/>
          <w:szCs w:val="18"/>
        </w:rPr>
        <w:t xml:space="preserve">              │  • Agent health monitoring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spacing w:after="120" w:before="300"/>
        <w:jc w:val="center"/>
      </w:pPr>
      <w:r>
        <w:rPr>
          <w:rFonts w:ascii="Calibri" w:cs="Calibri" w:eastAsia="Calibri" w:hAnsi="Calibri"/>
          <w:b/>
          <w:bCs/>
          <w:color w:val="3B82F6"/>
          <w:sz w:val="22"/>
          <w:szCs w:val="22"/>
        </w:rPr>
        <w:t xml:space="preserve">Figure 17: </w:t>
      </w:r>
      <w:r>
        <w:rPr>
          <w:rFonts w:ascii="Calibri" w:cs="Calibri" w:eastAsia="Calibri" w:hAnsi="Calibri"/>
          <w:b/>
          <w:bCs/>
          <w:color w:val="1B2A4A"/>
          <w:sz w:val="22"/>
          <w:szCs w:val="22"/>
        </w:rPr>
        <w:t xml:space="preserve">Valuation Impact Oracle — Live Simulation Flow (Module 19)</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LIVE EVENT DATA INGESTION                     │</w:t>
      </w:r>
    </w:p>
    <w:p>
      <w:pPr>
        <w:shd w:color="F8FAFF" w:val="solid"/>
        <w:spacing w:after="0"/>
        <w:jc w:val="center"/>
      </w:pPr>
      <w:r>
        <w:rPr>
          <w:rFonts w:ascii="Courier New" w:cs="Courier New" w:eastAsia="Courier New" w:hAnsi="Courier New"/>
          <w:color w:val="2C3E6B"/>
          <w:sz w:val="18"/>
          <w:szCs w:val="18"/>
        </w:rPr>
        <w:t xml:space="preserve">│  • Transcript vectors                          │</w:t>
      </w:r>
    </w:p>
    <w:p>
      <w:pPr>
        <w:shd w:color="F8FAFF" w:val="solid"/>
        <w:spacing w:after="0"/>
        <w:jc w:val="center"/>
      </w:pPr>
      <w:r>
        <w:rPr>
          <w:rFonts w:ascii="Courier New" w:cs="Courier New" w:eastAsia="Courier New" w:hAnsi="Courier New"/>
          <w:color w:val="2C3E6B"/>
          <w:sz w:val="18"/>
          <w:szCs w:val="18"/>
        </w:rPr>
        <w:t xml:space="preserve">│  • Sentiment scores (Module 3 of parent)       │</w:t>
      </w:r>
    </w:p>
    <w:p>
      <w:pPr>
        <w:shd w:color="F8FAFF" w:val="solid"/>
        <w:spacing w:after="0"/>
        <w:jc w:val="center"/>
      </w:pPr>
      <w:r>
        <w:rPr>
          <w:rFonts w:ascii="Courier New" w:cs="Courier New" w:eastAsia="Courier New" w:hAnsi="Courier New"/>
          <w:color w:val="2C3E6B"/>
          <w:sz w:val="18"/>
          <w:szCs w:val="18"/>
        </w:rPr>
        <w:t xml:space="preserve">│  • Guidance language analysis                   │</w:t>
      </w:r>
    </w:p>
    <w:p>
      <w:pPr>
        <w:shd w:color="F8FAFF" w:val="solid"/>
        <w:spacing w:after="0"/>
        <w:jc w:val="center"/>
      </w:pPr>
      <w:r>
        <w:rPr>
          <w:rFonts w:ascii="Courier New" w:cs="Courier New" w:eastAsia="Courier New" w:hAnsi="Courier New"/>
          <w:color w:val="2C3E6B"/>
          <w:sz w:val="18"/>
          <w:szCs w:val="18"/>
        </w:rPr>
        <w:t xml:space="preserve">│  • Market microstructure data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MONTE-CARLO VALUATION ENGINE                  │</w:t>
      </w:r>
    </w:p>
    <w:p>
      <w:pPr>
        <w:shd w:color="F8FAFF" w:val="solid"/>
        <w:spacing w:after="0"/>
        <w:jc w:val="center"/>
      </w:pPr>
      <w:r>
        <w:rPr>
          <w:rFonts w:ascii="Courier New" w:cs="Courier New" w:eastAsia="Courier New" w:hAnsi="Courier New"/>
          <w:color w:val="2C3E6B"/>
          <w:sz w:val="18"/>
          <w:szCs w:val="18"/>
        </w:rPr>
        <w:t xml:space="preserve">│  1,000+ parallel scenarios                      │</w:t>
      </w:r>
    </w:p>
    <w:p>
      <w:pPr>
        <w:shd w:color="F8FAFF" w:val="solid"/>
        <w:spacing w:after="0"/>
        <w:jc w:val="center"/>
      </w:pPr>
      <w:r>
        <w:rPr>
          <w:rFonts w:ascii="Courier New" w:cs="Courier New" w:eastAsia="Courier New" w:hAnsi="Courier New"/>
          <w:color w:val="2C3E6B"/>
          <w:sz w:val="18"/>
          <w:szCs w:val="18"/>
        </w:rPr>
        <w:t xml:space="preserve">│  • DCF model                                    │</w:t>
      </w:r>
    </w:p>
    <w:p>
      <w:pPr>
        <w:shd w:color="F8FAFF" w:val="solid"/>
        <w:spacing w:after="0"/>
        <w:jc w:val="center"/>
      </w:pPr>
      <w:r>
        <w:rPr>
          <w:rFonts w:ascii="Courier New" w:cs="Courier New" w:eastAsia="Courier New" w:hAnsi="Courier New"/>
          <w:color w:val="2C3E6B"/>
          <w:sz w:val="18"/>
          <w:szCs w:val="18"/>
        </w:rPr>
        <w:t xml:space="preserve">│  • Comparable company analysis                  │</w:t>
      </w:r>
    </w:p>
    <w:p>
      <w:pPr>
        <w:shd w:color="F8FAFF" w:val="solid"/>
        <w:spacing w:after="0"/>
        <w:jc w:val="center"/>
      </w:pPr>
      <w:r>
        <w:rPr>
          <w:rFonts w:ascii="Courier New" w:cs="Courier New" w:eastAsia="Courier New" w:hAnsi="Courier New"/>
          <w:color w:val="2C3E6B"/>
          <w:sz w:val="18"/>
          <w:szCs w:val="18"/>
        </w:rPr>
        <w:t xml:space="preserve">│  • Precedent transaction model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VALUATION CONE     ││ FAIR VALUE GAP     │</w:t>
      </w:r>
    </w:p>
    <w:p>
      <w:pPr>
        <w:shd w:color="F8FAFF" w:val="solid"/>
        <w:spacing w:after="0"/>
        <w:jc w:val="center"/>
      </w:pPr>
      <w:r>
        <w:rPr>
          <w:rFonts w:ascii="Courier New" w:cs="Courier New" w:eastAsia="Courier New" w:hAnsi="Courier New"/>
          <w:color w:val="2C3E6B"/>
          <w:sz w:val="18"/>
          <w:szCs w:val="18"/>
        </w:rPr>
        <w:t xml:space="preserve">│                    ││    ALERTS           │</w:t>
      </w:r>
    </w:p>
    <w:p>
      <w:pPr>
        <w:shd w:color="F8FAFF" w:val="solid"/>
        <w:spacing w:after="0"/>
        <w:jc w:val="center"/>
      </w:pPr>
      <w:r>
        <w:rPr>
          <w:rFonts w:ascii="Courier New" w:cs="Courier New" w:eastAsia="Courier New" w:hAnsi="Courier New"/>
          <w:color w:val="2C3E6B"/>
          <w:sz w:val="18"/>
          <w:szCs w:val="18"/>
        </w:rPr>
        <w:t xml:space="preserve">│ Probability        ││                    │</w:t>
      </w:r>
    </w:p>
    <w:p>
      <w:pPr>
        <w:shd w:color="F8FAFF" w:val="solid"/>
        <w:spacing w:after="0"/>
        <w:jc w:val="center"/>
      </w:pPr>
      <w:r>
        <w:rPr>
          <w:rFonts w:ascii="Courier New" w:cs="Courier New" w:eastAsia="Courier New" w:hAnsi="Courier New"/>
          <w:color w:val="2C3E6B"/>
          <w:sz w:val="18"/>
          <w:szCs w:val="18"/>
        </w:rPr>
        <w:t xml:space="preserve">│ distribution       ││ Market: R42.50     │</w:t>
      </w:r>
    </w:p>
    <w:p>
      <w:pPr>
        <w:shd w:color="F8FAFF" w:val="solid"/>
        <w:spacing w:after="0"/>
        <w:jc w:val="center"/>
      </w:pPr>
      <w:r>
        <w:rPr>
          <w:rFonts w:ascii="Courier New" w:cs="Courier New" w:eastAsia="Courier New" w:hAnsi="Courier New"/>
          <w:color w:val="2C3E6B"/>
          <w:sz w:val="18"/>
          <w:szCs w:val="18"/>
        </w:rPr>
        <w:t xml:space="preserve">│ narrows as event   ││ AI Fair: R48.20    │</w:t>
      </w:r>
    </w:p>
    <w:p>
      <w:pPr>
        <w:shd w:color="F8FAFF" w:val="solid"/>
        <w:spacing w:after="0"/>
        <w:jc w:val="center"/>
      </w:pPr>
      <w:r>
        <w:rPr>
          <w:rFonts w:ascii="Courier New" w:cs="Courier New" w:eastAsia="Courier New" w:hAnsi="Courier New"/>
          <w:color w:val="2C3E6B"/>
          <w:sz w:val="18"/>
          <w:szCs w:val="18"/>
        </w:rPr>
        <w:t xml:space="preserve">│ progresses         ││ Gap: +13.4%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DELIVERED TO:                                 │</w:t>
      </w:r>
    </w:p>
    <w:p>
      <w:pPr>
        <w:shd w:color="F8FAFF" w:val="solid"/>
        <w:spacing w:after="0"/>
        <w:jc w:val="center"/>
      </w:pPr>
      <w:r>
        <w:rPr>
          <w:rFonts w:ascii="Courier New" w:cs="Courier New" w:eastAsia="Courier New" w:hAnsi="Courier New"/>
          <w:color w:val="2C3E6B"/>
          <w:sz w:val="18"/>
          <w:szCs w:val="18"/>
        </w:rPr>
        <w:t xml:space="preserve">│  • OCC Dashboard (operator) [Module 6]         │</w:t>
      </w:r>
    </w:p>
    <w:p>
      <w:pPr>
        <w:shd w:color="F8FAFF" w:val="solid"/>
        <w:spacing w:after="0"/>
        <w:jc w:val="center"/>
      </w:pPr>
      <w:r>
        <w:rPr>
          <w:rFonts w:ascii="Courier New" w:cs="Courier New" w:eastAsia="Courier New" w:hAnsi="Courier New"/>
          <w:color w:val="2C3E6B"/>
          <w:sz w:val="18"/>
          <w:szCs w:val="18"/>
        </w:rPr>
        <w:t xml:space="preserve">│  • Teleprompter (speaker)                      │</w:t>
      </w:r>
    </w:p>
    <w:p>
      <w:pPr>
        <w:shd w:color="F8FAFF" w:val="solid"/>
        <w:spacing w:after="0"/>
        <w:jc w:val="center"/>
      </w:pPr>
      <w:r>
        <w:rPr>
          <w:rFonts w:ascii="Courier New" w:cs="Courier New" w:eastAsia="Courier New" w:hAnsi="Courier New"/>
          <w:color w:val="2C3E6B"/>
          <w:sz w:val="18"/>
          <w:szCs w:val="18"/>
        </w:rPr>
        <w:t xml:space="preserve">│  • Guidance impact delta display               │</w:t>
      </w:r>
    </w:p>
    <w:p>
      <w:pPr>
        <w:shd w:color="F8FAFF" w:val="solid"/>
        <w:spacing w:after="0"/>
        <w:jc w:val="center"/>
      </w:pPr>
      <w:r>
        <w:rPr>
          <w:rFonts w:ascii="Courier New" w:cs="Courier New" w:eastAsia="Courier New" w:hAnsi="Courier New"/>
          <w:color w:val="2C3E6B"/>
          <w:sz w:val="18"/>
          <w:szCs w:val="18"/>
        </w:rPr>
        <w:t xml:space="preserve">│  • Post-event accuracy tracking                │</w:t>
      </w:r>
    </w:p>
    <w:p>
      <w:pPr>
        <w:shd w:color="F8FAFF" w:val="solid"/>
        <w:spacing w:after="0"/>
        <w:jc w:val="center"/>
      </w:pPr>
      <w:r>
        <w:rPr>
          <w:rFonts w:ascii="Courier New" w:cs="Courier New" w:eastAsia="Courier New" w:hAnsi="Courier New"/>
          <w:color w:val="2C3E6B"/>
          <w:sz w:val="18"/>
          <w:szCs w:val="18"/>
        </w:rPr>
        <w:t xml:space="preserve">└──────────────────────────────────────────┘</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18: </w:t>
      </w:r>
      <w:r>
        <w:rPr>
          <w:rFonts w:ascii="Calibri" w:cs="Calibri" w:eastAsia="Calibri" w:hAnsi="Calibri"/>
          <w:b/>
          <w:bCs/>
          <w:color w:val="1B2A4A"/>
          <w:sz w:val="22"/>
          <w:szCs w:val="22"/>
        </w:rPr>
        <w:t xml:space="preserve">Self-Auditing ROI Engine — Cryptographic Proof Pipeline (Module 20)</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EVENT          │ │ SHADOW         │ │ FOLLOW-UP      │</w:t>
      </w:r>
    </w:p>
    <w:p>
      <w:pPr>
        <w:shd w:color="F8FAFF" w:val="solid"/>
        <w:spacing w:after="0"/>
        <w:jc w:val="center"/>
      </w:pPr>
      <w:r>
        <w:rPr>
          <w:rFonts w:ascii="Courier New" w:cs="Courier New" w:eastAsia="Courier New" w:hAnsi="Courier New"/>
          <w:color w:val="2C3E6B"/>
          <w:sz w:val="18"/>
          <w:szCs w:val="18"/>
        </w:rPr>
        <w:t xml:space="preserve">│ TOUCHPOINTS    │ │ SESSIONS       │ │ MEETINGS       │</w:t>
      </w:r>
    </w:p>
    <w:p>
      <w:pPr>
        <w:shd w:color="F8FAFF" w:val="solid"/>
        <w:spacing w:after="0"/>
        <w:jc w:val="center"/>
      </w:pPr>
      <w:r>
        <w:rPr>
          <w:rFonts w:ascii="Courier New" w:cs="Courier New" w:eastAsia="Courier New" w:hAnsi="Courier New"/>
          <w:color w:val="2C3E6B"/>
          <w:sz w:val="18"/>
          <w:szCs w:val="18"/>
        </w:rPr>
        <w:t xml:space="preserve">│ • Attendance  │ │ • Observations │ │ • Conversions  │</w:t>
      </w:r>
    </w:p>
    <w:p>
      <w:pPr>
        <w:shd w:color="F8FAFF" w:val="solid"/>
        <w:spacing w:after="0"/>
        <w:jc w:val="center"/>
      </w:pPr>
      <w:r>
        <w:rPr>
          <w:rFonts w:ascii="Courier New" w:cs="Courier New" w:eastAsia="Courier New" w:hAnsi="Courier New"/>
          <w:color w:val="2C3E6B"/>
          <w:sz w:val="18"/>
          <w:szCs w:val="18"/>
        </w:rPr>
        <w:t xml:space="preserve">│ • Questions   │ │ • Sentiment    │ │ • Capital alloc│</w:t>
      </w:r>
    </w:p>
    <w:p>
      <w:pPr>
        <w:shd w:color="F8FAFF" w:val="solid"/>
        <w:spacing w:after="0"/>
        <w:jc w:val="center"/>
      </w:pPr>
      <w:r>
        <w:rPr>
          <w:rFonts w:ascii="Courier New" w:cs="Courier New" w:eastAsia="Courier New" w:hAnsi="Courier New"/>
          <w:color w:val="2C3E6B"/>
          <w:sz w:val="18"/>
          <w:szCs w:val="18"/>
        </w:rPr>
        <w:t xml:space="preserve">│ • Engagement  │ │ • Intent data  │ │ • Email trails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PER-INVESTOR ROI CALCULATOR                   │</w:t>
      </w:r>
    </w:p>
    <w:p>
      <w:pPr>
        <w:shd w:color="F8FAFF" w:val="solid"/>
        <w:spacing w:after="0"/>
        <w:jc w:val="center"/>
      </w:pPr>
      <w:r>
        <w:rPr>
          <w:rFonts w:ascii="Courier New" w:cs="Courier New" w:eastAsia="Courier New" w:hAnsi="Courier New"/>
          <w:color w:val="2C3E6B"/>
          <w:sz w:val="18"/>
          <w:szCs w:val="18"/>
        </w:rPr>
        <w:t xml:space="preserve">│  • Cost of touchpoints (time, travel)           │</w:t>
      </w:r>
    </w:p>
    <w:p>
      <w:pPr>
        <w:shd w:color="F8FAFF" w:val="solid"/>
        <w:spacing w:after="0"/>
        <w:jc w:val="center"/>
      </w:pPr>
      <w:r>
        <w:rPr>
          <w:rFonts w:ascii="Courier New" w:cs="Courier New" w:eastAsia="Courier New" w:hAnsi="Courier New"/>
          <w:color w:val="2C3E6B"/>
          <w:sz w:val="18"/>
          <w:szCs w:val="18"/>
        </w:rPr>
        <w:t xml:space="preserve">│  • Capital raised/committed                     │</w:t>
      </w:r>
    </w:p>
    <w:p>
      <w:pPr>
        <w:shd w:color="F8FAFF" w:val="solid"/>
        <w:spacing w:after="0"/>
        <w:jc w:val="center"/>
      </w:pPr>
      <w:r>
        <w:rPr>
          <w:rFonts w:ascii="Courier New" w:cs="Courier New" w:eastAsia="Courier New" w:hAnsi="Courier New"/>
          <w:color w:val="2C3E6B"/>
          <w:sz w:val="18"/>
          <w:szCs w:val="18"/>
        </w:rPr>
        <w:t xml:space="preserve">│  • Sentiment trajectory                         │</w:t>
      </w:r>
    </w:p>
    <w:p>
      <w:pPr>
        <w:shd w:color="F8FAFF" w:val="solid"/>
        <w:spacing w:after="0"/>
        <w:jc w:val="center"/>
      </w:pPr>
      <w:r>
        <w:rPr>
          <w:rFonts w:ascii="Courier New" w:cs="Courier New" w:eastAsia="Courier New" w:hAnsi="Courier New"/>
          <w:color w:val="2C3E6B"/>
          <w:sz w:val="18"/>
          <w:szCs w:val="18"/>
        </w:rPr>
        <w:t xml:space="preserve">│  • Meeting conversion rate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QUARTERLY REPORT   ││ CRYPTO PROOF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Self-audited     ││ Hash =             │</w:t>
      </w:r>
    </w:p>
    <w:p>
      <w:pPr>
        <w:shd w:color="F8FAFF" w:val="solid"/>
        <w:spacing w:after="0"/>
        <w:jc w:val="center"/>
      </w:pPr>
      <w:r>
        <w:rPr>
          <w:rFonts w:ascii="Courier New" w:cs="Courier New" w:eastAsia="Courier New" w:hAnsi="Courier New"/>
          <w:color w:val="2C3E6B"/>
          <w:sz w:val="18"/>
          <w:szCs w:val="18"/>
        </w:rPr>
        <w:t xml:space="preserve">│ • Methodology      ││ SHA-256(inputs +   │</w:t>
      </w:r>
    </w:p>
    <w:p>
      <w:pPr>
        <w:shd w:color="F8FAFF" w:val="solid"/>
        <w:spacing w:after="0"/>
        <w:jc w:val="center"/>
      </w:pPr>
      <w:r>
        <w:rPr>
          <w:rFonts w:ascii="Courier New" w:cs="Courier New" w:eastAsia="Courier New" w:hAnsi="Courier New"/>
          <w:color w:val="2C3E6B"/>
          <w:sz w:val="18"/>
          <w:szCs w:val="18"/>
        </w:rPr>
        <w:t xml:space="preserve">│   documented       ││ methodology +      │</w:t>
      </w:r>
    </w:p>
    <w:p>
      <w:pPr>
        <w:shd w:color="F8FAFF" w:val="solid"/>
        <w:spacing w:after="0"/>
        <w:jc w:val="center"/>
      </w:pPr>
      <w:r>
        <w:rPr>
          <w:rFonts w:ascii="Courier New" w:cs="Courier New" w:eastAsia="Courier New" w:hAnsi="Courier New"/>
          <w:color w:val="2C3E6B"/>
          <w:sz w:val="18"/>
          <w:szCs w:val="18"/>
        </w:rPr>
        <w:t xml:space="preserve">│ • Data sources     ││ parameters)        │</w:t>
      </w:r>
    </w:p>
    <w:p>
      <w:pPr>
        <w:shd w:color="F8FAFF" w:val="solid"/>
        <w:spacing w:after="0"/>
        <w:jc w:val="center"/>
      </w:pPr>
      <w:r>
        <w:rPr>
          <w:rFonts w:ascii="Courier New" w:cs="Courier New" w:eastAsia="Courier New" w:hAnsi="Courier New"/>
          <w:color w:val="2C3E6B"/>
          <w:sz w:val="18"/>
          <w:szCs w:val="18"/>
        </w:rPr>
        <w:t xml:space="preserve">│   listed           ││                    │</w:t>
      </w:r>
    </w:p>
    <w:p>
      <w:pPr>
        <w:shd w:color="F8FAFF" w:val="solid"/>
        <w:spacing w:after="0"/>
        <w:jc w:val="center"/>
      </w:pPr>
      <w:r>
        <w:rPr>
          <w:rFonts w:ascii="Courier New" w:cs="Courier New" w:eastAsia="Courier New" w:hAnsi="Courier New"/>
          <w:color w:val="2C3E6B"/>
          <w:sz w:val="18"/>
          <w:szCs w:val="18"/>
        </w:rPr>
        <w:t xml:space="preserve">└──────────┬─────────┘│ Independent        │</w:t>
      </w:r>
    </w:p>
    <w:p>
      <w:pPr>
        <w:shd w:color="F8FAFF" w:val="solid"/>
        <w:spacing w:after="0"/>
        <w:jc w:val="center"/>
      </w:pPr>
      <w:r>
        <w:rPr>
          <w:rFonts w:ascii="Courier New" w:cs="Courier New" w:eastAsia="Courier New" w:hAnsi="Courier New"/>
          <w:color w:val="2C3E6B"/>
          <w:sz w:val="18"/>
          <w:szCs w:val="18"/>
        </w:rPr>
        <w:t xml:space="preserve">           │          │ verification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PREDICTIVE ROI MODELLING                     │</w:t>
      </w:r>
    </w:p>
    <w:p>
      <w:pPr>
        <w:shd w:color="F8FAFF" w:val="solid"/>
        <w:spacing w:after="0"/>
        <w:jc w:val="center"/>
      </w:pPr>
      <w:r>
        <w:rPr>
          <w:rFonts w:ascii="Courier New" w:cs="Courier New" w:eastAsia="Courier New" w:hAnsi="Courier New"/>
          <w:color w:val="2C3E6B"/>
          <w:sz w:val="18"/>
          <w:szCs w:val="18"/>
        </w:rPr>
        <w:t xml:space="preserve">│  • Expected ROI for proposed activities        │</w:t>
      </w:r>
    </w:p>
    <w:p>
      <w:pPr>
        <w:shd w:color="F8FAFF" w:val="solid"/>
        <w:spacing w:after="0"/>
        <w:jc w:val="center"/>
      </w:pPr>
      <w:r>
        <w:rPr>
          <w:rFonts w:ascii="Courier New" w:cs="Courier New" w:eastAsia="Courier New" w:hAnsi="Courier New"/>
          <w:color w:val="2C3E6B"/>
          <w:sz w:val="18"/>
          <w:szCs w:val="18"/>
        </w:rPr>
        <w:t xml:space="preserve">│  • Data-driven IR budget allocation            │</w:t>
      </w:r>
    </w:p>
    <w:p>
      <w:pPr>
        <w:shd w:color="F8FAFF" w:val="solid"/>
        <w:spacing w:after="0"/>
        <w:jc w:val="center"/>
      </w:pPr>
      <w:r>
        <w:rPr>
          <w:rFonts w:ascii="Courier New" w:cs="Courier New" w:eastAsia="Courier New" w:hAnsi="Courier New"/>
          <w:color w:val="2C3E6B"/>
          <w:sz w:val="18"/>
          <w:szCs w:val="18"/>
        </w:rPr>
        <w:t xml:space="preserve">│  • Industry benchmark comparison (Module 7)    │</w:t>
      </w:r>
    </w:p>
    <w:p>
      <w:pPr>
        <w:shd w:color="F8FAFF" w:val="solid"/>
        <w:spacing w:after="0"/>
        <w:jc w:val="center"/>
      </w:pPr>
      <w:r>
        <w:rPr>
          <w:rFonts w:ascii="Courier New" w:cs="Courier New" w:eastAsia="Courier New" w:hAnsi="Courier New"/>
          <w:color w:val="2C3E6B"/>
          <w:sz w:val="18"/>
          <w:szCs w:val="18"/>
        </w:rPr>
        <w:t xml:space="preserve">└──────────────────────────────────────────┘</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10. COMPLETE CLAIMS SUMMARY</w:t>
      </w:r>
    </w:p>
    <w:p>
      <w:pPr>
        <w:spacing w:after="120"/>
      </w:pPr>
      <w:r>
        <w:rPr>
          <w:rFonts w:ascii="Calibri" w:cs="Calibri" w:eastAsia="Calibri" w:hAnsi="Calibri"/>
          <w:color w:val="000000"/>
          <w:sz w:val="21"/>
          <w:szCs w:val="21"/>
        </w:rPr>
        <w:t xml:space="preserve">The following table summarises all 31 independent claims across the parent specification and this CIP supplementary specification: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Claim #</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Type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Scope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System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Core platform: event monitoring, AI analysis, cross-platform capture, OCC, benchmarking, compliance, self-improving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Method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Cross-platform capture method, benchmarking method, collaborative management, self-improving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21–25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Self-evolving platform intelligence, pattern discovery, predictive briefings, benchmark evolution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(First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Campaign Orchestrator (Module 14)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 (Module 15)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Self-Certifying Multi-Event Integrity Chain (Module 17)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Agent Swarm Commander (Module 18)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Valuation Impact Oracle (Module 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Investor Engagement ROI Engine (Module 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bl>
    <w:p>
      <w:pPr>
        <w:spacing w:before="400"/>
      </w:pPr>
    </w:p>
    <w:p>
      <w:pPr>
        <w:pBdr>
          <w:bottom w:val="single" w:color="DDDDDD" w:sz="1"/>
        </w:pBdr>
        <w:spacing w:after="200" w:before="200"/>
      </w:pPr>
      <w:r>
        <w:t xml:space="preserve"/>
      </w:r>
    </w:p>
    <w:p>
      <w:pPr>
        <w:spacing w:after="120"/>
      </w:pPr>
      <w:r>
        <w:rPr>
          <w:rFonts w:ascii="Calibri" w:cs="Calibri" w:eastAsia="Calibri" w:hAnsi="Calibri"/>
          <w:color w:val="000000"/>
          <w:sz w:val="21"/>
          <w:szCs w:val="21"/>
        </w:rPr>
        <w:t xml:space="preserve">End of Continuation-in-Part Supplementary Specification</w:t>
      </w:r>
    </w:p>
    <w:p>
      <w:pPr>
        <w:spacing w:before="200"/>
      </w:pPr>
    </w:p>
    <w:p>
      <w:pPr>
        <w:spacing w:after="200"/>
        <w:jc w:val="center"/>
      </w:pPr>
      <w:r>
        <w:rPr>
          <w:color w:val="CCCCCC"/>
          <w:sz w:val="20"/>
          <w:szCs w:val="20"/>
        </w:rPr>
        <w:t xml:space="preserve">────────────────────────────────────</w:t>
      </w:r>
    </w:p>
    <w:p>
      <w:pPr>
        <w:jc w:val="center"/>
      </w:pPr>
      <w:r>
        <w:rPr>
          <w:rFonts w:ascii="Calibri" w:cs="Calibri" w:eastAsia="Calibri" w:hAnsi="Calibri"/>
          <w:i/>
          <w:iCs/>
          <w:color w:val="666666"/>
          <w:sz w:val="18"/>
          <w:szCs w:val="18"/>
        </w:rPr>
        <w:t xml:space="preserve">CuraLive — Confidential | CIP Supplementary Specification | Second CIPC Submission | March 2026</w:t>
      </w:r>
    </w:p>
    <w:p>
      <w:pPr>
        <w:jc w:val="center"/>
      </w:pPr>
      <w:r>
        <w:rPr>
          <w:rFonts w:ascii="Calibri" w:cs="Calibri" w:eastAsia="Calibri" w:hAnsi="Calibri"/>
          <w:i/>
          <w:iCs/>
          <w:color w:val="666666"/>
          <w:sz w:val="18"/>
          <w:szCs w:val="18"/>
        </w:rPr>
        <w:t xml:space="preserve">Applicant: David Cameron | 41 Rooigras Avenue, 73 Tiffani Gardens, Bassonia, 2090, Johannesburg | +27 84 444 6001</w:t>
      </w:r>
    </w:p>
    <w:sectPr>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2026-03-18T17:25:53.049Z</dcterms:created>
  <dcterms:modified xsi:type="dcterms:W3CDTF">2026-03-18T17:25:53.050Z</dcterms:modified>
</cp:coreProperties>
</file>

<file path=docProps/custom.xml><?xml version="1.0" encoding="utf-8"?>
<Properties xmlns="http://schemas.openxmlformats.org/officeDocument/2006/custom-properties" xmlns:vt="http://schemas.openxmlformats.org/officeDocument/2006/docPropsVTypes"/>
</file>