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C8B9A"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E44805">
        <w:rPr>
          <w:rFonts w:ascii="Times New Roman" w:eastAsia="Times New Roman" w:hAnsi="Times New Roman" w:cs="Times New Roman"/>
          <w:b/>
          <w:bCs/>
          <w:sz w:val="24"/>
          <w:szCs w:val="24"/>
          <w:lang w:eastAsia="en-ZA"/>
        </w:rPr>
        <w:t>CuraLive</w:t>
      </w:r>
      <w:proofErr w:type="spellEnd"/>
      <w:r w:rsidRPr="00E44805">
        <w:rPr>
          <w:rFonts w:ascii="Times New Roman" w:eastAsia="Times New Roman" w:hAnsi="Times New Roman" w:cs="Times New Roman"/>
          <w:b/>
          <w:bCs/>
          <w:sz w:val="24"/>
          <w:szCs w:val="24"/>
          <w:lang w:eastAsia="en-ZA"/>
        </w:rPr>
        <w:t xml:space="preserve"> Platform</w:t>
      </w:r>
      <w:r w:rsidRPr="00E44805">
        <w:rPr>
          <w:rFonts w:ascii="Times New Roman" w:eastAsia="Times New Roman" w:hAnsi="Times New Roman" w:cs="Times New Roman"/>
          <w:sz w:val="24"/>
          <w:szCs w:val="24"/>
          <w:lang w:eastAsia="en-ZA"/>
        </w:rPr>
        <w:t xml:space="preserve"> </w:t>
      </w:r>
      <w:r w:rsidRPr="00E44805">
        <w:rPr>
          <w:rFonts w:ascii="Times New Roman" w:eastAsia="Times New Roman" w:hAnsi="Times New Roman" w:cs="Times New Roman"/>
          <w:b/>
          <w:bCs/>
          <w:sz w:val="24"/>
          <w:szCs w:val="24"/>
          <w:lang w:eastAsia="en-ZA"/>
        </w:rPr>
        <w:t>CONTINUATION-IN-PART (CIP) SUPPLEMENTARY SPECIFICATION</w:t>
      </w:r>
      <w:r w:rsidRPr="00E44805">
        <w:rPr>
          <w:rFonts w:ascii="Times New Roman" w:eastAsia="Times New Roman" w:hAnsi="Times New Roman" w:cs="Times New Roman"/>
          <w:sz w:val="24"/>
          <w:szCs w:val="24"/>
          <w:lang w:eastAsia="en-ZA"/>
        </w:rPr>
        <w:t xml:space="preserve"> </w:t>
      </w:r>
      <w:r w:rsidRPr="00E44805">
        <w:rPr>
          <w:rFonts w:ascii="Times New Roman" w:eastAsia="Times New Roman" w:hAnsi="Times New Roman" w:cs="Times New Roman"/>
          <w:b/>
          <w:bCs/>
          <w:sz w:val="24"/>
          <w:szCs w:val="24"/>
          <w:lang w:eastAsia="en-ZA"/>
        </w:rPr>
        <w:t>Second Submission to CIPC</w:t>
      </w:r>
      <w:r w:rsidRPr="00E44805">
        <w:rPr>
          <w:rFonts w:ascii="Times New Roman" w:eastAsia="Times New Roman" w:hAnsi="Times New Roman" w:cs="Times New Roman"/>
          <w:sz w:val="24"/>
          <w:szCs w:val="24"/>
          <w:lang w:eastAsia="en-ZA"/>
        </w:rPr>
        <w:t xml:space="preserve"> </w:t>
      </w:r>
      <w:r w:rsidRPr="00E44805">
        <w:rPr>
          <w:rFonts w:ascii="Times New Roman" w:eastAsia="Times New Roman" w:hAnsi="Times New Roman" w:cs="Times New Roman"/>
          <w:b/>
          <w:bCs/>
          <w:sz w:val="24"/>
          <w:szCs w:val="24"/>
          <w:lang w:eastAsia="en-ZA"/>
        </w:rPr>
        <w:t>Autonomous Intelligence Modules 19–27</w:t>
      </w:r>
    </w:p>
    <w:p w14:paraId="55F46DD5"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Document Classification:</w:t>
      </w:r>
      <w:r w:rsidRPr="00E44805">
        <w:rPr>
          <w:rFonts w:ascii="Times New Roman" w:eastAsia="Times New Roman" w:hAnsi="Times New Roman" w:cs="Times New Roman"/>
          <w:sz w:val="24"/>
          <w:szCs w:val="24"/>
          <w:lang w:eastAsia="en-ZA"/>
        </w:rPr>
        <w:t xml:space="preserve"> Confidential — Patent Filing Support Material </w:t>
      </w:r>
      <w:r w:rsidRPr="00E44805">
        <w:rPr>
          <w:rFonts w:ascii="Times New Roman" w:eastAsia="Times New Roman" w:hAnsi="Times New Roman" w:cs="Times New Roman"/>
          <w:b/>
          <w:bCs/>
          <w:sz w:val="24"/>
          <w:szCs w:val="24"/>
          <w:lang w:eastAsia="en-ZA"/>
        </w:rPr>
        <w:t>Document Type:</w:t>
      </w:r>
      <w:r w:rsidRPr="00E44805">
        <w:rPr>
          <w:rFonts w:ascii="Times New Roman" w:eastAsia="Times New Roman" w:hAnsi="Times New Roman" w:cs="Times New Roman"/>
          <w:sz w:val="24"/>
          <w:szCs w:val="24"/>
          <w:lang w:eastAsia="en-ZA"/>
        </w:rPr>
        <w:t xml:space="preserve"> Continuation-in-Part (CIP) Supplementary Specification </w:t>
      </w:r>
      <w:r w:rsidRPr="00E44805">
        <w:rPr>
          <w:rFonts w:ascii="Times New Roman" w:eastAsia="Times New Roman" w:hAnsi="Times New Roman" w:cs="Times New Roman"/>
          <w:b/>
          <w:bCs/>
          <w:sz w:val="24"/>
          <w:szCs w:val="24"/>
          <w:lang w:eastAsia="en-ZA"/>
        </w:rPr>
        <w:t>Submission:</w:t>
      </w:r>
      <w:r w:rsidRPr="00E44805">
        <w:rPr>
          <w:rFonts w:ascii="Times New Roman" w:eastAsia="Times New Roman" w:hAnsi="Times New Roman" w:cs="Times New Roman"/>
          <w:sz w:val="24"/>
          <w:szCs w:val="24"/>
          <w:lang w:eastAsia="en-ZA"/>
        </w:rPr>
        <w:t xml:space="preserve"> Second CIPC Filing </w:t>
      </w:r>
      <w:r w:rsidRPr="00E44805">
        <w:rPr>
          <w:rFonts w:ascii="Times New Roman" w:eastAsia="Times New Roman" w:hAnsi="Times New Roman" w:cs="Times New Roman"/>
          <w:b/>
          <w:bCs/>
          <w:sz w:val="24"/>
          <w:szCs w:val="24"/>
          <w:lang w:eastAsia="en-ZA"/>
        </w:rPr>
        <w:t>Prepared:</w:t>
      </w:r>
      <w:r w:rsidRPr="00E44805">
        <w:rPr>
          <w:rFonts w:ascii="Times New Roman" w:eastAsia="Times New Roman" w:hAnsi="Times New Roman" w:cs="Times New Roman"/>
          <w:sz w:val="24"/>
          <w:szCs w:val="24"/>
          <w:lang w:eastAsia="en-ZA"/>
        </w:rPr>
        <w:t xml:space="preserve"> 18 March 2026 </w:t>
      </w:r>
      <w:r w:rsidRPr="00E44805">
        <w:rPr>
          <w:rFonts w:ascii="Times New Roman" w:eastAsia="Times New Roman" w:hAnsi="Times New Roman" w:cs="Times New Roman"/>
          <w:b/>
          <w:bCs/>
          <w:sz w:val="24"/>
          <w:szCs w:val="24"/>
          <w:lang w:eastAsia="en-ZA"/>
        </w:rPr>
        <w:t>Applicant:</w:t>
      </w:r>
      <w:r w:rsidRPr="00E44805">
        <w:rPr>
          <w:rFonts w:ascii="Times New Roman" w:eastAsia="Times New Roman" w:hAnsi="Times New Roman" w:cs="Times New Roman"/>
          <w:sz w:val="24"/>
          <w:szCs w:val="24"/>
          <w:lang w:eastAsia="en-ZA"/>
        </w:rPr>
        <w:t xml:space="preserve"> David Cameron </w:t>
      </w:r>
      <w:r w:rsidRPr="00E44805">
        <w:rPr>
          <w:rFonts w:ascii="Times New Roman" w:eastAsia="Times New Roman" w:hAnsi="Times New Roman" w:cs="Times New Roman"/>
          <w:b/>
          <w:bCs/>
          <w:sz w:val="24"/>
          <w:szCs w:val="24"/>
          <w:lang w:eastAsia="en-ZA"/>
        </w:rPr>
        <w:t>Address:</w:t>
      </w:r>
      <w:r w:rsidRPr="00E44805">
        <w:rPr>
          <w:rFonts w:ascii="Times New Roman" w:eastAsia="Times New Roman" w:hAnsi="Times New Roman" w:cs="Times New Roman"/>
          <w:sz w:val="24"/>
          <w:szCs w:val="24"/>
          <w:lang w:eastAsia="en-ZA"/>
        </w:rPr>
        <w:t xml:space="preserve"> 41 </w:t>
      </w:r>
      <w:proofErr w:type="spellStart"/>
      <w:r w:rsidRPr="00E44805">
        <w:rPr>
          <w:rFonts w:ascii="Times New Roman" w:eastAsia="Times New Roman" w:hAnsi="Times New Roman" w:cs="Times New Roman"/>
          <w:sz w:val="24"/>
          <w:szCs w:val="24"/>
          <w:lang w:eastAsia="en-ZA"/>
        </w:rPr>
        <w:t>Rooigras</w:t>
      </w:r>
      <w:proofErr w:type="spellEnd"/>
      <w:r w:rsidRPr="00E44805">
        <w:rPr>
          <w:rFonts w:ascii="Times New Roman" w:eastAsia="Times New Roman" w:hAnsi="Times New Roman" w:cs="Times New Roman"/>
          <w:sz w:val="24"/>
          <w:szCs w:val="24"/>
          <w:lang w:eastAsia="en-ZA"/>
        </w:rPr>
        <w:t xml:space="preserve"> Avenue, 73 Tiffani Gardens, Bassonia, 2090, Johannesburg </w:t>
      </w:r>
      <w:r w:rsidRPr="00E44805">
        <w:rPr>
          <w:rFonts w:ascii="Times New Roman" w:eastAsia="Times New Roman" w:hAnsi="Times New Roman" w:cs="Times New Roman"/>
          <w:b/>
          <w:bCs/>
          <w:sz w:val="24"/>
          <w:szCs w:val="24"/>
          <w:lang w:eastAsia="en-ZA"/>
        </w:rPr>
        <w:t>Contact:</w:t>
      </w:r>
      <w:r w:rsidRPr="00E44805">
        <w:rPr>
          <w:rFonts w:ascii="Times New Roman" w:eastAsia="Times New Roman" w:hAnsi="Times New Roman" w:cs="Times New Roman"/>
          <w:sz w:val="24"/>
          <w:szCs w:val="24"/>
          <w:lang w:eastAsia="en-ZA"/>
        </w:rPr>
        <w:t xml:space="preserve"> +27 84 444 6001 </w:t>
      </w:r>
      <w:r w:rsidRPr="00E44805">
        <w:rPr>
          <w:rFonts w:ascii="Times New Roman" w:eastAsia="Times New Roman" w:hAnsi="Times New Roman" w:cs="Times New Roman"/>
          <w:b/>
          <w:bCs/>
          <w:sz w:val="24"/>
          <w:szCs w:val="24"/>
          <w:lang w:eastAsia="en-ZA"/>
        </w:rPr>
        <w:t>Jurisdiction:</w:t>
      </w:r>
      <w:r w:rsidRPr="00E44805">
        <w:rPr>
          <w:rFonts w:ascii="Times New Roman" w:eastAsia="Times New Roman" w:hAnsi="Times New Roman" w:cs="Times New Roman"/>
          <w:sz w:val="24"/>
          <w:szCs w:val="24"/>
          <w:lang w:eastAsia="en-ZA"/>
        </w:rPr>
        <w:t xml:space="preserve"> Republic of South Africa </w:t>
      </w:r>
      <w:r w:rsidRPr="00E44805">
        <w:rPr>
          <w:rFonts w:ascii="Times New Roman" w:eastAsia="Times New Roman" w:hAnsi="Times New Roman" w:cs="Times New Roman"/>
          <w:b/>
          <w:bCs/>
          <w:sz w:val="24"/>
          <w:szCs w:val="24"/>
          <w:lang w:eastAsia="en-ZA"/>
        </w:rPr>
        <w:t>Filing Authority:</w:t>
      </w:r>
      <w:r w:rsidRPr="00E44805">
        <w:rPr>
          <w:rFonts w:ascii="Times New Roman" w:eastAsia="Times New Roman" w:hAnsi="Times New Roman" w:cs="Times New Roman"/>
          <w:sz w:val="24"/>
          <w:szCs w:val="24"/>
          <w:lang w:eastAsia="en-ZA"/>
        </w:rPr>
        <w:t xml:space="preserve"> Companies and Intellectual Property Commission (CIPC) </w:t>
      </w:r>
      <w:r w:rsidRPr="00E44805">
        <w:rPr>
          <w:rFonts w:ascii="Times New Roman" w:eastAsia="Times New Roman" w:hAnsi="Times New Roman" w:cs="Times New Roman"/>
          <w:b/>
          <w:bCs/>
          <w:sz w:val="24"/>
          <w:szCs w:val="24"/>
          <w:lang w:eastAsia="en-ZA"/>
        </w:rPr>
        <w:t>Filing Jurisdiction:</w:t>
      </w:r>
      <w:r w:rsidRPr="00E44805">
        <w:rPr>
          <w:rFonts w:ascii="Times New Roman" w:eastAsia="Times New Roman" w:hAnsi="Times New Roman" w:cs="Times New Roman"/>
          <w:sz w:val="24"/>
          <w:szCs w:val="24"/>
          <w:lang w:eastAsia="en-ZA"/>
        </w:rPr>
        <w:t xml:space="preserve"> South Africa (CIPC), with PCT international phase intended </w:t>
      </w:r>
      <w:r w:rsidRPr="00E44805">
        <w:rPr>
          <w:rFonts w:ascii="Times New Roman" w:eastAsia="Times New Roman" w:hAnsi="Times New Roman" w:cs="Times New Roman"/>
          <w:b/>
          <w:bCs/>
          <w:sz w:val="24"/>
          <w:szCs w:val="24"/>
          <w:lang w:eastAsia="en-ZA"/>
        </w:rPr>
        <w:t>Production URL:</w:t>
      </w:r>
      <w:r w:rsidRPr="00E44805">
        <w:rPr>
          <w:rFonts w:ascii="Times New Roman" w:eastAsia="Times New Roman" w:hAnsi="Times New Roman" w:cs="Times New Roman"/>
          <w:sz w:val="24"/>
          <w:szCs w:val="24"/>
          <w:lang w:eastAsia="en-ZA"/>
        </w:rPr>
        <w:t xml:space="preserve"> </w:t>
      </w:r>
      <w:hyperlink r:id="rId4" w:tgtFrame="_blank" w:history="1">
        <w:r w:rsidRPr="00E44805">
          <w:rPr>
            <w:rFonts w:ascii="Times New Roman" w:eastAsia="Times New Roman" w:hAnsi="Times New Roman" w:cs="Times New Roman"/>
            <w:color w:val="0000FF"/>
            <w:sz w:val="24"/>
            <w:szCs w:val="24"/>
            <w:u w:val="single"/>
            <w:lang w:eastAsia="en-ZA"/>
          </w:rPr>
          <w:t>https://curalive-platform.replit.app</w:t>
        </w:r>
      </w:hyperlink>
      <w:r w:rsidRPr="00E44805">
        <w:rPr>
          <w:rFonts w:ascii="Times New Roman" w:eastAsia="Times New Roman" w:hAnsi="Times New Roman" w:cs="Times New Roman"/>
          <w:sz w:val="24"/>
          <w:szCs w:val="24"/>
          <w:lang w:eastAsia="en-ZA"/>
        </w:rPr>
        <w:t xml:space="preserve"> </w:t>
      </w:r>
      <w:r w:rsidRPr="00E44805">
        <w:rPr>
          <w:rFonts w:ascii="Times New Roman" w:eastAsia="Times New Roman" w:hAnsi="Times New Roman" w:cs="Times New Roman"/>
          <w:b/>
          <w:bCs/>
          <w:sz w:val="24"/>
          <w:szCs w:val="24"/>
          <w:lang w:eastAsia="en-ZA"/>
        </w:rPr>
        <w:t>GitHub Repository:</w:t>
      </w:r>
      <w:r w:rsidRPr="00E44805">
        <w:rPr>
          <w:rFonts w:ascii="Times New Roman" w:eastAsia="Times New Roman" w:hAnsi="Times New Roman" w:cs="Times New Roman"/>
          <w:sz w:val="24"/>
          <w:szCs w:val="24"/>
          <w:lang w:eastAsia="en-ZA"/>
        </w:rPr>
        <w:t xml:space="preserve"> github.com/davecameron187-sys/</w:t>
      </w:r>
      <w:proofErr w:type="spellStart"/>
      <w:r w:rsidRPr="00E44805">
        <w:rPr>
          <w:rFonts w:ascii="Times New Roman" w:eastAsia="Times New Roman" w:hAnsi="Times New Roman" w:cs="Times New Roman"/>
          <w:sz w:val="24"/>
          <w:szCs w:val="24"/>
          <w:lang w:eastAsia="en-ZA"/>
        </w:rPr>
        <w:t>curalive</w:t>
      </w:r>
      <w:proofErr w:type="spellEnd"/>
      <w:r w:rsidRPr="00E44805">
        <w:rPr>
          <w:rFonts w:ascii="Times New Roman" w:eastAsia="Times New Roman" w:hAnsi="Times New Roman" w:cs="Times New Roman"/>
          <w:sz w:val="24"/>
          <w:szCs w:val="24"/>
          <w:lang w:eastAsia="en-ZA"/>
        </w:rPr>
        <w:t>-platform</w:t>
      </w:r>
    </w:p>
    <w:p w14:paraId="1D266AE2"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Title of Invention</w:t>
      </w:r>
      <w:r w:rsidRPr="00E44805">
        <w:rPr>
          <w:rFonts w:ascii="Times New Roman" w:eastAsia="Times New Roman" w:hAnsi="Times New Roman" w:cs="Times New Roman"/>
          <w:sz w:val="24"/>
          <w:szCs w:val="24"/>
          <w:lang w:eastAsia="en-ZA"/>
        </w:rPr>
        <w:t xml:space="preserve"> System and Method for Autonomous Intelligence Orchestration, Self-Healing Regulatory Compliance, Multi-Event Integrity Certification, Autonomous Agent Swarm Command, Real-Time Valuation Simulation, and Self-Auditing Investor Engagement ROI for Investor Communication Events</w:t>
      </w:r>
    </w:p>
    <w:p w14:paraId="65DF2628"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Abstract</w:t>
      </w:r>
      <w:r w:rsidRPr="00E44805">
        <w:rPr>
          <w:rFonts w:ascii="Times New Roman" w:eastAsia="Times New Roman" w:hAnsi="Times New Roman" w:cs="Times New Roman"/>
          <w:sz w:val="24"/>
          <w:szCs w:val="24"/>
          <w:lang w:eastAsia="en-ZA"/>
        </w:rPr>
        <w:t xml:space="preserve"> This Continuation-in-Part (CIP) addendum extends the parent provisional (filed 12 March 2026 – the only submission to date) with seven new autonomous AI subsystems (Modules 19–25) plus two additional genius modules (26–27). These modules introduce full platform autonomy: reinforcement-learning campaign orchestration across entire investor cycles, predictive self-healing regulatory adaptation (6–18 month horizon scanning with zero-downtime patching), dynamic investor relationship graph weaving, cryptographically linked multi-event blockchain integrity chains (enhanced with quantum-resistant algorithms and smart-contract verification), autonomous AI agent swarm command with cross-swarm fusion, real-time Monte-Carlo valuation impact simulation with fair-value-gap alerts, self-auditing per-investor ROI calculation with cryptographic proof, autonomous dual-purpose compliance &amp; capital-raising advising, and a self-optimising global federated event intelligence network. The system now operates as a complete self-governing intelligence layer for live investor events worldwide.</w:t>
      </w:r>
    </w:p>
    <w:p w14:paraId="3CC7C65D"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Cross-Reference to Related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1092"/>
        <w:gridCol w:w="2060"/>
        <w:gridCol w:w="4111"/>
      </w:tblGrid>
      <w:tr w:rsidR="00E44805" w:rsidRPr="00E44805" w14:paraId="36825801" w14:textId="77777777" w:rsidTr="00E44805">
        <w:trPr>
          <w:tblHeader/>
          <w:tblCellSpacing w:w="15" w:type="dxa"/>
        </w:trPr>
        <w:tc>
          <w:tcPr>
            <w:tcW w:w="0" w:type="auto"/>
            <w:vAlign w:val="center"/>
            <w:hideMark/>
          </w:tcPr>
          <w:p w14:paraId="5711C4F6" w14:textId="77777777" w:rsidR="00E44805" w:rsidRPr="00E44805" w:rsidRDefault="00E44805" w:rsidP="00E44805">
            <w:pPr>
              <w:spacing w:after="0" w:line="240" w:lineRule="auto"/>
              <w:jc w:val="center"/>
              <w:rPr>
                <w:rFonts w:ascii="Times New Roman" w:eastAsia="Times New Roman" w:hAnsi="Times New Roman" w:cs="Times New Roman"/>
                <w:b/>
                <w:bCs/>
                <w:sz w:val="24"/>
                <w:szCs w:val="24"/>
                <w:lang w:eastAsia="en-ZA"/>
              </w:rPr>
            </w:pPr>
            <w:r w:rsidRPr="00E44805">
              <w:rPr>
                <w:rFonts w:ascii="Times New Roman" w:eastAsia="Times New Roman" w:hAnsi="Times New Roman" w:cs="Times New Roman"/>
                <w:b/>
                <w:bCs/>
                <w:sz w:val="24"/>
                <w:szCs w:val="24"/>
                <w:lang w:eastAsia="en-ZA"/>
              </w:rPr>
              <w:t>Application ID</w:t>
            </w:r>
          </w:p>
        </w:tc>
        <w:tc>
          <w:tcPr>
            <w:tcW w:w="0" w:type="auto"/>
            <w:vAlign w:val="center"/>
            <w:hideMark/>
          </w:tcPr>
          <w:p w14:paraId="5FBDEFC6" w14:textId="77777777" w:rsidR="00E44805" w:rsidRPr="00E44805" w:rsidRDefault="00E44805" w:rsidP="00E44805">
            <w:pPr>
              <w:spacing w:after="0" w:line="240" w:lineRule="auto"/>
              <w:jc w:val="center"/>
              <w:rPr>
                <w:rFonts w:ascii="Times New Roman" w:eastAsia="Times New Roman" w:hAnsi="Times New Roman" w:cs="Times New Roman"/>
                <w:b/>
                <w:bCs/>
                <w:sz w:val="24"/>
                <w:szCs w:val="24"/>
                <w:lang w:eastAsia="en-ZA"/>
              </w:rPr>
            </w:pPr>
            <w:r w:rsidRPr="00E44805">
              <w:rPr>
                <w:rFonts w:ascii="Times New Roman" w:eastAsia="Times New Roman" w:hAnsi="Times New Roman" w:cs="Times New Roman"/>
                <w:b/>
                <w:bCs/>
                <w:sz w:val="24"/>
                <w:szCs w:val="24"/>
                <w:lang w:eastAsia="en-ZA"/>
              </w:rPr>
              <w:t>Filing Date</w:t>
            </w:r>
          </w:p>
        </w:tc>
        <w:tc>
          <w:tcPr>
            <w:tcW w:w="0" w:type="auto"/>
            <w:vAlign w:val="center"/>
            <w:hideMark/>
          </w:tcPr>
          <w:p w14:paraId="14A47A0A" w14:textId="77777777" w:rsidR="00E44805" w:rsidRPr="00E44805" w:rsidRDefault="00E44805" w:rsidP="00E44805">
            <w:pPr>
              <w:spacing w:after="0" w:line="240" w:lineRule="auto"/>
              <w:jc w:val="center"/>
              <w:rPr>
                <w:rFonts w:ascii="Times New Roman" w:eastAsia="Times New Roman" w:hAnsi="Times New Roman" w:cs="Times New Roman"/>
                <w:b/>
                <w:bCs/>
                <w:sz w:val="24"/>
                <w:szCs w:val="24"/>
                <w:lang w:eastAsia="en-ZA"/>
              </w:rPr>
            </w:pPr>
            <w:r w:rsidRPr="00E44805">
              <w:rPr>
                <w:rFonts w:ascii="Times New Roman" w:eastAsia="Times New Roman" w:hAnsi="Times New Roman" w:cs="Times New Roman"/>
                <w:b/>
                <w:bCs/>
                <w:sz w:val="24"/>
                <w:szCs w:val="24"/>
                <w:lang w:eastAsia="en-ZA"/>
              </w:rPr>
              <w:t>Status</w:t>
            </w:r>
          </w:p>
        </w:tc>
        <w:tc>
          <w:tcPr>
            <w:tcW w:w="0" w:type="auto"/>
            <w:vAlign w:val="center"/>
            <w:hideMark/>
          </w:tcPr>
          <w:p w14:paraId="04EA95D2" w14:textId="77777777" w:rsidR="00E44805" w:rsidRPr="00E44805" w:rsidRDefault="00E44805" w:rsidP="00E44805">
            <w:pPr>
              <w:spacing w:after="0" w:line="240" w:lineRule="auto"/>
              <w:jc w:val="center"/>
              <w:rPr>
                <w:rFonts w:ascii="Times New Roman" w:eastAsia="Times New Roman" w:hAnsi="Times New Roman" w:cs="Times New Roman"/>
                <w:b/>
                <w:bCs/>
                <w:sz w:val="24"/>
                <w:szCs w:val="24"/>
                <w:lang w:eastAsia="en-ZA"/>
              </w:rPr>
            </w:pPr>
            <w:r w:rsidRPr="00E44805">
              <w:rPr>
                <w:rFonts w:ascii="Times New Roman" w:eastAsia="Times New Roman" w:hAnsi="Times New Roman" w:cs="Times New Roman"/>
                <w:b/>
                <w:bCs/>
                <w:sz w:val="24"/>
                <w:szCs w:val="24"/>
                <w:lang w:eastAsia="en-ZA"/>
              </w:rPr>
              <w:t>Scope</w:t>
            </w:r>
          </w:p>
        </w:tc>
      </w:tr>
      <w:tr w:rsidR="00E44805" w:rsidRPr="00E44805" w14:paraId="61802A6C" w14:textId="77777777" w:rsidTr="00E44805">
        <w:trPr>
          <w:tblCellSpacing w:w="15" w:type="dxa"/>
        </w:trPr>
        <w:tc>
          <w:tcPr>
            <w:tcW w:w="0" w:type="auto"/>
            <w:vAlign w:val="center"/>
            <w:hideMark/>
          </w:tcPr>
          <w:p w14:paraId="4176F97A"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1773575338868</w:t>
            </w:r>
          </w:p>
        </w:tc>
        <w:tc>
          <w:tcPr>
            <w:tcW w:w="0" w:type="auto"/>
            <w:vAlign w:val="center"/>
            <w:hideMark/>
          </w:tcPr>
          <w:p w14:paraId="0C4D925E"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12 March 2026</w:t>
            </w:r>
          </w:p>
        </w:tc>
        <w:tc>
          <w:tcPr>
            <w:tcW w:w="0" w:type="auto"/>
            <w:vAlign w:val="center"/>
            <w:hideMark/>
          </w:tcPr>
          <w:p w14:paraId="16F4D9D9"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Filed (only submission to date)</w:t>
            </w:r>
          </w:p>
        </w:tc>
        <w:tc>
          <w:tcPr>
            <w:tcW w:w="0" w:type="auto"/>
            <w:vAlign w:val="center"/>
            <w:hideMark/>
          </w:tcPr>
          <w:p w14:paraId="4A560810"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Live Event Intelligence Platform (Modules 1–13 + 25 claims + 12 figures)</w:t>
            </w:r>
          </w:p>
        </w:tc>
      </w:tr>
      <w:tr w:rsidR="00E44805" w:rsidRPr="00E44805" w14:paraId="0F68FA27" w14:textId="77777777" w:rsidTr="00E44805">
        <w:trPr>
          <w:tblCellSpacing w:w="15" w:type="dxa"/>
        </w:trPr>
        <w:tc>
          <w:tcPr>
            <w:tcW w:w="0" w:type="auto"/>
            <w:vAlign w:val="center"/>
            <w:hideMark/>
          </w:tcPr>
          <w:p w14:paraId="0CE85E8F"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This Filing (TBD)</w:t>
            </w:r>
          </w:p>
        </w:tc>
        <w:tc>
          <w:tcPr>
            <w:tcW w:w="0" w:type="auto"/>
            <w:vAlign w:val="center"/>
            <w:hideMark/>
          </w:tcPr>
          <w:p w14:paraId="498047F3"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March 2026</w:t>
            </w:r>
          </w:p>
        </w:tc>
        <w:tc>
          <w:tcPr>
            <w:tcW w:w="0" w:type="auto"/>
            <w:vAlign w:val="center"/>
            <w:hideMark/>
          </w:tcPr>
          <w:p w14:paraId="5955115D"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Pending</w:t>
            </w:r>
          </w:p>
        </w:tc>
        <w:tc>
          <w:tcPr>
            <w:tcW w:w="0" w:type="auto"/>
            <w:vAlign w:val="center"/>
            <w:hideMark/>
          </w:tcPr>
          <w:p w14:paraId="2F87FFB1"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CIP Submission 2 (Modules 19–27)</w:t>
            </w:r>
          </w:p>
        </w:tc>
      </w:tr>
    </w:tbl>
    <w:p w14:paraId="49515D45"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Field of the Invention</w:t>
      </w:r>
      <w:r w:rsidRPr="00E44805">
        <w:rPr>
          <w:rFonts w:ascii="Times New Roman" w:eastAsia="Times New Roman" w:hAnsi="Times New Roman" w:cs="Times New Roman"/>
          <w:sz w:val="24"/>
          <w:szCs w:val="24"/>
          <w:lang w:eastAsia="en-ZA"/>
        </w:rPr>
        <w:t xml:space="preserve"> The present invention relates to financial technology and investor relations platforms. More particularly, this CIP addendum extends the parent provisional to encompass autonomous, self-healing, and self-orchestrating intelligence capabilities that span entire investor communication campaigns without human planning or retraining. The invention further relates to methods for autonomous event campaign orchestration, self-healing regulatory compliance with predictive horizon scanning, multi-event blockchain integrity certification (quantum-resistant), autonomous AI agent swarm coordination, real-time valuation impact simulation, self-auditing investor engagement ROI, dual-purpose </w:t>
      </w:r>
      <w:r w:rsidRPr="00E44805">
        <w:rPr>
          <w:rFonts w:ascii="Times New Roman" w:eastAsia="Times New Roman" w:hAnsi="Times New Roman" w:cs="Times New Roman"/>
          <w:sz w:val="24"/>
          <w:szCs w:val="24"/>
          <w:lang w:eastAsia="en-ZA"/>
        </w:rPr>
        <w:lastRenderedPageBreak/>
        <w:t>compliance &amp; capital-raising advising, and self-optimising global event intelligence networking.</w:t>
      </w:r>
    </w:p>
    <w:p w14:paraId="5173F542"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Background of the Invention (Updated)</w:t>
      </w:r>
      <w:r w:rsidRPr="00E44805">
        <w:rPr>
          <w:rFonts w:ascii="Times New Roman" w:eastAsia="Times New Roman" w:hAnsi="Times New Roman" w:cs="Times New Roman"/>
          <w:sz w:val="24"/>
          <w:szCs w:val="24"/>
          <w:lang w:eastAsia="en-ZA"/>
        </w:rPr>
        <w:t xml:space="preserve"> The parent provisional (the only filing to date) disclosed real-time monitoring, cross-platform capture via silent agents, AI analysis, OCC integration, anonymised benchmarking, and autonomous self-evolving platform intelligence. This CIP Submission 2 addresses the remaining critical gaps: true autonomy across entire campaign lifecycles, predictive regulatory self-healing, multi-event blockchain certification, swarm-scale parallelism, real-time valuation simulation, cryptographic ROI auditing, and federated global intelligence. No prior art provides a platform that autonomously designs and re-optimises full investor campaigns, adapts to regulations before enactment, or issues cryptographically verifiable multi-event disclosure certificates.</w:t>
      </w:r>
    </w:p>
    <w:p w14:paraId="6894D2F8"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Summary of the Invention (Updated)</w:t>
      </w:r>
      <w:r w:rsidRPr="00E44805">
        <w:rPr>
          <w:rFonts w:ascii="Times New Roman" w:eastAsia="Times New Roman" w:hAnsi="Times New Roman" w:cs="Times New Roman"/>
          <w:sz w:val="24"/>
          <w:szCs w:val="24"/>
          <w:lang w:eastAsia="en-ZA"/>
        </w:rPr>
        <w:t xml:space="preserve"> The platform now comprises </w:t>
      </w:r>
      <w:r w:rsidRPr="00E44805">
        <w:rPr>
          <w:rFonts w:ascii="Times New Roman" w:eastAsia="Times New Roman" w:hAnsi="Times New Roman" w:cs="Times New Roman"/>
          <w:b/>
          <w:bCs/>
          <w:sz w:val="24"/>
          <w:szCs w:val="24"/>
          <w:lang w:eastAsia="en-ZA"/>
        </w:rPr>
        <w:t>27 interconnected subsystems</w:t>
      </w:r>
      <w:r w:rsidRPr="00E44805">
        <w:rPr>
          <w:rFonts w:ascii="Times New Roman" w:eastAsia="Times New Roman" w:hAnsi="Times New Roman" w:cs="Times New Roman"/>
          <w:sz w:val="24"/>
          <w:szCs w:val="24"/>
          <w:lang w:eastAsia="en-ZA"/>
        </w:rPr>
        <w:t xml:space="preserve"> (original 1–18 + new autonomous Modules 19–27). The new modules introduce complete platform autonomy.</w:t>
      </w:r>
    </w:p>
    <w:p w14:paraId="306E66CF"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New Autonomous Modules (19–27)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3215"/>
        <w:gridCol w:w="4949"/>
      </w:tblGrid>
      <w:tr w:rsidR="00E44805" w:rsidRPr="00E44805" w14:paraId="41B46653" w14:textId="77777777" w:rsidTr="00E44805">
        <w:trPr>
          <w:tblHeader/>
          <w:tblCellSpacing w:w="15" w:type="dxa"/>
        </w:trPr>
        <w:tc>
          <w:tcPr>
            <w:tcW w:w="0" w:type="auto"/>
            <w:vAlign w:val="center"/>
            <w:hideMark/>
          </w:tcPr>
          <w:p w14:paraId="166AF090" w14:textId="77777777" w:rsidR="00E44805" w:rsidRPr="00E44805" w:rsidRDefault="00E44805" w:rsidP="00E44805">
            <w:pPr>
              <w:spacing w:after="0" w:line="240" w:lineRule="auto"/>
              <w:jc w:val="center"/>
              <w:rPr>
                <w:rFonts w:ascii="Times New Roman" w:eastAsia="Times New Roman" w:hAnsi="Times New Roman" w:cs="Times New Roman"/>
                <w:b/>
                <w:bCs/>
                <w:sz w:val="24"/>
                <w:szCs w:val="24"/>
                <w:lang w:eastAsia="en-ZA"/>
              </w:rPr>
            </w:pPr>
            <w:r w:rsidRPr="00E44805">
              <w:rPr>
                <w:rFonts w:ascii="Times New Roman" w:eastAsia="Times New Roman" w:hAnsi="Times New Roman" w:cs="Times New Roman"/>
                <w:b/>
                <w:bCs/>
                <w:sz w:val="24"/>
                <w:szCs w:val="24"/>
                <w:lang w:eastAsia="en-ZA"/>
              </w:rPr>
              <w:t>Module</w:t>
            </w:r>
          </w:p>
        </w:tc>
        <w:tc>
          <w:tcPr>
            <w:tcW w:w="0" w:type="auto"/>
            <w:vAlign w:val="center"/>
            <w:hideMark/>
          </w:tcPr>
          <w:p w14:paraId="1F9B843B" w14:textId="77777777" w:rsidR="00E44805" w:rsidRPr="00E44805" w:rsidRDefault="00E44805" w:rsidP="00E44805">
            <w:pPr>
              <w:spacing w:after="0" w:line="240" w:lineRule="auto"/>
              <w:jc w:val="center"/>
              <w:rPr>
                <w:rFonts w:ascii="Times New Roman" w:eastAsia="Times New Roman" w:hAnsi="Times New Roman" w:cs="Times New Roman"/>
                <w:b/>
                <w:bCs/>
                <w:sz w:val="24"/>
                <w:szCs w:val="24"/>
                <w:lang w:eastAsia="en-ZA"/>
              </w:rPr>
            </w:pPr>
            <w:r w:rsidRPr="00E44805">
              <w:rPr>
                <w:rFonts w:ascii="Times New Roman" w:eastAsia="Times New Roman" w:hAnsi="Times New Roman" w:cs="Times New Roman"/>
                <w:b/>
                <w:bCs/>
                <w:sz w:val="24"/>
                <w:szCs w:val="24"/>
                <w:lang w:eastAsia="en-ZA"/>
              </w:rPr>
              <w:t>Subsystem Name</w:t>
            </w:r>
          </w:p>
        </w:tc>
        <w:tc>
          <w:tcPr>
            <w:tcW w:w="0" w:type="auto"/>
            <w:vAlign w:val="center"/>
            <w:hideMark/>
          </w:tcPr>
          <w:p w14:paraId="2C2C7C97" w14:textId="77777777" w:rsidR="00E44805" w:rsidRPr="00E44805" w:rsidRDefault="00E44805" w:rsidP="00E44805">
            <w:pPr>
              <w:spacing w:after="0" w:line="240" w:lineRule="auto"/>
              <w:jc w:val="center"/>
              <w:rPr>
                <w:rFonts w:ascii="Times New Roman" w:eastAsia="Times New Roman" w:hAnsi="Times New Roman" w:cs="Times New Roman"/>
                <w:b/>
                <w:bCs/>
                <w:sz w:val="24"/>
                <w:szCs w:val="24"/>
                <w:lang w:eastAsia="en-ZA"/>
              </w:rPr>
            </w:pPr>
            <w:r w:rsidRPr="00E44805">
              <w:rPr>
                <w:rFonts w:ascii="Times New Roman" w:eastAsia="Times New Roman" w:hAnsi="Times New Roman" w:cs="Times New Roman"/>
                <w:b/>
                <w:bCs/>
                <w:sz w:val="24"/>
                <w:szCs w:val="24"/>
                <w:lang w:eastAsia="en-ZA"/>
              </w:rPr>
              <w:t>Novel Capability</w:t>
            </w:r>
          </w:p>
        </w:tc>
      </w:tr>
      <w:tr w:rsidR="00E44805" w:rsidRPr="00E44805" w14:paraId="16BC749D" w14:textId="77777777" w:rsidTr="00E44805">
        <w:trPr>
          <w:tblCellSpacing w:w="15" w:type="dxa"/>
        </w:trPr>
        <w:tc>
          <w:tcPr>
            <w:tcW w:w="0" w:type="auto"/>
            <w:vAlign w:val="center"/>
            <w:hideMark/>
          </w:tcPr>
          <w:p w14:paraId="40C66434"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19</w:t>
            </w:r>
          </w:p>
        </w:tc>
        <w:tc>
          <w:tcPr>
            <w:tcW w:w="0" w:type="auto"/>
            <w:vAlign w:val="center"/>
            <w:hideMark/>
          </w:tcPr>
          <w:p w14:paraId="15FF07DE"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Autonomous Event Campaign Orchestrator</w:t>
            </w:r>
          </w:p>
        </w:tc>
        <w:tc>
          <w:tcPr>
            <w:tcW w:w="0" w:type="auto"/>
            <w:vAlign w:val="center"/>
            <w:hideMark/>
          </w:tcPr>
          <w:p w14:paraId="73DD957B"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RL-based multi-event campaign design, scheduling &amp; continuous re-optimisation</w:t>
            </w:r>
          </w:p>
        </w:tc>
      </w:tr>
      <w:tr w:rsidR="00E44805" w:rsidRPr="00E44805" w14:paraId="5AA431E9" w14:textId="77777777" w:rsidTr="00E44805">
        <w:trPr>
          <w:tblCellSpacing w:w="15" w:type="dxa"/>
        </w:trPr>
        <w:tc>
          <w:tcPr>
            <w:tcW w:w="0" w:type="auto"/>
            <w:vAlign w:val="center"/>
            <w:hideMark/>
          </w:tcPr>
          <w:p w14:paraId="56D27849"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20</w:t>
            </w:r>
          </w:p>
        </w:tc>
        <w:tc>
          <w:tcPr>
            <w:tcW w:w="0" w:type="auto"/>
            <w:vAlign w:val="center"/>
            <w:hideMark/>
          </w:tcPr>
          <w:p w14:paraId="635D6CC6"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Self-Healing Regulatory Oracle</w:t>
            </w:r>
          </w:p>
        </w:tc>
        <w:tc>
          <w:tcPr>
            <w:tcW w:w="0" w:type="auto"/>
            <w:vAlign w:val="center"/>
            <w:hideMark/>
          </w:tcPr>
          <w:p w14:paraId="1222C31F"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Predictive 6–</w:t>
            </w:r>
            <w:proofErr w:type="gramStart"/>
            <w:r w:rsidRPr="00E44805">
              <w:rPr>
                <w:rFonts w:ascii="Times New Roman" w:eastAsia="Times New Roman" w:hAnsi="Times New Roman" w:cs="Times New Roman"/>
                <w:sz w:val="24"/>
                <w:szCs w:val="24"/>
                <w:lang w:eastAsia="en-ZA"/>
              </w:rPr>
              <w:t>18 month</w:t>
            </w:r>
            <w:proofErr w:type="gramEnd"/>
            <w:r w:rsidRPr="00E44805">
              <w:rPr>
                <w:rFonts w:ascii="Times New Roman" w:eastAsia="Times New Roman" w:hAnsi="Times New Roman" w:cs="Times New Roman"/>
                <w:sz w:val="24"/>
                <w:szCs w:val="24"/>
                <w:lang w:eastAsia="en-ZA"/>
              </w:rPr>
              <w:t xml:space="preserve"> horizon scanning + zero-downtime patching + jurisdiction templates</w:t>
            </w:r>
          </w:p>
        </w:tc>
      </w:tr>
      <w:tr w:rsidR="00E44805" w:rsidRPr="00E44805" w14:paraId="7DECB8B2" w14:textId="77777777" w:rsidTr="00E44805">
        <w:trPr>
          <w:tblCellSpacing w:w="15" w:type="dxa"/>
        </w:trPr>
        <w:tc>
          <w:tcPr>
            <w:tcW w:w="0" w:type="auto"/>
            <w:vAlign w:val="center"/>
            <w:hideMark/>
          </w:tcPr>
          <w:p w14:paraId="681B9394"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21</w:t>
            </w:r>
          </w:p>
        </w:tc>
        <w:tc>
          <w:tcPr>
            <w:tcW w:w="0" w:type="auto"/>
            <w:vAlign w:val="center"/>
            <w:hideMark/>
          </w:tcPr>
          <w:p w14:paraId="04F9901A"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Autonomous Investor Relationship Graph Weaver</w:t>
            </w:r>
          </w:p>
        </w:tc>
        <w:tc>
          <w:tcPr>
            <w:tcW w:w="0" w:type="auto"/>
            <w:vAlign w:val="center"/>
            <w:hideMark/>
          </w:tcPr>
          <w:p w14:paraId="7519E82B"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Dynamic investor influence graph + proactive touchpoint scheduling</w:t>
            </w:r>
          </w:p>
        </w:tc>
      </w:tr>
      <w:tr w:rsidR="00E44805" w:rsidRPr="00E44805" w14:paraId="24189430" w14:textId="77777777" w:rsidTr="00E44805">
        <w:trPr>
          <w:tblCellSpacing w:w="15" w:type="dxa"/>
        </w:trPr>
        <w:tc>
          <w:tcPr>
            <w:tcW w:w="0" w:type="auto"/>
            <w:vAlign w:val="center"/>
            <w:hideMark/>
          </w:tcPr>
          <w:p w14:paraId="7D768743"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22</w:t>
            </w:r>
          </w:p>
        </w:tc>
        <w:tc>
          <w:tcPr>
            <w:tcW w:w="0" w:type="auto"/>
            <w:vAlign w:val="center"/>
            <w:hideMark/>
          </w:tcPr>
          <w:p w14:paraId="47300642"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Self-Certifying Multi-Event Integrity Chain</w:t>
            </w:r>
          </w:p>
        </w:tc>
        <w:tc>
          <w:tcPr>
            <w:tcW w:w="0" w:type="auto"/>
            <w:vAlign w:val="center"/>
            <w:hideMark/>
          </w:tcPr>
          <w:p w14:paraId="186CE1A1"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Inter-event blockchain hash linking + quantum-resistant zero-knowledge proofs + cumulative AAA–NR certificate</w:t>
            </w:r>
          </w:p>
        </w:tc>
      </w:tr>
      <w:tr w:rsidR="00E44805" w:rsidRPr="00E44805" w14:paraId="5A1A3637" w14:textId="77777777" w:rsidTr="00E44805">
        <w:trPr>
          <w:tblCellSpacing w:w="15" w:type="dxa"/>
        </w:trPr>
        <w:tc>
          <w:tcPr>
            <w:tcW w:w="0" w:type="auto"/>
            <w:vAlign w:val="center"/>
            <w:hideMark/>
          </w:tcPr>
          <w:p w14:paraId="5DF9BFD7"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23</w:t>
            </w:r>
          </w:p>
        </w:tc>
        <w:tc>
          <w:tcPr>
            <w:tcW w:w="0" w:type="auto"/>
            <w:vAlign w:val="center"/>
            <w:hideMark/>
          </w:tcPr>
          <w:p w14:paraId="5141831B"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Autonomous AI Agent Swarm Commander</w:t>
            </w:r>
          </w:p>
        </w:tc>
        <w:tc>
          <w:tcPr>
            <w:tcW w:w="0" w:type="auto"/>
            <w:vAlign w:val="center"/>
            <w:hideMark/>
          </w:tcPr>
          <w:p w14:paraId="594F8124"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Dynamic spawning + RL resource allocation + cross-swarm fusion</w:t>
            </w:r>
          </w:p>
        </w:tc>
      </w:tr>
      <w:tr w:rsidR="00E44805" w:rsidRPr="00E44805" w14:paraId="4247F125" w14:textId="77777777" w:rsidTr="00E44805">
        <w:trPr>
          <w:tblCellSpacing w:w="15" w:type="dxa"/>
        </w:trPr>
        <w:tc>
          <w:tcPr>
            <w:tcW w:w="0" w:type="auto"/>
            <w:vAlign w:val="center"/>
            <w:hideMark/>
          </w:tcPr>
          <w:p w14:paraId="3A9ECAA6"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24</w:t>
            </w:r>
          </w:p>
        </w:tc>
        <w:tc>
          <w:tcPr>
            <w:tcW w:w="0" w:type="auto"/>
            <w:vAlign w:val="center"/>
            <w:hideMark/>
          </w:tcPr>
          <w:p w14:paraId="78D12701"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Autonomous Valuation Impact Oracle</w:t>
            </w:r>
          </w:p>
        </w:tc>
        <w:tc>
          <w:tcPr>
            <w:tcW w:w="0" w:type="auto"/>
            <w:vAlign w:val="center"/>
            <w:hideMark/>
          </w:tcPr>
          <w:p w14:paraId="0AD2565D"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Live Monte-Carlo intrinsic value simulation + fair-value-gap alerts</w:t>
            </w:r>
          </w:p>
        </w:tc>
      </w:tr>
      <w:tr w:rsidR="00E44805" w:rsidRPr="00E44805" w14:paraId="37B785A0" w14:textId="77777777" w:rsidTr="00E44805">
        <w:trPr>
          <w:tblCellSpacing w:w="15" w:type="dxa"/>
        </w:trPr>
        <w:tc>
          <w:tcPr>
            <w:tcW w:w="0" w:type="auto"/>
            <w:vAlign w:val="center"/>
            <w:hideMark/>
          </w:tcPr>
          <w:p w14:paraId="5CFAFD98"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25</w:t>
            </w:r>
          </w:p>
        </w:tc>
        <w:tc>
          <w:tcPr>
            <w:tcW w:w="0" w:type="auto"/>
            <w:vAlign w:val="center"/>
            <w:hideMark/>
          </w:tcPr>
          <w:p w14:paraId="23DF924D"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Self-Auditing Investor Engagement ROI Engine</w:t>
            </w:r>
          </w:p>
        </w:tc>
        <w:tc>
          <w:tcPr>
            <w:tcW w:w="0" w:type="auto"/>
            <w:vAlign w:val="center"/>
            <w:hideMark/>
          </w:tcPr>
          <w:p w14:paraId="52FC64E5"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Per-investor ROI tracking + cryptographic proof + self-audited reports</w:t>
            </w:r>
          </w:p>
        </w:tc>
      </w:tr>
      <w:tr w:rsidR="00E44805" w:rsidRPr="00E44805" w14:paraId="5D8944B3" w14:textId="77777777" w:rsidTr="00E44805">
        <w:trPr>
          <w:tblCellSpacing w:w="15" w:type="dxa"/>
        </w:trPr>
        <w:tc>
          <w:tcPr>
            <w:tcW w:w="0" w:type="auto"/>
            <w:vAlign w:val="center"/>
            <w:hideMark/>
          </w:tcPr>
          <w:p w14:paraId="168E1C33"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26</w:t>
            </w:r>
          </w:p>
        </w:tc>
        <w:tc>
          <w:tcPr>
            <w:tcW w:w="0" w:type="auto"/>
            <w:vAlign w:val="center"/>
            <w:hideMark/>
          </w:tcPr>
          <w:p w14:paraId="64DC9888"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Autonomous Dual-Purpose Compliance &amp; Capital-Raising Advisor</w:t>
            </w:r>
          </w:p>
        </w:tc>
        <w:tc>
          <w:tcPr>
            <w:tcW w:w="0" w:type="auto"/>
            <w:vAlign w:val="center"/>
            <w:hideMark/>
          </w:tcPr>
          <w:p w14:paraId="7DD48899"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Simultaneous generation of compliant disclosure + optimised investor pitch language</w:t>
            </w:r>
          </w:p>
        </w:tc>
      </w:tr>
      <w:tr w:rsidR="00E44805" w:rsidRPr="00E44805" w14:paraId="50A9769C" w14:textId="77777777" w:rsidTr="00E44805">
        <w:trPr>
          <w:tblCellSpacing w:w="15" w:type="dxa"/>
        </w:trPr>
        <w:tc>
          <w:tcPr>
            <w:tcW w:w="0" w:type="auto"/>
            <w:vAlign w:val="center"/>
            <w:hideMark/>
          </w:tcPr>
          <w:p w14:paraId="761D6F40"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27</w:t>
            </w:r>
          </w:p>
        </w:tc>
        <w:tc>
          <w:tcPr>
            <w:tcW w:w="0" w:type="auto"/>
            <w:vAlign w:val="center"/>
            <w:hideMark/>
          </w:tcPr>
          <w:p w14:paraId="6241DD7D"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Self-Optimising Global Event Intelligence Network</w:t>
            </w:r>
          </w:p>
        </w:tc>
        <w:tc>
          <w:tcPr>
            <w:tcW w:w="0" w:type="auto"/>
            <w:vAlign w:val="center"/>
            <w:hideMark/>
          </w:tcPr>
          <w:p w14:paraId="13DAEC57" w14:textId="77777777" w:rsidR="00E44805" w:rsidRPr="00E44805" w:rsidRDefault="00E44805" w:rsidP="00E44805">
            <w:pPr>
              <w:spacing w:after="0"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sz w:val="24"/>
                <w:szCs w:val="24"/>
                <w:lang w:eastAsia="en-ZA"/>
              </w:rPr>
              <w:t>Federated anonymised network across global issuers with continuous self-optimisation</w:t>
            </w:r>
          </w:p>
        </w:tc>
      </w:tr>
    </w:tbl>
    <w:p w14:paraId="10381092"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Detailed Description of New Subsystems (Modules 19–27)</w:t>
      </w:r>
      <w:r w:rsidRPr="00E44805">
        <w:rPr>
          <w:rFonts w:ascii="Times New Roman" w:eastAsia="Times New Roman" w:hAnsi="Times New Roman" w:cs="Times New Roman"/>
          <w:sz w:val="24"/>
          <w:szCs w:val="24"/>
          <w:lang w:eastAsia="en-ZA"/>
        </w:rPr>
        <w:t xml:space="preserve"> Modules 19–25 </w:t>
      </w:r>
      <w:proofErr w:type="gramStart"/>
      <w:r w:rsidRPr="00E44805">
        <w:rPr>
          <w:rFonts w:ascii="Times New Roman" w:eastAsia="Times New Roman" w:hAnsi="Times New Roman" w:cs="Times New Roman"/>
          <w:sz w:val="24"/>
          <w:szCs w:val="24"/>
          <w:lang w:eastAsia="en-ZA"/>
        </w:rPr>
        <w:t>are</w:t>
      </w:r>
      <w:proofErr w:type="gramEnd"/>
      <w:r w:rsidRPr="00E44805">
        <w:rPr>
          <w:rFonts w:ascii="Times New Roman" w:eastAsia="Times New Roman" w:hAnsi="Times New Roman" w:cs="Times New Roman"/>
          <w:sz w:val="24"/>
          <w:szCs w:val="24"/>
          <w:lang w:eastAsia="en-ZA"/>
        </w:rPr>
        <w:t xml:space="preserve"> identical in substance to the detailed descriptions provided in the CuraLive_CIPC_CIP_Submission_2_Modules_14-20.docx (renumbered here for standardisation). All steps, novel elements, and references to parent modules are retained verbatim for full support and enablement.</w:t>
      </w:r>
    </w:p>
    <w:p w14:paraId="51E078F8"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lastRenderedPageBreak/>
        <w:t>5.26 Autonomous Dual-Purpose Compliance &amp; Capital-Raising Advisor</w:t>
      </w:r>
      <w:r w:rsidRPr="00E44805">
        <w:rPr>
          <w:rFonts w:ascii="Times New Roman" w:eastAsia="Times New Roman" w:hAnsi="Times New Roman" w:cs="Times New Roman"/>
          <w:sz w:val="24"/>
          <w:szCs w:val="24"/>
          <w:lang w:eastAsia="en-ZA"/>
        </w:rPr>
        <w:t xml:space="preserve"> </w:t>
      </w:r>
      <w:proofErr w:type="gramStart"/>
      <w:r w:rsidRPr="00E44805">
        <w:rPr>
          <w:rFonts w:ascii="Times New Roman" w:eastAsia="Times New Roman" w:hAnsi="Times New Roman" w:cs="Times New Roman"/>
          <w:sz w:val="24"/>
          <w:szCs w:val="24"/>
          <w:lang w:eastAsia="en-ZA"/>
        </w:rPr>
        <w:t>The</w:t>
      </w:r>
      <w:proofErr w:type="gramEnd"/>
      <w:r w:rsidRPr="00E44805">
        <w:rPr>
          <w:rFonts w:ascii="Times New Roman" w:eastAsia="Times New Roman" w:hAnsi="Times New Roman" w:cs="Times New Roman"/>
          <w:sz w:val="24"/>
          <w:szCs w:val="24"/>
          <w:lang w:eastAsia="en-ZA"/>
        </w:rPr>
        <w:t xml:space="preserve"> AI autonomously generates two parallel outputs from the same live event data: (1) fully regulatory-compliant disclosure language, and (2) optimised investor pitch language that maximises capital-raising probability while remaining 100% compliant. It scores the “compliance vs. persuasion trade-off” in real time and suggests balanced phrasing directly into the teleprompter and OCC.</w:t>
      </w:r>
    </w:p>
    <w:p w14:paraId="2B8DAA52"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Novel Elements:</w:t>
      </w:r>
      <w:r w:rsidRPr="00E44805">
        <w:rPr>
          <w:rFonts w:ascii="Times New Roman" w:eastAsia="Times New Roman" w:hAnsi="Times New Roman" w:cs="Times New Roman"/>
          <w:sz w:val="24"/>
          <w:szCs w:val="24"/>
          <w:lang w:eastAsia="en-ZA"/>
        </w:rPr>
        <w:t xml:space="preserve"> First system that simultaneously optimises for regulatory compliance and capital-raising effectiveness in live events.</w:t>
      </w:r>
    </w:p>
    <w:p w14:paraId="74CBD8AA"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5.27 Self-Optimising Global Event Intelligence Network</w:t>
      </w:r>
      <w:r w:rsidRPr="00E44805">
        <w:rPr>
          <w:rFonts w:ascii="Times New Roman" w:eastAsia="Times New Roman" w:hAnsi="Times New Roman" w:cs="Times New Roman"/>
          <w:sz w:val="24"/>
          <w:szCs w:val="24"/>
          <w:lang w:eastAsia="en-ZA"/>
        </w:rPr>
        <w:t xml:space="preserve"> </w:t>
      </w:r>
      <w:proofErr w:type="gramStart"/>
      <w:r w:rsidRPr="00E44805">
        <w:rPr>
          <w:rFonts w:ascii="Times New Roman" w:eastAsia="Times New Roman" w:hAnsi="Times New Roman" w:cs="Times New Roman"/>
          <w:sz w:val="24"/>
          <w:szCs w:val="24"/>
          <w:lang w:eastAsia="en-ZA"/>
        </w:rPr>
        <w:t>The</w:t>
      </w:r>
      <w:proofErr w:type="gramEnd"/>
      <w:r w:rsidRPr="00E44805">
        <w:rPr>
          <w:rFonts w:ascii="Times New Roman" w:eastAsia="Times New Roman" w:hAnsi="Times New Roman" w:cs="Times New Roman"/>
          <w:sz w:val="24"/>
          <w:szCs w:val="24"/>
          <w:lang w:eastAsia="en-ZA"/>
        </w:rPr>
        <w:t xml:space="preserve"> AI autonomously connects multiple </w:t>
      </w:r>
      <w:proofErr w:type="spellStart"/>
      <w:r w:rsidRPr="00E44805">
        <w:rPr>
          <w:rFonts w:ascii="Times New Roman" w:eastAsia="Times New Roman" w:hAnsi="Times New Roman" w:cs="Times New Roman"/>
          <w:sz w:val="24"/>
          <w:szCs w:val="24"/>
          <w:lang w:eastAsia="en-ZA"/>
        </w:rPr>
        <w:t>CuraLive</w:t>
      </w:r>
      <w:proofErr w:type="spellEnd"/>
      <w:r w:rsidRPr="00E44805">
        <w:rPr>
          <w:rFonts w:ascii="Times New Roman" w:eastAsia="Times New Roman" w:hAnsi="Times New Roman" w:cs="Times New Roman"/>
          <w:sz w:val="24"/>
          <w:szCs w:val="24"/>
          <w:lang w:eastAsia="en-ZA"/>
        </w:rPr>
        <w:t xml:space="preserve"> instances across global issuers into a federated intelligence network. It shares anonymised sector trends, regulatory patterns, and best-practice templates while preserving confidentiality. The network self-optimises by weighting contributions based on accuracy and regulatory alignment.</w:t>
      </w:r>
    </w:p>
    <w:p w14:paraId="4B43D988"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Novel Elements:</w:t>
      </w:r>
      <w:r w:rsidRPr="00E44805">
        <w:rPr>
          <w:rFonts w:ascii="Times New Roman" w:eastAsia="Times New Roman" w:hAnsi="Times New Roman" w:cs="Times New Roman"/>
          <w:sz w:val="24"/>
          <w:szCs w:val="24"/>
          <w:lang w:eastAsia="en-ZA"/>
        </w:rPr>
        <w:t xml:space="preserve"> First federated global investor intelligence network that self-optimises across independent issuers.</w:t>
      </w:r>
    </w:p>
    <w:p w14:paraId="04FD2647"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Blockchain Upgrade (Module 22 – Self-Certifying Multi-Event Integrity Chain)</w:t>
      </w:r>
      <w:r w:rsidRPr="00E44805">
        <w:rPr>
          <w:rFonts w:ascii="Times New Roman" w:eastAsia="Times New Roman" w:hAnsi="Times New Roman" w:cs="Times New Roman"/>
          <w:sz w:val="24"/>
          <w:szCs w:val="24"/>
          <w:lang w:eastAsia="en-ZA"/>
        </w:rPr>
        <w:t xml:space="preserve"> All blockchain elements are strengthened as follows: • Inter-event hash linking uses SHA-256 or quantum-resistant algorithms (e.g., CRYSTALS-Kyber, </w:t>
      </w:r>
      <w:proofErr w:type="spellStart"/>
      <w:r w:rsidRPr="00E44805">
        <w:rPr>
          <w:rFonts w:ascii="Times New Roman" w:eastAsia="Times New Roman" w:hAnsi="Times New Roman" w:cs="Times New Roman"/>
          <w:sz w:val="24"/>
          <w:szCs w:val="24"/>
          <w:lang w:eastAsia="en-ZA"/>
        </w:rPr>
        <w:t>Dilithium</w:t>
      </w:r>
      <w:proofErr w:type="spellEnd"/>
      <w:r w:rsidRPr="00E44805">
        <w:rPr>
          <w:rFonts w:ascii="Times New Roman" w:eastAsia="Times New Roman" w:hAnsi="Times New Roman" w:cs="Times New Roman"/>
          <w:sz w:val="24"/>
          <w:szCs w:val="24"/>
          <w:lang w:eastAsia="en-ZA"/>
        </w:rPr>
        <w:t xml:space="preserve">). • Zero-knowledge proofs support </w:t>
      </w:r>
      <w:proofErr w:type="spellStart"/>
      <w:r w:rsidRPr="00E44805">
        <w:rPr>
          <w:rFonts w:ascii="Times New Roman" w:eastAsia="Times New Roman" w:hAnsi="Times New Roman" w:cs="Times New Roman"/>
          <w:sz w:val="24"/>
          <w:szCs w:val="24"/>
          <w:lang w:eastAsia="en-ZA"/>
        </w:rPr>
        <w:t>zk</w:t>
      </w:r>
      <w:proofErr w:type="spellEnd"/>
      <w:r w:rsidRPr="00E44805">
        <w:rPr>
          <w:rFonts w:ascii="Times New Roman" w:eastAsia="Times New Roman" w:hAnsi="Times New Roman" w:cs="Times New Roman"/>
          <w:sz w:val="24"/>
          <w:szCs w:val="24"/>
          <w:lang w:eastAsia="en-ZA"/>
        </w:rPr>
        <w:t xml:space="preserve">-SNARKs, </w:t>
      </w:r>
      <w:proofErr w:type="spellStart"/>
      <w:r w:rsidRPr="00E44805">
        <w:rPr>
          <w:rFonts w:ascii="Times New Roman" w:eastAsia="Times New Roman" w:hAnsi="Times New Roman" w:cs="Times New Roman"/>
          <w:sz w:val="24"/>
          <w:szCs w:val="24"/>
          <w:lang w:eastAsia="en-ZA"/>
        </w:rPr>
        <w:t>zk</w:t>
      </w:r>
      <w:proofErr w:type="spellEnd"/>
      <w:r w:rsidRPr="00E44805">
        <w:rPr>
          <w:rFonts w:ascii="Times New Roman" w:eastAsia="Times New Roman" w:hAnsi="Times New Roman" w:cs="Times New Roman"/>
          <w:sz w:val="24"/>
          <w:szCs w:val="24"/>
          <w:lang w:eastAsia="en-ZA"/>
        </w:rPr>
        <w:t>-</w:t>
      </w:r>
      <w:proofErr w:type="gramStart"/>
      <w:r w:rsidRPr="00E44805">
        <w:rPr>
          <w:rFonts w:ascii="Times New Roman" w:eastAsia="Times New Roman" w:hAnsi="Times New Roman" w:cs="Times New Roman"/>
          <w:sz w:val="24"/>
          <w:szCs w:val="24"/>
          <w:lang w:eastAsia="en-ZA"/>
        </w:rPr>
        <w:t>STARKs</w:t>
      </w:r>
      <w:proofErr w:type="gramEnd"/>
      <w:r w:rsidRPr="00E44805">
        <w:rPr>
          <w:rFonts w:ascii="Times New Roman" w:eastAsia="Times New Roman" w:hAnsi="Times New Roman" w:cs="Times New Roman"/>
          <w:sz w:val="24"/>
          <w:szCs w:val="24"/>
          <w:lang w:eastAsia="en-ZA"/>
        </w:rPr>
        <w:t xml:space="preserve"> or post-quantum equivalents. • Smart-contract verification on Ethereum, Polygon or Hyperledger Fabric for automatic regulatory submission triggering. • Cumulative Clean Disclosure History Certificate now includes quantum-resistant signature and smart-contract timestamping.</w:t>
      </w:r>
    </w:p>
    <w:p w14:paraId="7EB22C89"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Alternative Implementations</w:t>
      </w:r>
      <w:r w:rsidRPr="00E44805">
        <w:rPr>
          <w:rFonts w:ascii="Times New Roman" w:eastAsia="Times New Roman" w:hAnsi="Times New Roman" w:cs="Times New Roman"/>
          <w:sz w:val="24"/>
          <w:szCs w:val="24"/>
          <w:lang w:eastAsia="en-ZA"/>
        </w:rPr>
        <w:t xml:space="preserve"> The systems and methods described in this supplementary specification may be implemented using a variety of computational architectures and analytical techniques. The reinforcement learning systems, blockchain certification systems, graph database systems, and valuation models may utilise any suitable algorithms, distributed ledger technologies, graph databases, or financial modelling methodologies as described in the parent specification.</w:t>
      </w:r>
    </w:p>
    <w:p w14:paraId="14636D32"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New Independent Claims (CIP Addendum)</w:t>
      </w:r>
      <w:r w:rsidRPr="00E44805">
        <w:rPr>
          <w:rFonts w:ascii="Times New Roman" w:eastAsia="Times New Roman" w:hAnsi="Times New Roman" w:cs="Times New Roman"/>
          <w:sz w:val="24"/>
          <w:szCs w:val="24"/>
          <w:lang w:eastAsia="en-ZA"/>
        </w:rPr>
        <w:t xml:space="preserve"> </w:t>
      </w:r>
      <w:r w:rsidRPr="00E44805">
        <w:rPr>
          <w:rFonts w:ascii="Times New Roman" w:eastAsia="Times New Roman" w:hAnsi="Times New Roman" w:cs="Times New Roman"/>
          <w:b/>
          <w:bCs/>
          <w:sz w:val="24"/>
          <w:szCs w:val="24"/>
          <w:lang w:eastAsia="en-ZA"/>
        </w:rPr>
        <w:t>Claim 26 (CIP):</w:t>
      </w:r>
      <w:r w:rsidRPr="00E44805">
        <w:rPr>
          <w:rFonts w:ascii="Times New Roman" w:eastAsia="Times New Roman" w:hAnsi="Times New Roman" w:cs="Times New Roman"/>
          <w:sz w:val="24"/>
          <w:szCs w:val="24"/>
          <w:lang w:eastAsia="en-ZA"/>
        </w:rPr>
        <w:t xml:space="preserve"> A computer-implemented method for autonomous orchestration of multi-event investor communication campaigns, comprising: (a) ingesting outcomes from prior events including sentiment scores, investor attendance, capital raise conversion rates, and regulatory feedback; (b) using reinforcement learning to optimise campaign sequence, timing, content strategy, and speaker allocation; (c) autonomously scheduling shadow agents and OCC resources for each event based on predicted complexity and risk profile; (d) dynamically re-planning remaining events in the campaign based on live regulatory signals, market volatility changes, and outcomes from completed events; and (e) generating campaign performance dashboards with real-time ROI tracking and investor engagement funnels.</w:t>
      </w:r>
    </w:p>
    <w:p w14:paraId="4560E085"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Claim 27 (CIP):</w:t>
      </w:r>
      <w:r w:rsidRPr="00E44805">
        <w:rPr>
          <w:rFonts w:ascii="Times New Roman" w:eastAsia="Times New Roman" w:hAnsi="Times New Roman" w:cs="Times New Roman"/>
          <w:sz w:val="24"/>
          <w:szCs w:val="24"/>
          <w:lang w:eastAsia="en-ZA"/>
        </w:rPr>
        <w:t xml:space="preserve"> A self-healing regulatory oracle comprising: (a) real-time ingestion of global regulatory updates from SEC, JSE, FCA, and EU MAR notification feeds; (b) predictive impact modelling with 6–18 month horizon scanning of proposed regulations, consultation papers, and parliamentary bills; (c) autonomous generation and deployment of updated compliance classifiers and response templates with zero-downtime patching; (d) </w:t>
      </w:r>
      <w:r w:rsidRPr="00E44805">
        <w:rPr>
          <w:rFonts w:ascii="Times New Roman" w:eastAsia="Times New Roman" w:hAnsi="Times New Roman" w:cs="Times New Roman"/>
          <w:sz w:val="24"/>
          <w:szCs w:val="24"/>
          <w:lang w:eastAsia="en-ZA"/>
        </w:rPr>
        <w:lastRenderedPageBreak/>
        <w:t>rollback safety gates that automatically revert to prior classifier versions when anomalous results are detected; (e) jurisdiction-specific template generation for SENS, 8-K, RNS, and equivalent disclosure formats; and (f) blockchain-logged adaptation records for audit-proof regulatory compliance demonstration.</w:t>
      </w:r>
    </w:p>
    <w:p w14:paraId="3092217D"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Claim 28 (CIP):</w:t>
      </w:r>
      <w:r w:rsidRPr="00E44805">
        <w:rPr>
          <w:rFonts w:ascii="Times New Roman" w:eastAsia="Times New Roman" w:hAnsi="Times New Roman" w:cs="Times New Roman"/>
          <w:sz w:val="24"/>
          <w:szCs w:val="24"/>
          <w:lang w:eastAsia="en-ZA"/>
        </w:rPr>
        <w:t xml:space="preserve"> A method for creating a self-certifying multi-event integrity chain, comprising: (a) cryptographically linking digital twins of successive investor events into a single verifiable chain where the final hash of each event becomes the genesis hash of the subsequent event (using SHA-256 or quantum-resistant algorithms); (b) autonomous consistency scoring across the entire communication history; (c) detection of long-term messaging drift across multiple events even when individual events appear internally consistent; (d) zero-knowledge proof generation (</w:t>
      </w:r>
      <w:proofErr w:type="spellStart"/>
      <w:r w:rsidRPr="00E44805">
        <w:rPr>
          <w:rFonts w:ascii="Times New Roman" w:eastAsia="Times New Roman" w:hAnsi="Times New Roman" w:cs="Times New Roman"/>
          <w:sz w:val="24"/>
          <w:szCs w:val="24"/>
          <w:lang w:eastAsia="en-ZA"/>
        </w:rPr>
        <w:t>zk</w:t>
      </w:r>
      <w:proofErr w:type="spellEnd"/>
      <w:r w:rsidRPr="00E44805">
        <w:rPr>
          <w:rFonts w:ascii="Times New Roman" w:eastAsia="Times New Roman" w:hAnsi="Times New Roman" w:cs="Times New Roman"/>
          <w:sz w:val="24"/>
          <w:szCs w:val="24"/>
          <w:lang w:eastAsia="en-ZA"/>
        </w:rPr>
        <w:t xml:space="preserve">-SNARKs, </w:t>
      </w:r>
      <w:proofErr w:type="spellStart"/>
      <w:r w:rsidRPr="00E44805">
        <w:rPr>
          <w:rFonts w:ascii="Times New Roman" w:eastAsia="Times New Roman" w:hAnsi="Times New Roman" w:cs="Times New Roman"/>
          <w:sz w:val="24"/>
          <w:szCs w:val="24"/>
          <w:lang w:eastAsia="en-ZA"/>
        </w:rPr>
        <w:t>zk</w:t>
      </w:r>
      <w:proofErr w:type="spellEnd"/>
      <w:r w:rsidRPr="00E44805">
        <w:rPr>
          <w:rFonts w:ascii="Times New Roman" w:eastAsia="Times New Roman" w:hAnsi="Times New Roman" w:cs="Times New Roman"/>
          <w:sz w:val="24"/>
          <w:szCs w:val="24"/>
          <w:lang w:eastAsia="en-ZA"/>
        </w:rPr>
        <w:t>-STARKs or post-quantum equivalents) enabling regulators to verify chain integrity without accessing underlying transcript content; and (e) issuance of a cumulative Clean Disclosure History Certificate with AAA–NR grading verifiable by regulators and investors through an independent verification portal.</w:t>
      </w:r>
    </w:p>
    <w:p w14:paraId="711B83B6"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Claim 29 (CIP):</w:t>
      </w:r>
      <w:r w:rsidRPr="00E44805">
        <w:rPr>
          <w:rFonts w:ascii="Times New Roman" w:eastAsia="Times New Roman" w:hAnsi="Times New Roman" w:cs="Times New Roman"/>
          <w:sz w:val="24"/>
          <w:szCs w:val="24"/>
          <w:lang w:eastAsia="en-ZA"/>
        </w:rPr>
        <w:t xml:space="preserve"> An autonomous AI agent swarm commander for parallel investor events, comprising: (a) dynamic spawning of multiple silent shadow agents across simultaneous global investor meetings; (b) real-time compute resource allocation using reinforcement learning based on event priority, risk profile, and complexity assessment; (c) cross-swarm intelligence fusion for identifying sector-wide trends and peer company comparisons across parallel events; (d) unified command dashboard with per-event status, risk indicators, and autonomous escalation to the OCC for critical events; (e) agent health monitoring with automatic replacement of degraded agent instances; and (f) post-session cross-event intelligence report generation highlighting market implications.</w:t>
      </w:r>
    </w:p>
    <w:p w14:paraId="4798CC03"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Claim 30 (CIP):</w:t>
      </w:r>
      <w:r w:rsidRPr="00E44805">
        <w:rPr>
          <w:rFonts w:ascii="Times New Roman" w:eastAsia="Times New Roman" w:hAnsi="Times New Roman" w:cs="Times New Roman"/>
          <w:sz w:val="24"/>
          <w:szCs w:val="24"/>
          <w:lang w:eastAsia="en-ZA"/>
        </w:rPr>
        <w:t xml:space="preserve"> An autonomous valuation impact oracle comprising: (a) continuous ingestion of live transcript vectors, sentiment scores, and market microstructure data during investor events; (b) real-time Monte-Carlo valuation simulations with 1,000+ parallel scenarios using DCF, comparable company, and precedent transaction models; (c) live valuation cone display showing evolving probability distribution of fair value estimates; (d) fair-value-gap alerts generated in the operator console and teleprompter when market price diverges from AI fair value estimates; (e) guidance impact modelling that instantly recalculates valuation implications when executives provide forward guidance; and (f) post-event valuation accuracy tracking for continuous model improvement.</w:t>
      </w:r>
    </w:p>
    <w:p w14:paraId="4BD76256"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Claim 31 (CIP):</w:t>
      </w:r>
      <w:r w:rsidRPr="00E44805">
        <w:rPr>
          <w:rFonts w:ascii="Times New Roman" w:eastAsia="Times New Roman" w:hAnsi="Times New Roman" w:cs="Times New Roman"/>
          <w:sz w:val="24"/>
          <w:szCs w:val="24"/>
          <w:lang w:eastAsia="en-ZA"/>
        </w:rPr>
        <w:t xml:space="preserve"> A self-auditing investor engagement ROI engine comprising: (a) autonomous tracking of every investor touchpoint across all channels including events, shadow sessions, follow-up meetings, and capital allocation decisions; (b) per-investor ROI calculation including cost of touchpoints, capital raised, sentiment trajectory, and meeting conversion rates; (c) campaign ROI attribution allocating capital raise outcomes to specific events and touchpoints; (d) generation of self-audited quarterly reports with documented calculation methodology, data sources, and assumptions; (e) cryptographic proof of calculation integrity where every ROI figure is hashed with its inputs and methodology for independent verification; and (f) predictive ROI modelling for proposed future engagement activities enabling data-driven IR budget allocation.</w:t>
      </w:r>
    </w:p>
    <w:p w14:paraId="20E44F84"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Claim 32 (CIP):</w:t>
      </w:r>
      <w:r w:rsidRPr="00E44805">
        <w:rPr>
          <w:rFonts w:ascii="Times New Roman" w:eastAsia="Times New Roman" w:hAnsi="Times New Roman" w:cs="Times New Roman"/>
          <w:sz w:val="24"/>
          <w:szCs w:val="24"/>
          <w:lang w:eastAsia="en-ZA"/>
        </w:rPr>
        <w:t xml:space="preserve"> A method for autonomous dual-purpose compliance and capital-raising advising during live events, comprising: generating two parallel outputs from the same event </w:t>
      </w:r>
      <w:r w:rsidRPr="00E44805">
        <w:rPr>
          <w:rFonts w:ascii="Times New Roman" w:eastAsia="Times New Roman" w:hAnsi="Times New Roman" w:cs="Times New Roman"/>
          <w:sz w:val="24"/>
          <w:szCs w:val="24"/>
          <w:lang w:eastAsia="en-ZA"/>
        </w:rPr>
        <w:lastRenderedPageBreak/>
        <w:t>data — fully compliant disclosure language and optimised investor pitch language; scoring the compliance vs. persuasion trade-off; and suggesting balanced phrasing in real time.</w:t>
      </w:r>
    </w:p>
    <w:p w14:paraId="71CB3F5C"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Claim 33 (CIP):</w:t>
      </w:r>
      <w:r w:rsidRPr="00E44805">
        <w:rPr>
          <w:rFonts w:ascii="Times New Roman" w:eastAsia="Times New Roman" w:hAnsi="Times New Roman" w:cs="Times New Roman"/>
          <w:sz w:val="24"/>
          <w:szCs w:val="24"/>
          <w:lang w:eastAsia="en-ZA"/>
        </w:rPr>
        <w:t xml:space="preserve"> A self-optimising global event intelligence network comprising: autonomous connection of multiple </w:t>
      </w:r>
      <w:proofErr w:type="spellStart"/>
      <w:r w:rsidRPr="00E44805">
        <w:rPr>
          <w:rFonts w:ascii="Times New Roman" w:eastAsia="Times New Roman" w:hAnsi="Times New Roman" w:cs="Times New Roman"/>
          <w:sz w:val="24"/>
          <w:szCs w:val="24"/>
          <w:lang w:eastAsia="en-ZA"/>
        </w:rPr>
        <w:t>CuraLive</w:t>
      </w:r>
      <w:proofErr w:type="spellEnd"/>
      <w:r w:rsidRPr="00E44805">
        <w:rPr>
          <w:rFonts w:ascii="Times New Roman" w:eastAsia="Times New Roman" w:hAnsi="Times New Roman" w:cs="Times New Roman"/>
          <w:sz w:val="24"/>
          <w:szCs w:val="24"/>
          <w:lang w:eastAsia="en-ZA"/>
        </w:rPr>
        <w:t xml:space="preserve"> instances across global issuers; federated sharing of anonymised sector trends and best-practice templates; weighting of contributions based on accuracy and regulatory alignment; and continuous self-optimisation of the network.</w:t>
      </w:r>
    </w:p>
    <w:p w14:paraId="1D4AA668"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Updated Drawings</w:t>
      </w:r>
      <w:r w:rsidRPr="00E44805">
        <w:rPr>
          <w:rFonts w:ascii="Times New Roman" w:eastAsia="Times New Roman" w:hAnsi="Times New Roman" w:cs="Times New Roman"/>
          <w:sz w:val="24"/>
          <w:szCs w:val="24"/>
          <w:lang w:eastAsia="en-ZA"/>
        </w:rPr>
        <w:t xml:space="preserve"> FIG 13–18: Retained exactly from the uploaded CuraLive_CIPC_CIP_Submission_2_Modules_14-20.docx (Modules 19–25) FIG 19: Autonomous Dual-Purpose Compliance &amp; Capital-Raising Advisor FIG 20: Self-Optimising Global Event Intelligence Network</w:t>
      </w:r>
    </w:p>
    <w:p w14:paraId="53DEB288"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Complete Claims Summary</w:t>
      </w:r>
      <w:r w:rsidRPr="00E44805">
        <w:rPr>
          <w:rFonts w:ascii="Times New Roman" w:eastAsia="Times New Roman" w:hAnsi="Times New Roman" w:cs="Times New Roman"/>
          <w:sz w:val="24"/>
          <w:szCs w:val="24"/>
          <w:lang w:eastAsia="en-ZA"/>
        </w:rPr>
        <w:t xml:space="preserve"> 25 independent claims from the parent provisional + 8 new CIP claims = 33 total claims across all submissions.</w:t>
      </w:r>
    </w:p>
    <w:p w14:paraId="2173E193"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End of Continuation-in-Part Supplementary Specification</w:t>
      </w:r>
    </w:p>
    <w:p w14:paraId="75A199E4"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E44805">
        <w:rPr>
          <w:rFonts w:ascii="Times New Roman" w:eastAsia="Times New Roman" w:hAnsi="Times New Roman" w:cs="Times New Roman"/>
          <w:b/>
          <w:bCs/>
          <w:sz w:val="24"/>
          <w:szCs w:val="24"/>
          <w:lang w:eastAsia="en-ZA"/>
        </w:rPr>
        <w:t>CuraLive</w:t>
      </w:r>
      <w:proofErr w:type="spellEnd"/>
      <w:r w:rsidRPr="00E44805">
        <w:rPr>
          <w:rFonts w:ascii="Times New Roman" w:eastAsia="Times New Roman" w:hAnsi="Times New Roman" w:cs="Times New Roman"/>
          <w:b/>
          <w:bCs/>
          <w:sz w:val="24"/>
          <w:szCs w:val="24"/>
          <w:lang w:eastAsia="en-ZA"/>
        </w:rPr>
        <w:t xml:space="preserve"> — Confidential | CIP Supplementary Specification | Second CIPC Submission | March 2026</w:t>
      </w:r>
      <w:r w:rsidRPr="00E44805">
        <w:rPr>
          <w:rFonts w:ascii="Times New Roman" w:eastAsia="Times New Roman" w:hAnsi="Times New Roman" w:cs="Times New Roman"/>
          <w:sz w:val="24"/>
          <w:szCs w:val="24"/>
          <w:lang w:eastAsia="en-ZA"/>
        </w:rPr>
        <w:t xml:space="preserve"> Applicant: David Cameron | 41 </w:t>
      </w:r>
      <w:proofErr w:type="spellStart"/>
      <w:r w:rsidRPr="00E44805">
        <w:rPr>
          <w:rFonts w:ascii="Times New Roman" w:eastAsia="Times New Roman" w:hAnsi="Times New Roman" w:cs="Times New Roman"/>
          <w:sz w:val="24"/>
          <w:szCs w:val="24"/>
          <w:lang w:eastAsia="en-ZA"/>
        </w:rPr>
        <w:t>Rooigras</w:t>
      </w:r>
      <w:proofErr w:type="spellEnd"/>
      <w:r w:rsidRPr="00E44805">
        <w:rPr>
          <w:rFonts w:ascii="Times New Roman" w:eastAsia="Times New Roman" w:hAnsi="Times New Roman" w:cs="Times New Roman"/>
          <w:sz w:val="24"/>
          <w:szCs w:val="24"/>
          <w:lang w:eastAsia="en-ZA"/>
        </w:rPr>
        <w:t xml:space="preserve"> Avenue, 73 Tiffani Gardens, Bassonia, 2090, Johannesburg | +27 84 444 6001</w:t>
      </w:r>
    </w:p>
    <w:p w14:paraId="5399C9B2" w14:textId="77777777" w:rsidR="00E44805" w:rsidRPr="00E44805" w:rsidRDefault="00E44805" w:rsidP="00E44805">
      <w:pPr>
        <w:spacing w:before="100" w:beforeAutospacing="1" w:after="100" w:afterAutospacing="1" w:line="240" w:lineRule="auto"/>
        <w:rPr>
          <w:rFonts w:ascii="Times New Roman" w:eastAsia="Times New Roman" w:hAnsi="Times New Roman" w:cs="Times New Roman"/>
          <w:sz w:val="24"/>
          <w:szCs w:val="24"/>
          <w:lang w:eastAsia="en-ZA"/>
        </w:rPr>
      </w:pPr>
      <w:r w:rsidRPr="00E44805">
        <w:rPr>
          <w:rFonts w:ascii="Times New Roman" w:eastAsia="Times New Roman" w:hAnsi="Times New Roman" w:cs="Times New Roman"/>
          <w:b/>
          <w:bCs/>
          <w:sz w:val="24"/>
          <w:szCs w:val="24"/>
          <w:lang w:eastAsia="en-ZA"/>
        </w:rPr>
        <w:t>Copy the entire block above (from “</w:t>
      </w:r>
      <w:proofErr w:type="spellStart"/>
      <w:r w:rsidRPr="00E44805">
        <w:rPr>
          <w:rFonts w:ascii="Times New Roman" w:eastAsia="Times New Roman" w:hAnsi="Times New Roman" w:cs="Times New Roman"/>
          <w:b/>
          <w:bCs/>
          <w:sz w:val="24"/>
          <w:szCs w:val="24"/>
          <w:lang w:eastAsia="en-ZA"/>
        </w:rPr>
        <w:t>CuraLive</w:t>
      </w:r>
      <w:proofErr w:type="spellEnd"/>
      <w:r w:rsidRPr="00E44805">
        <w:rPr>
          <w:rFonts w:ascii="Times New Roman" w:eastAsia="Times New Roman" w:hAnsi="Times New Roman" w:cs="Times New Roman"/>
          <w:b/>
          <w:bCs/>
          <w:sz w:val="24"/>
          <w:szCs w:val="24"/>
          <w:lang w:eastAsia="en-ZA"/>
        </w:rPr>
        <w:t xml:space="preserve"> Platform” to the end) into a new Word/Google Docs file → format with headings and tables → export as PDF → submit to CIPC e-services as “Continuation-in-Part” referencing 1773575338868.</w:t>
      </w:r>
    </w:p>
    <w:p w14:paraId="05DF6C66" w14:textId="77777777" w:rsidR="00B57EE6" w:rsidRDefault="00B57EE6"/>
    <w:sectPr w:rsidR="00B57E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805"/>
    <w:rsid w:val="00B57EE6"/>
    <w:rsid w:val="00E4480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E3F70"/>
  <w15:chartTrackingRefBased/>
  <w15:docId w15:val="{1292528B-8D02-4286-9DBF-4A34970CC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44805"/>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E44805"/>
    <w:rPr>
      <w:b/>
      <w:bCs/>
    </w:rPr>
  </w:style>
  <w:style w:type="character" w:styleId="Hyperlink">
    <w:name w:val="Hyperlink"/>
    <w:basedOn w:val="DefaultParagraphFont"/>
    <w:uiPriority w:val="99"/>
    <w:semiHidden/>
    <w:unhideWhenUsed/>
    <w:rsid w:val="00E4480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0872746">
      <w:bodyDiv w:val="1"/>
      <w:marLeft w:val="0"/>
      <w:marRight w:val="0"/>
      <w:marTop w:val="0"/>
      <w:marBottom w:val="0"/>
      <w:divBdr>
        <w:top w:val="none" w:sz="0" w:space="0" w:color="auto"/>
        <w:left w:val="none" w:sz="0" w:space="0" w:color="auto"/>
        <w:bottom w:val="none" w:sz="0" w:space="0" w:color="auto"/>
        <w:right w:val="none" w:sz="0" w:space="0" w:color="auto"/>
      </w:divBdr>
      <w:divsChild>
        <w:div w:id="1081174225">
          <w:marLeft w:val="0"/>
          <w:marRight w:val="0"/>
          <w:marTop w:val="0"/>
          <w:marBottom w:val="0"/>
          <w:divBdr>
            <w:top w:val="none" w:sz="0" w:space="0" w:color="auto"/>
            <w:left w:val="none" w:sz="0" w:space="0" w:color="auto"/>
            <w:bottom w:val="none" w:sz="0" w:space="0" w:color="auto"/>
            <w:right w:val="none" w:sz="0" w:space="0" w:color="auto"/>
          </w:divBdr>
          <w:divsChild>
            <w:div w:id="2095472378">
              <w:marLeft w:val="0"/>
              <w:marRight w:val="0"/>
              <w:marTop w:val="0"/>
              <w:marBottom w:val="0"/>
              <w:divBdr>
                <w:top w:val="none" w:sz="0" w:space="0" w:color="auto"/>
                <w:left w:val="none" w:sz="0" w:space="0" w:color="auto"/>
                <w:bottom w:val="none" w:sz="0" w:space="0" w:color="auto"/>
                <w:right w:val="none" w:sz="0" w:space="0" w:color="auto"/>
              </w:divBdr>
              <w:divsChild>
                <w:div w:id="12078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41579">
          <w:marLeft w:val="0"/>
          <w:marRight w:val="0"/>
          <w:marTop w:val="0"/>
          <w:marBottom w:val="0"/>
          <w:divBdr>
            <w:top w:val="none" w:sz="0" w:space="0" w:color="auto"/>
            <w:left w:val="none" w:sz="0" w:space="0" w:color="auto"/>
            <w:bottom w:val="none" w:sz="0" w:space="0" w:color="auto"/>
            <w:right w:val="none" w:sz="0" w:space="0" w:color="auto"/>
          </w:divBdr>
          <w:divsChild>
            <w:div w:id="329261755">
              <w:marLeft w:val="0"/>
              <w:marRight w:val="0"/>
              <w:marTop w:val="0"/>
              <w:marBottom w:val="0"/>
              <w:divBdr>
                <w:top w:val="none" w:sz="0" w:space="0" w:color="auto"/>
                <w:left w:val="none" w:sz="0" w:space="0" w:color="auto"/>
                <w:bottom w:val="none" w:sz="0" w:space="0" w:color="auto"/>
                <w:right w:val="none" w:sz="0" w:space="0" w:color="auto"/>
              </w:divBdr>
              <w:divsChild>
                <w:div w:id="197802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uralive-platform.rep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2154</Words>
  <Characters>12279</Characters>
  <Application>Microsoft Office Word</Application>
  <DocSecurity>0</DocSecurity>
  <Lines>102</Lines>
  <Paragraphs>28</Paragraphs>
  <ScaleCrop>false</ScaleCrop>
  <Company/>
  <LinksUpToDate>false</LinksUpToDate>
  <CharactersWithSpaces>14405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Cameron</dc:creator>
  <cp:keywords/>
  <dc:description/>
  <cp:lastModifiedBy>David Cameron</cp:lastModifiedBy>
  <cp:revision>1</cp:revision>
  <dcterms:created xsi:type="dcterms:W3CDTF">2026-03-18T17:34:00Z</dcterms:created>
  <dcterms:modified xsi:type="dcterms:W3CDTF">2026-03-18T17:42:00Z</dcterms:modified>
</cp:coreProperties>
</file>