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1E3A8A" w:val="solid"/>
            <w:tcMar>
              <w:top w:type="dxa" w:w="180"/>
              <w:left w:type="dxa" w:w="300"/>
              <w:bottom w:type="dxa" w:w="180"/>
              <w:right w:type="dxa" w:w="300"/>
            </w:tcMar>
            <w:vAlign w:val="center"/>
          </w:tcPr>
          <w:p>
            <w:pPr>
              <w:spacing w:after="0" w:before="0"/>
              <w:jc w:val="center"/>
            </w:pPr>
            <w:r>
              <w:rPr>
                <w:b/>
                <w:bCs/>
                <w:color w:val="FFFFFF"/>
                <w:sz w:val="28"/>
                <w:szCs w:val="28"/>
              </w:rPr>
              <w:t xml:space="preserve">CuraLive</w:t>
            </w:r>
          </w:p>
          <w:p>
            <w:pPr>
              <w:spacing w:after="0" w:before="60"/>
              <w:jc w:val="center"/>
            </w:pPr>
            <w:r>
              <w:rPr>
                <w:b w:val="false"/>
                <w:bCs w:val="false"/>
                <w:color w:val="FFFFFF"/>
                <w:sz w:val="20"/>
                <w:szCs w:val="20"/>
              </w:rPr>
              <w:t xml:space="preserve">Founder Transition Strategy</w:t>
            </w:r>
          </w:p>
          <w:p>
            <w:pPr>
              <w:spacing w:after="0" w:before="60"/>
              <w:jc w:val="center"/>
            </w:pPr>
            <w:r>
              <w:rPr>
                <w:b w:val="false"/>
                <w:bCs w:val="false"/>
                <w:color w:val="FFFFFF"/>
                <w:sz w:val="20"/>
                <w:szCs w:val="20"/>
              </w:rPr>
              <w:t xml:space="preserve">Shareholding, Patent Timeline &amp; Exit Plan</w:t>
            </w:r>
          </w:p>
        </w:tc>
      </w:tr>
    </w:tbl>
    <w:p>
      <w:pPr>
        <w:spacing w:after="0" w:before="60"/>
      </w:pPr>
    </w:p>
    <w:p>
      <w:pPr>
        <w:spacing w:after="100" w:before="100"/>
      </w:pPr>
      <w:r>
        <w:rPr>
          <w:color w:val="1F2937"/>
          <w:sz w:val="21"/>
          <w:szCs w:val="21"/>
        </w:rPr>
        <w:t xml:space="preserve">Prepared for David Cameron — Founder &amp; Creator of CuraLive</w:t>
      </w:r>
    </w:p>
    <w:p>
      <w:pPr>
        <w:spacing w:after="100" w:before="100"/>
      </w:pPr>
      <w:r>
        <w:rPr>
          <w:color w:val="1F2937"/>
          <w:sz w:val="21"/>
          <w:szCs w:val="21"/>
        </w:rPr>
        <w:t xml:space="preserve">This document outlines the complete strategy for transitioning from current employment to full-time CuraLive ownership, partner shareholding structure, intellectual property protection timeline, and exit scenarios.</w:t>
      </w:r>
    </w:p>
    <w:p>
      <w:pPr>
        <w:spacing w:after="0" w:before="4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991B1B" w:val="solid"/>
            <w:tcMar>
              <w:top w:type="dxa" w:w="180"/>
              <w:left w:type="dxa" w:w="300"/>
              <w:bottom w:type="dxa" w:w="180"/>
              <w:right w:type="dxa" w:w="300"/>
            </w:tcMar>
            <w:vAlign w:val="center"/>
          </w:tcPr>
          <w:p>
            <w:pPr>
              <w:spacing w:after="0" w:before="0"/>
              <w:jc w:val="center"/>
            </w:pPr>
            <w:r>
              <w:rPr>
                <w:b/>
                <w:bCs/>
                <w:color w:val="FFFFFF"/>
                <w:sz w:val="28"/>
                <w:szCs w:val="28"/>
              </w:rPr>
              <w:t xml:space="preserve">CONFIDENTIAL — FOR LEGAL REVIEW</w:t>
            </w:r>
          </w:p>
        </w:tc>
      </w:tr>
    </w:tbl>
    <w:p>
      <w:r>
        <w:rPr>
          <w:sz w:val="2"/>
          <w:szCs w:val="2"/>
        </w:rPr>
        <w:t xml:space="preserve"/>
      </w:r>
      <w:r>
        <w:br w:type="page"/>
      </w:r>
    </w:p>
    <w:p>
      <w:pPr>
        <w:spacing w:after="160" w:before="400"/>
      </w:pPr>
      <w:r>
        <w:rPr>
          <w:b/>
          <w:bCs/>
          <w:color w:val="1E3A8A"/>
          <w:sz w:val="26"/>
          <w:szCs w:val="26"/>
        </w:rPr>
        <w:t xml:space="preserve">1. Current Situation</w:t>
      </w:r>
    </w:p>
    <w:p>
      <w:pPr>
        <w:spacing w:after="0" w:before="40"/>
      </w:pPr>
    </w:p>
    <w:p>
      <w:pPr>
        <w:spacing w:after="100" w:before="100"/>
      </w:pPr>
      <w:r>
        <w:rPr>
          <w:color w:val="1F2937"/>
          <w:sz w:val="21"/>
          <w:szCs w:val="21"/>
        </w:rPr>
        <w:t xml:space="preserve">David Cameron is the creator and sole builder of CuraLive, an AI-powered investor communications intelligence platform. The platform is fully functional with proprietary features including:</w:t>
      </w:r>
    </w:p>
    <w:p>
      <w:pPr>
        <w:spacing w:after="60" w:before="60"/>
        <w:ind w:left="400"/>
      </w:pPr>
      <w:r>
        <w:rPr>
          <w:color w:val="1F2937"/>
          <w:sz w:val="20"/>
          <w:szCs w:val="20"/>
        </w:rPr>
        <w:t xml:space="preserve">•  Autonomous AI intelligence engine (transcription, sentiment, compliance)</w:t>
      </w:r>
    </w:p>
    <w:p>
      <w:pPr>
        <w:spacing w:after="60" w:before="60"/>
        <w:ind w:left="400"/>
      </w:pPr>
      <w:r>
        <w:rPr>
          <w:color w:val="1F2937"/>
          <w:sz w:val="20"/>
          <w:szCs w:val="20"/>
        </w:rPr>
        <w:t xml:space="preserve">•  Shadow Bridge cross-platform capture method (patentable)</w:t>
      </w:r>
    </w:p>
    <w:p>
      <w:pPr>
        <w:spacing w:after="60" w:before="60"/>
        <w:ind w:left="400"/>
      </w:pPr>
      <w:r>
        <w:rPr>
          <w:color w:val="1F2937"/>
          <w:sz w:val="20"/>
          <w:szCs w:val="20"/>
        </w:rPr>
        <w:t xml:space="preserve">•  Embedded real-time AI within the Operator Control Console</w:t>
      </w:r>
    </w:p>
    <w:p>
      <w:pPr>
        <w:spacing w:after="60" w:before="60"/>
        <w:ind w:left="400"/>
      </w:pPr>
      <w:r>
        <w:rPr>
          <w:color w:val="1F2937"/>
          <w:sz w:val="20"/>
          <w:szCs w:val="20"/>
        </w:rPr>
        <w:t xml:space="preserve">•  Self-evolving intelligence models that improve with every event</w:t>
      </w:r>
    </w:p>
    <w:p>
      <w:pPr>
        <w:spacing w:after="60" w:before="60"/>
        <w:ind w:left="400"/>
      </w:pPr>
      <w:r>
        <w:rPr>
          <w:color w:val="1F2937"/>
          <w:sz w:val="20"/>
          <w:szCs w:val="20"/>
        </w:rPr>
        <w:t xml:space="preserve">•  Anonymised industry benchmarking dataset</w:t>
      </w:r>
    </w:p>
    <w:p>
      <w:pPr>
        <w:spacing w:after="0" w:before="40"/>
      </w:pPr>
    </w:p>
    <w:p>
      <w:pPr>
        <w:spacing w:after="100" w:before="100"/>
      </w:pPr>
      <w:r>
        <w:rPr>
          <w:color w:val="1F2937"/>
          <w:sz w:val="21"/>
          <w:szCs w:val="21"/>
        </w:rPr>
        <w:t xml:space="preserve">David is currently employed as General Manager at Chorus Call South Africa. He cannot immediately transition to CuraLive full-time as his salary is required to cover living expenses.</w:t>
      </w:r>
    </w:p>
    <w:p>
      <w:pPr>
        <w:spacing w:after="0" w:before="40"/>
      </w:pPr>
    </w:p>
    <w:p>
      <w:pPr>
        <w:spacing w:after="100" w:before="100"/>
      </w:pPr>
      <w:r>
        <w:rPr>
          <w:color w:val="1F2937"/>
          <w:sz w:val="21"/>
          <w:szCs w:val="21"/>
        </w:rPr>
        <w:t xml:space="preserve">A potential partner has been identified who would serve as the public face of CuraLive during the transition period. This partner would bring business development and client relationship management capabilities. No capital injection is proposed.</w:t>
      </w:r>
    </w:p>
    <w:p>
      <w:pPr>
        <w:spacing w:after="0" w:before="4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374151" w:val="solid"/>
            <w:tcMar>
              <w:top w:type="dxa" w:w="180"/>
              <w:left w:type="dxa" w:w="300"/>
              <w:bottom w:type="dxa" w:w="180"/>
              <w:right w:type="dxa" w:w="300"/>
            </w:tcMar>
            <w:vAlign w:val="center"/>
          </w:tcPr>
          <w:p>
            <w:pPr>
              <w:spacing w:after="0" w:before="0"/>
              <w:jc w:val="center"/>
            </w:pPr>
            <w:r>
              <w:rPr>
                <w:b/>
                <w:bCs/>
                <w:color w:val="FFFFFF"/>
                <w:sz w:val="28"/>
                <w:szCs w:val="28"/>
              </w:rPr>
              <w:t xml:space="preserve">Key constraint: David must maintain income continuity throughout the transition.</w:t>
            </w:r>
          </w:p>
          <w:p>
            <w:pPr>
              <w:spacing w:after="0" w:before="60"/>
              <w:jc w:val="center"/>
            </w:pPr>
            <w:r>
              <w:rPr>
                <w:b w:val="false"/>
                <w:bCs w:val="false"/>
                <w:color w:val="FFFFFF"/>
                <w:sz w:val="20"/>
                <w:szCs w:val="20"/>
              </w:rPr>
              <w:t xml:space="preserve">CuraLive revenue must match or exceed current salary before full-time transition.</w:t>
            </w:r>
          </w:p>
        </w:tc>
      </w:tr>
    </w:tbl>
    <w:p>
      <w:r>
        <w:rPr>
          <w:sz w:val="2"/>
          <w:szCs w:val="2"/>
        </w:rPr>
        <w:t xml:space="preserve"/>
      </w:r>
      <w:r>
        <w:br w:type="page"/>
      </w:r>
    </w:p>
    <w:p>
      <w:pPr>
        <w:spacing w:after="160" w:before="400"/>
      </w:pPr>
      <w:r>
        <w:rPr>
          <w:b/>
          <w:bCs/>
          <w:color w:val="1E3A8A"/>
          <w:sz w:val="26"/>
          <w:szCs w:val="26"/>
        </w:rPr>
        <w:t xml:space="preserve">2. Three-Phase Transition Plan</w:t>
      </w:r>
    </w:p>
    <w:p>
      <w:pPr>
        <w:spacing w:after="0" w:before="4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065F46" w:val="solid"/>
            <w:tcMar>
              <w:top w:type="dxa" w:w="80"/>
              <w:left w:type="dxa" w:w="280"/>
              <w:bottom w:type="dxa" w:w="80"/>
              <w:right w:type="dxa" w:w="280"/>
            </w:tcMar>
          </w:tcPr>
          <w:p>
            <w:pPr>
              <w:jc w:val="center"/>
            </w:pPr>
            <w:r>
              <w:rPr>
                <w:b/>
                <w:bCs/>
                <w:color w:val="FFFFFF"/>
                <w:sz w:val="22"/>
                <w:szCs w:val="22"/>
              </w:rPr>
              <w:t xml:space="preserve">PHASE 1 — STEALTH BUILD</w:t>
            </w:r>
          </w:p>
        </w:tc>
      </w:tr>
    </w:tbl>
    <w:p>
      <w:pPr>
        <w:spacing w:after="0" w:before="40"/>
      </w:pPr>
    </w:p>
    <w:p>
      <w:pPr>
        <w:spacing w:after="100" w:before="100"/>
      </w:pPr>
      <w:r>
        <w:rPr>
          <w:color w:val="1F2937"/>
          <w:sz w:val="21"/>
          <w:szCs w:val="21"/>
        </w:rPr>
        <w:t xml:space="preserve">Duration: Months 1–12</w:t>
      </w:r>
    </w:p>
    <w:p>
      <w:pPr>
        <w:spacing w:after="100" w:before="100"/>
      </w:pPr>
      <w:r>
        <w:rPr>
          <w:color w:val="1F2937"/>
          <w:sz w:val="21"/>
          <w:szCs w:val="21"/>
        </w:rPr>
        <w:t xml:space="preserve">David remains at Chorus Call. Partner becomes the public face of CuraLive.</w:t>
      </w:r>
    </w:p>
    <w:p>
      <w:pPr>
        <w:spacing w:after="0" w:before="20"/>
      </w:pPr>
    </w:p>
    <w:p>
      <w:pPr>
        <w:spacing w:after="120" w:before="300"/>
      </w:pPr>
      <w:r>
        <w:rPr>
          <w:b/>
          <w:bCs/>
          <w:color w:val="374151"/>
          <w:sz w:val="22"/>
          <w:szCs w:val="22"/>
        </w:rPr>
        <w:t xml:space="preserve">What happens in this phase:</w:t>
      </w:r>
    </w:p>
    <w:p>
      <w:pPr>
        <w:spacing w:after="60" w:before="60"/>
        <w:ind w:left="400"/>
      </w:pPr>
      <w:r>
        <w:rPr>
          <w:color w:val="1F2937"/>
          <w:sz w:val="20"/>
          <w:szCs w:val="20"/>
        </w:rPr>
        <w:t xml:space="preserve">•  Partner handles all client-facing activity — proposals, meetings, pitches, event coordination</w:t>
      </w:r>
    </w:p>
    <w:p>
      <w:pPr>
        <w:spacing w:after="60" w:before="60"/>
        <w:ind w:left="400"/>
      </w:pPr>
      <w:r>
        <w:rPr>
          <w:color w:val="1F2937"/>
          <w:sz w:val="20"/>
          <w:szCs w:val="20"/>
        </w:rPr>
        <w:t xml:space="preserve">•  David continues platform development on his own time, using his own equipment</w:t>
      </w:r>
    </w:p>
    <w:p>
      <w:pPr>
        <w:spacing w:after="60" w:before="60"/>
        <w:ind w:left="400"/>
      </w:pPr>
      <w:r>
        <w:rPr>
          <w:color w:val="1F2937"/>
          <w:sz w:val="20"/>
          <w:szCs w:val="20"/>
        </w:rPr>
        <w:t xml:space="preserve">•  CuraLive begins processing its first events and generating revenue</w:t>
      </w:r>
    </w:p>
    <w:p>
      <w:pPr>
        <w:spacing w:after="60" w:before="60"/>
        <w:ind w:left="400"/>
      </w:pPr>
      <w:r>
        <w:rPr>
          <w:color w:val="1F2937"/>
          <w:sz w:val="20"/>
          <w:szCs w:val="20"/>
        </w:rPr>
        <w:t xml:space="preserve">•  David receives a founder’s consulting fee from CuraLive revenue for technical work</w:t>
      </w:r>
    </w:p>
    <w:p>
      <w:pPr>
        <w:spacing w:after="60" w:before="60"/>
        <w:ind w:left="400"/>
      </w:pPr>
      <w:r>
        <w:rPr>
          <w:color w:val="1F2937"/>
          <w:sz w:val="20"/>
          <w:szCs w:val="20"/>
        </w:rPr>
        <w:t xml:space="preserve">•  Partner receives a business development fee for client management work</w:t>
      </w:r>
    </w:p>
    <w:p>
      <w:pPr>
        <w:spacing w:after="60" w:before="60"/>
        <w:ind w:left="400"/>
      </w:pPr>
      <w:r>
        <w:rPr>
          <w:color w:val="1F2937"/>
          <w:sz w:val="20"/>
          <w:szCs w:val="20"/>
        </w:rPr>
        <w:t xml:space="preserve">•  Patent filed with CIPC to establish priority date</w:t>
      </w:r>
    </w:p>
    <w:p>
      <w:pPr>
        <w:spacing w:after="0" w:before="20"/>
      </w:pPr>
    </w:p>
    <w:p>
      <w:pPr>
        <w:spacing w:after="120" w:before="300"/>
      </w:pPr>
      <w:r>
        <w:rPr>
          <w:b/>
          <w:bCs/>
          <w:color w:val="374151"/>
          <w:sz w:val="22"/>
          <w:szCs w:val="22"/>
        </w:rPr>
        <w:t xml:space="preserve">Critical rules for Phase 1:</w:t>
      </w:r>
    </w:p>
    <w:p>
      <w:pPr>
        <w:spacing w:after="60" w:before="60"/>
        <w:ind w:left="400"/>
      </w:pPr>
      <w:r>
        <w:rPr>
          <w:color w:val="1F2937"/>
          <w:sz w:val="20"/>
          <w:szCs w:val="20"/>
        </w:rPr>
        <w:t xml:space="preserve">•  All CuraLive work must be done on personal time and personal equipment — never on Chorus Call resources</w:t>
      </w:r>
    </w:p>
    <w:p>
      <w:pPr>
        <w:spacing w:after="60" w:before="60"/>
        <w:ind w:left="400"/>
      </w:pPr>
      <w:r>
        <w:rPr>
          <w:color w:val="1F2937"/>
          <w:sz w:val="20"/>
          <w:szCs w:val="20"/>
        </w:rPr>
        <w:t xml:space="preserve">•  David’s name does not appear publicly in CuraLive client-facing materials</w:t>
      </w:r>
    </w:p>
    <w:p>
      <w:pPr>
        <w:spacing w:after="60" w:before="60"/>
        <w:ind w:left="400"/>
      </w:pPr>
      <w:r>
        <w:rPr>
          <w:color w:val="1F2937"/>
          <w:sz w:val="20"/>
          <w:szCs w:val="20"/>
        </w:rPr>
        <w:t xml:space="preserve">•  CuraLive and Chorus Call operations remain completely separate</w:t>
      </w:r>
    </w:p>
    <w:p>
      <w:pPr>
        <w:spacing w:after="60" w:before="60"/>
        <w:ind w:left="400"/>
      </w:pPr>
      <w:r>
        <w:rPr>
          <w:color w:val="1F2937"/>
          <w:sz w:val="20"/>
          <w:szCs w:val="20"/>
        </w:rPr>
        <w:t xml:space="preserve">•  David’s employment contract must be reviewed by a lawyer before any CuraLive activity begins</w:t>
      </w:r>
    </w:p>
    <w:p>
      <w:pPr>
        <w:spacing w:after="0" w:before="2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991B1B" w:val="solid"/>
            <w:tcMar>
              <w:top w:type="dxa" w:w="180"/>
              <w:left w:type="dxa" w:w="300"/>
              <w:bottom w:type="dxa" w:w="180"/>
              <w:right w:type="dxa" w:w="300"/>
            </w:tcMar>
            <w:vAlign w:val="center"/>
          </w:tcPr>
          <w:p>
            <w:pPr>
              <w:spacing w:after="0" w:before="0"/>
              <w:jc w:val="center"/>
            </w:pPr>
            <w:r>
              <w:rPr>
                <w:b/>
                <w:bCs/>
                <w:color w:val="FFFFFF"/>
                <w:sz w:val="28"/>
                <w:szCs w:val="28"/>
              </w:rPr>
              <w:t xml:space="preserve">Priority action: Have a lawyer review the Chorus Call employment contract</w:t>
            </w:r>
          </w:p>
          <w:p>
            <w:pPr>
              <w:spacing w:after="0" w:before="60"/>
              <w:jc w:val="center"/>
            </w:pPr>
            <w:r>
              <w:rPr>
                <w:b w:val="false"/>
                <w:bCs w:val="false"/>
                <w:color w:val="FFFFFF"/>
                <w:sz w:val="20"/>
                <w:szCs w:val="20"/>
              </w:rPr>
              <w:t xml:space="preserve">for restraint of trade and IP assignment clauses.</w:t>
            </w:r>
          </w:p>
        </w:tc>
      </w:tr>
    </w:tbl>
    <w:p>
      <w:pPr>
        <w:spacing w:after="0" w:before="8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B45309" w:val="solid"/>
            <w:tcMar>
              <w:top w:type="dxa" w:w="80"/>
              <w:left w:type="dxa" w:w="280"/>
              <w:bottom w:type="dxa" w:w="80"/>
              <w:right w:type="dxa" w:w="280"/>
            </w:tcMar>
          </w:tcPr>
          <w:p>
            <w:pPr>
              <w:jc w:val="center"/>
            </w:pPr>
            <w:r>
              <w:rPr>
                <w:b/>
                <w:bCs/>
                <w:color w:val="FFFFFF"/>
                <w:sz w:val="22"/>
                <w:szCs w:val="22"/>
              </w:rPr>
              <w:t xml:space="preserve">PHASE 2 — REVENUE RAMP</w:t>
            </w:r>
          </w:p>
        </w:tc>
      </w:tr>
    </w:tbl>
    <w:p>
      <w:pPr>
        <w:spacing w:after="0" w:before="40"/>
      </w:pPr>
    </w:p>
    <w:p>
      <w:pPr>
        <w:spacing w:after="100" w:before="100"/>
      </w:pPr>
      <w:r>
        <w:rPr>
          <w:color w:val="1F2937"/>
          <w:sz w:val="21"/>
          <w:szCs w:val="21"/>
        </w:rPr>
        <w:t xml:space="preserve">Duration: Months 6–18 (overlaps with Phase 1)</w:t>
      </w:r>
    </w:p>
    <w:p>
      <w:pPr>
        <w:spacing w:after="100" w:before="100"/>
      </w:pPr>
      <w:r>
        <w:rPr>
          <w:color w:val="1F2937"/>
          <w:sz w:val="21"/>
          <w:szCs w:val="21"/>
        </w:rPr>
        <w:t xml:space="preserve">CuraLive revenue is growing. David’s income from CuraLive increases month by month.</w:t>
      </w:r>
    </w:p>
    <w:p>
      <w:pPr>
        <w:spacing w:after="0" w:before="20"/>
      </w:pPr>
    </w:p>
    <w:p>
      <w:pPr>
        <w:spacing w:after="120" w:before="300"/>
      </w:pPr>
      <w:r>
        <w:rPr>
          <w:b/>
          <w:bCs/>
          <w:color w:val="374151"/>
          <w:sz w:val="22"/>
          <w:szCs w:val="22"/>
        </w:rPr>
        <w:t xml:space="preserve">What happens in this phase:</w:t>
      </w:r>
    </w:p>
    <w:p>
      <w:pPr>
        <w:spacing w:after="60" w:before="60"/>
        <w:ind w:left="400"/>
      </w:pPr>
      <w:r>
        <w:rPr>
          <w:color w:val="1F2937"/>
          <w:sz w:val="20"/>
          <w:szCs w:val="20"/>
        </w:rPr>
        <w:t xml:space="preserve">•  CuraLive processes increasing numbers of events</w:t>
      </w:r>
    </w:p>
    <w:p>
      <w:pPr>
        <w:spacing w:after="60" w:before="60"/>
        <w:ind w:left="400"/>
      </w:pPr>
      <w:r>
        <w:rPr>
          <w:color w:val="1F2937"/>
          <w:sz w:val="20"/>
          <w:szCs w:val="20"/>
        </w:rPr>
        <w:t xml:space="preserve">•  The AI models improve with each event (self-evolving capability)</w:t>
      </w:r>
    </w:p>
    <w:p>
      <w:pPr>
        <w:spacing w:after="60" w:before="60"/>
        <w:ind w:left="400"/>
      </w:pPr>
      <w:r>
        <w:rPr>
          <w:color w:val="1F2937"/>
          <w:sz w:val="20"/>
          <w:szCs w:val="20"/>
        </w:rPr>
        <w:t xml:space="preserve">•  The benchmarking dataset grows and becomes statistically meaningful</w:t>
      </w:r>
    </w:p>
    <w:p>
      <w:pPr>
        <w:spacing w:after="60" w:before="60"/>
        <w:ind w:left="400"/>
      </w:pPr>
      <w:r>
        <w:rPr>
          <w:color w:val="1F2937"/>
          <w:sz w:val="20"/>
          <w:szCs w:val="20"/>
        </w:rPr>
        <w:t xml:space="preserve">•  David’s founder consulting fee grows in line with revenue</w:t>
      </w:r>
    </w:p>
    <w:p>
      <w:pPr>
        <w:spacing w:after="60" w:before="60"/>
        <w:ind w:left="400"/>
      </w:pPr>
      <w:r>
        <w:rPr>
          <w:color w:val="1F2937"/>
          <w:sz w:val="20"/>
          <w:szCs w:val="20"/>
        </w:rPr>
        <w:t xml:space="preserve">•  David begins planning exit timeline from Chorus Call</w:t>
      </w:r>
    </w:p>
    <w:p>
      <w:pPr>
        <w:spacing w:after="0" w:before="20"/>
      </w:pPr>
    </w:p>
    <w:p>
      <w:pPr>
        <w:spacing w:after="120" w:before="300"/>
      </w:pPr>
      <w:r>
        <w:rPr>
          <w:b/>
          <w:bCs/>
          <w:color w:val="374151"/>
          <w:sz w:val="22"/>
          <w:szCs w:val="22"/>
        </w:rPr>
        <w:t xml:space="preserve">Transition trigger:</w:t>
      </w:r>
    </w:p>
    <w:p>
      <w:pPr>
        <w:spacing w:after="100" w:before="100"/>
      </w:pPr>
      <w:r>
        <w:rPr>
          <w:color w:val="1F2937"/>
          <w:sz w:val="21"/>
          <w:szCs w:val="21"/>
        </w:rPr>
        <w:t xml:space="preserve">David transitions to Phase 3 when CuraLive revenue consistently covers his monthly living expenses for at least 3 consecutive months.</w:t>
      </w:r>
    </w:p>
    <w:p>
      <w:pPr>
        <w:spacing w:after="0" w:before="2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374151" w:val="solid"/>
            <w:tcMar>
              <w:top w:type="dxa" w:w="180"/>
              <w:left w:type="dxa" w:w="300"/>
              <w:bottom w:type="dxa" w:w="180"/>
              <w:right w:type="dxa" w:w="300"/>
            </w:tcMar>
            <w:vAlign w:val="center"/>
          </w:tcPr>
          <w:p>
            <w:pPr>
              <w:spacing w:after="0" w:before="0"/>
              <w:jc w:val="center"/>
            </w:pPr>
            <w:r>
              <w:rPr>
                <w:b/>
                <w:bCs/>
                <w:color w:val="FFFFFF"/>
                <w:sz w:val="28"/>
                <w:szCs w:val="28"/>
              </w:rPr>
              <w:t xml:space="preserve">Do not rush this. The transition trigger is financial readiness, not impatience.</w:t>
            </w:r>
          </w:p>
          <w:p>
            <w:pPr>
              <w:spacing w:after="0" w:before="60"/>
              <w:jc w:val="center"/>
            </w:pPr>
            <w:r>
              <w:rPr>
                <w:b w:val="false"/>
                <w:bCs w:val="false"/>
                <w:color w:val="FFFFFF"/>
                <w:sz w:val="20"/>
                <w:szCs w:val="20"/>
              </w:rPr>
              <w:t xml:space="preserve">Three consecutive months of sufficient income = green light.</w:t>
            </w:r>
          </w:p>
        </w:tc>
      </w:tr>
    </w:tbl>
    <w:p>
      <w:pPr>
        <w:spacing w:after="0" w:before="8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1E3A8A" w:val="solid"/>
            <w:tcMar>
              <w:top w:type="dxa" w:w="80"/>
              <w:left w:type="dxa" w:w="280"/>
              <w:bottom w:type="dxa" w:w="80"/>
              <w:right w:type="dxa" w:w="280"/>
            </w:tcMar>
          </w:tcPr>
          <w:p>
            <w:pPr>
              <w:jc w:val="center"/>
            </w:pPr>
            <w:r>
              <w:rPr>
                <w:b/>
                <w:bCs/>
                <w:color w:val="FFFFFF"/>
                <w:sz w:val="22"/>
                <w:szCs w:val="22"/>
              </w:rPr>
              <w:t xml:space="preserve">PHASE 3 — FULL TRANSITION</w:t>
            </w:r>
          </w:p>
        </w:tc>
      </w:tr>
    </w:tbl>
    <w:p>
      <w:pPr>
        <w:spacing w:after="0" w:before="40"/>
      </w:pPr>
    </w:p>
    <w:p>
      <w:pPr>
        <w:spacing w:after="100" w:before="100"/>
      </w:pPr>
      <w:r>
        <w:rPr>
          <w:color w:val="1F2937"/>
          <w:sz w:val="21"/>
          <w:szCs w:val="21"/>
        </w:rPr>
        <w:t xml:space="preserve">Duration: Month 12–24 onwards</w:t>
      </w:r>
    </w:p>
    <w:p>
      <w:pPr>
        <w:spacing w:after="100" w:before="100"/>
      </w:pPr>
      <w:r>
        <w:rPr>
          <w:color w:val="1F2937"/>
          <w:sz w:val="21"/>
          <w:szCs w:val="21"/>
        </w:rPr>
        <w:t xml:space="preserve">David resigns from Chorus Call, becomes full-time CEO of CuraLive.</w:t>
      </w:r>
    </w:p>
    <w:p>
      <w:pPr>
        <w:spacing w:after="0" w:before="20"/>
      </w:pPr>
    </w:p>
    <w:p>
      <w:pPr>
        <w:spacing w:after="120" w:before="300"/>
      </w:pPr>
      <w:r>
        <w:rPr>
          <w:b/>
          <w:bCs/>
          <w:color w:val="374151"/>
          <w:sz w:val="22"/>
          <w:szCs w:val="22"/>
        </w:rPr>
        <w:t xml:space="preserve">What happens in this phase:</w:t>
      </w:r>
    </w:p>
    <w:p>
      <w:pPr>
        <w:spacing w:after="60" w:before="60"/>
        <w:ind w:left="400"/>
      </w:pPr>
      <w:r>
        <w:rPr>
          <w:color w:val="1F2937"/>
          <w:sz w:val="20"/>
          <w:szCs w:val="20"/>
        </w:rPr>
        <w:t xml:space="preserve">•  David becomes the public face and CEO of CuraLive</w:t>
      </w:r>
    </w:p>
    <w:p>
      <w:pPr>
        <w:spacing w:after="60" w:before="60"/>
        <w:ind w:left="400"/>
      </w:pPr>
      <w:r>
        <w:rPr>
          <w:color w:val="1F2937"/>
          <w:sz w:val="20"/>
          <w:szCs w:val="20"/>
        </w:rPr>
        <w:t xml:space="preserve">•  Partner continues in business development and client management role</w:t>
      </w:r>
    </w:p>
    <w:p>
      <w:pPr>
        <w:spacing w:after="60" w:before="60"/>
        <w:ind w:left="400"/>
      </w:pPr>
      <w:r>
        <w:rPr>
          <w:color w:val="1F2937"/>
          <w:sz w:val="20"/>
          <w:szCs w:val="20"/>
        </w:rPr>
        <w:t xml:space="preserve">•  Founder consulting fee converts to a formal CEO salary</w:t>
      </w:r>
    </w:p>
    <w:p>
      <w:pPr>
        <w:spacing w:after="60" w:before="60"/>
        <w:ind w:left="400"/>
      </w:pPr>
      <w:r>
        <w:rPr>
          <w:color w:val="1F2937"/>
          <w:sz w:val="20"/>
          <w:szCs w:val="20"/>
        </w:rPr>
        <w:t xml:space="preserve">•  Chorus Call partnership may be formalised (see Section 5)</w:t>
      </w:r>
    </w:p>
    <w:p>
      <w:pPr>
        <w:spacing w:after="60" w:before="60"/>
        <w:ind w:left="400"/>
      </w:pPr>
      <w:r>
        <w:rPr>
          <w:color w:val="1F2937"/>
          <w:sz w:val="20"/>
          <w:szCs w:val="20"/>
        </w:rPr>
        <w:t xml:space="preserve">•  PCT patent filing (international) completed within 12 months of CIPC filing</w:t>
      </w:r>
    </w:p>
    <w:p>
      <w:pPr>
        <w:spacing w:after="60" w:before="60"/>
        <w:ind w:left="400"/>
      </w:pPr>
      <w:r>
        <w:rPr>
          <w:color w:val="1F2937"/>
          <w:sz w:val="20"/>
          <w:szCs w:val="20"/>
        </w:rPr>
        <w:t xml:space="preserve">•  Company targets 500+ events to reach key valuation milestones</w:t>
      </w:r>
    </w:p>
    <w:p>
      <w:r>
        <w:rPr>
          <w:sz w:val="2"/>
          <w:szCs w:val="2"/>
        </w:rPr>
        <w:t xml:space="preserve"/>
      </w:r>
      <w:r>
        <w:br w:type="page"/>
      </w:r>
    </w:p>
    <w:p>
      <w:pPr>
        <w:spacing w:after="160" w:before="400"/>
      </w:pPr>
      <w:r>
        <w:rPr>
          <w:b/>
          <w:bCs/>
          <w:color w:val="1E3A8A"/>
          <w:sz w:val="26"/>
          <w:szCs w:val="26"/>
        </w:rPr>
        <w:t xml:space="preserve">3. Shareholding Structure</w:t>
      </w:r>
    </w:p>
    <w:p>
      <w:pPr>
        <w:spacing w:after="0" w:before="40"/>
      </w:pPr>
    </w:p>
    <w:p>
      <w:pPr>
        <w:spacing w:after="120" w:before="300"/>
      </w:pPr>
      <w:r>
        <w:rPr>
          <w:b/>
          <w:bCs/>
          <w:color w:val="374151"/>
          <w:sz w:val="22"/>
          <w:szCs w:val="22"/>
        </w:rPr>
        <w:t xml:space="preserve">Equity Ownership (determines sale proceeds):</w:t>
      </w:r>
    </w:p>
    <w:p>
      <w:pPr>
        <w:spacing w:after="0" w:before="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1E3A8A" w:val="solid"/>
            <w:tcMar>
              <w:top w:type="dxa" w:w="60"/>
              <w:left w:type="dxa" w:w="120"/>
              <w:bottom w:type="dxa" w:w="60"/>
              <w:right w:type="dxa" w:w="120"/>
            </w:tcMar>
            <w:vAlign w:val="center"/>
          </w:tcPr>
          <w:p>
            <w:pPr>
              <w:jc w:val="left"/>
            </w:pPr>
            <w:r>
              <w:rPr>
                <w:b/>
                <w:bCs/>
                <w:color w:val="FFFFFF"/>
                <w:sz w:val="19"/>
                <w:szCs w:val="19"/>
              </w:rPr>
              <w:t xml:space="preserve">Shareholder</w:t>
            </w:r>
          </w:p>
        </w:tc>
        <w:tc>
          <w:tcPr>
            <w:tcW w:type="dxa" w:w="3000"/>
            <w:shd w:color="1E3A8A" w:val="solid"/>
            <w:tcMar>
              <w:top w:type="dxa" w:w="60"/>
              <w:left w:type="dxa" w:w="120"/>
              <w:bottom w:type="dxa" w:w="60"/>
              <w:right w:type="dxa" w:w="120"/>
            </w:tcMar>
            <w:vAlign w:val="center"/>
          </w:tcPr>
          <w:p>
            <w:pPr>
              <w:jc w:val="center"/>
            </w:pPr>
            <w:r>
              <w:rPr>
                <w:b/>
                <w:bCs/>
                <w:color w:val="FFFFFF"/>
                <w:sz w:val="19"/>
                <w:szCs w:val="19"/>
              </w:rPr>
              <w:t xml:space="preserve">Equity</w:t>
            </w:r>
          </w:p>
        </w:tc>
        <w:tc>
          <w:tcPr>
            <w:tcW w:type="dxa" w:w="3000"/>
            <w:shd w:color="1E3A8A" w:val="solid"/>
            <w:tcMar>
              <w:top w:type="dxa" w:w="60"/>
              <w:left w:type="dxa" w:w="120"/>
              <w:bottom w:type="dxa" w:w="60"/>
              <w:right w:type="dxa" w:w="120"/>
            </w:tcMar>
            <w:vAlign w:val="center"/>
          </w:tcPr>
          <w:p>
            <w:pPr>
              <w:jc w:val="center"/>
            </w:pPr>
            <w:r>
              <w:rPr>
                <w:b/>
                <w:bCs/>
                <w:color w:val="FFFFFF"/>
                <w:sz w:val="19"/>
                <w:szCs w:val="19"/>
              </w:rPr>
              <w:t xml:space="preserve">Rationale</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David Cameron</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75%</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Creator, IP owner, patent holder, technical founder</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Partner</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20%</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Business face, client relationships, BD during transition</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Option Pool</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5%</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Reserved for future key hires</w:t>
            </w:r>
          </w:p>
        </w:tc>
      </w:tr>
    </w:tbl>
    <w:p>
      <w:pPr>
        <w:spacing w:after="0" w:before="60"/>
      </w:pPr>
    </w:p>
    <w:p>
      <w:pPr>
        <w:spacing w:after="120" w:before="300"/>
      </w:pPr>
      <w:r>
        <w:rPr>
          <w:b/>
          <w:bCs/>
          <w:color w:val="374151"/>
          <w:sz w:val="22"/>
          <w:szCs w:val="22"/>
        </w:rPr>
        <w:t xml:space="preserve">Operating Profit Distribution (during business operations):</w:t>
      </w:r>
    </w:p>
    <w:p>
      <w:pPr>
        <w:spacing w:after="0" w:before="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1E3A8A" w:val="solid"/>
            <w:tcMar>
              <w:top w:type="dxa" w:w="60"/>
              <w:left w:type="dxa" w:w="120"/>
              <w:bottom w:type="dxa" w:w="60"/>
              <w:right w:type="dxa" w:w="120"/>
            </w:tcMar>
            <w:vAlign w:val="center"/>
          </w:tcPr>
          <w:p>
            <w:pPr>
              <w:jc w:val="left"/>
            </w:pPr>
            <w:r>
              <w:rPr>
                <w:b/>
                <w:bCs/>
                <w:color w:val="FFFFFF"/>
                <w:sz w:val="19"/>
                <w:szCs w:val="19"/>
              </w:rPr>
              <w:t xml:space="preserve">Shareholder</w:t>
            </w:r>
          </w:p>
        </w:tc>
        <w:tc>
          <w:tcPr>
            <w:tcW w:type="dxa" w:w="3000"/>
            <w:shd w:color="1E3A8A" w:val="solid"/>
            <w:tcMar>
              <w:top w:type="dxa" w:w="60"/>
              <w:left w:type="dxa" w:w="120"/>
              <w:bottom w:type="dxa" w:w="60"/>
              <w:right w:type="dxa" w:w="120"/>
            </w:tcMar>
            <w:vAlign w:val="center"/>
          </w:tcPr>
          <w:p>
            <w:pPr>
              <w:jc w:val="center"/>
            </w:pPr>
            <w:r>
              <w:rPr>
                <w:b/>
                <w:bCs/>
                <w:color w:val="FFFFFF"/>
                <w:sz w:val="19"/>
                <w:szCs w:val="19"/>
              </w:rPr>
              <w:t xml:space="preserve">Profit Share</w:t>
            </w:r>
          </w:p>
        </w:tc>
        <w:tc>
          <w:tcPr>
            <w:tcW w:type="dxa" w:w="3000"/>
            <w:shd w:color="1E3A8A" w:val="solid"/>
            <w:tcMar>
              <w:top w:type="dxa" w:w="60"/>
              <w:left w:type="dxa" w:w="120"/>
              <w:bottom w:type="dxa" w:w="60"/>
              <w:right w:type="dxa" w:w="120"/>
            </w:tcMar>
            <w:vAlign w:val="center"/>
          </w:tcPr>
          <w:p>
            <w:pPr>
              <w:jc w:val="center"/>
            </w:pPr>
            <w:r>
              <w:rPr>
                <w:b/>
                <w:bCs/>
                <w:color w:val="FFFFFF"/>
                <w:sz w:val="19"/>
                <w:szCs w:val="19"/>
              </w:rPr>
              <w:t xml:space="preserve">Notes</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David Cameron</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60%</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Reflects IP creation + ongoing technical work</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Partner</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40%</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Reflects active client-facing role during transition</w:t>
            </w:r>
          </w:p>
        </w:tc>
      </w:tr>
    </w:tbl>
    <w:p>
      <w:pPr>
        <w:spacing w:after="0" w:before="40"/>
      </w:pPr>
    </w:p>
    <w:p>
      <w:pPr>
        <w:spacing w:after="100" w:before="100"/>
      </w:pPr>
      <w:r>
        <w:rPr>
          <w:color w:val="1F2937"/>
          <w:sz w:val="21"/>
          <w:szCs w:val="21"/>
        </w:rPr>
        <w:t xml:space="preserve">The operating profit split of 60/40 applies during the transition period while the partner is serving as the primary face of the business. This split may be reviewed once David transitions full-time, at which point a 65/35 or 70/30 split may be more appropriate to reflect the equity position more closely.</w:t>
      </w:r>
    </w:p>
    <w:p>
      <w:pPr>
        <w:spacing w:after="0" w:before="60"/>
      </w:pPr>
    </w:p>
    <w:p>
      <w:pPr>
        <w:spacing w:after="120" w:before="300"/>
      </w:pPr>
      <w:r>
        <w:rPr>
          <w:b/>
          <w:bCs/>
          <w:color w:val="374151"/>
          <w:sz w:val="22"/>
          <w:szCs w:val="22"/>
        </w:rPr>
        <w:t xml:space="preserve">On a Capital Event (sale, acquisition, or IPO):</w:t>
      </w:r>
    </w:p>
    <w:p>
      <w:pPr>
        <w:spacing w:after="0" w:before="20"/>
      </w:pPr>
    </w:p>
    <w:p>
      <w:pPr>
        <w:spacing w:after="100" w:before="100"/>
      </w:pPr>
      <w:r>
        <w:rPr>
          <w:color w:val="1F2937"/>
          <w:sz w:val="21"/>
          <w:szCs w:val="21"/>
        </w:rPr>
        <w:t xml:space="preserve">All proceeds from a capital event are distributed according to equity ownership:</w:t>
      </w:r>
    </w:p>
    <w:p>
      <w:pPr>
        <w:spacing w:after="0" w:before="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000"/>
            <w:shd w:color="1E3A8A" w:val="solid"/>
            <w:tcMar>
              <w:top w:type="dxa" w:w="60"/>
              <w:left w:type="dxa" w:w="120"/>
              <w:bottom w:type="dxa" w:w="60"/>
              <w:right w:type="dxa" w:w="120"/>
            </w:tcMar>
            <w:vAlign w:val="center"/>
          </w:tcPr>
          <w:p>
            <w:pPr>
              <w:jc w:val="left"/>
            </w:pPr>
            <w:r>
              <w:rPr>
                <w:b/>
                <w:bCs/>
                <w:color w:val="FFFFFF"/>
                <w:sz w:val="19"/>
                <w:szCs w:val="19"/>
              </w:rPr>
              <w:t xml:space="preserve">Shareholder</w:t>
            </w:r>
          </w:p>
        </w:tc>
        <w:tc>
          <w:tcPr>
            <w:tcW w:type="dxa" w:w="1500"/>
            <w:shd w:color="1E3A8A" w:val="solid"/>
            <w:tcMar>
              <w:top w:type="dxa" w:w="60"/>
              <w:left w:type="dxa" w:w="120"/>
              <w:bottom w:type="dxa" w:w="60"/>
              <w:right w:type="dxa" w:w="120"/>
            </w:tcMar>
            <w:vAlign w:val="center"/>
          </w:tcPr>
          <w:p>
            <w:pPr>
              <w:jc w:val="center"/>
            </w:pPr>
            <w:r>
              <w:rPr>
                <w:b/>
                <w:bCs/>
                <w:color w:val="FFFFFF"/>
                <w:sz w:val="19"/>
                <w:szCs w:val="19"/>
              </w:rPr>
              <w:t xml:space="preserve">Equity</w:t>
            </w:r>
          </w:p>
        </w:tc>
        <w:tc>
          <w:tcPr>
            <w:tcW w:type="dxa" w:w="1500"/>
            <w:shd w:color="1E3A8A" w:val="solid"/>
            <w:tcMar>
              <w:top w:type="dxa" w:w="60"/>
              <w:left w:type="dxa" w:w="120"/>
              <w:bottom w:type="dxa" w:w="60"/>
              <w:right w:type="dxa" w:w="120"/>
            </w:tcMar>
            <w:vAlign w:val="center"/>
          </w:tcPr>
          <w:p>
            <w:pPr>
              <w:jc w:val="center"/>
            </w:pPr>
            <w:r>
              <w:rPr>
                <w:b/>
                <w:bCs/>
                <w:color w:val="FFFFFF"/>
                <w:sz w:val="19"/>
                <w:szCs w:val="19"/>
              </w:rPr>
              <w:t xml:space="preserve">At $50M Sale</w:t>
            </w:r>
          </w:p>
        </w:tc>
        <w:tc>
          <w:tcPr>
            <w:tcW w:type="dxa" w:w="1500"/>
            <w:shd w:color="1E3A8A" w:val="solid"/>
            <w:tcMar>
              <w:top w:type="dxa" w:w="60"/>
              <w:left w:type="dxa" w:w="120"/>
              <w:bottom w:type="dxa" w:w="60"/>
              <w:right w:type="dxa" w:w="120"/>
            </w:tcMar>
            <w:vAlign w:val="center"/>
          </w:tcPr>
          <w:p>
            <w:pPr>
              <w:jc w:val="center"/>
            </w:pPr>
            <w:r>
              <w:rPr>
                <w:b/>
                <w:bCs/>
                <w:color w:val="FFFFFF"/>
                <w:sz w:val="19"/>
                <w:szCs w:val="19"/>
              </w:rPr>
              <w:t xml:space="preserve">At $150M Sale</w:t>
            </w:r>
          </w:p>
        </w:tc>
        <w:tc>
          <w:tcPr>
            <w:tcW w:type="dxa" w:w="1500"/>
            <w:shd w:color="1E3A8A" w:val="solid"/>
            <w:tcMar>
              <w:top w:type="dxa" w:w="60"/>
              <w:left w:type="dxa" w:w="120"/>
              <w:bottom w:type="dxa" w:w="60"/>
              <w:right w:type="dxa" w:w="120"/>
            </w:tcMar>
            <w:vAlign w:val="center"/>
          </w:tcPr>
          <w:p>
            <w:pPr>
              <w:jc w:val="center"/>
            </w:pPr>
            <w:r>
              <w:rPr>
                <w:b/>
                <w:bCs/>
                <w:color w:val="FFFFFF"/>
                <w:sz w:val="19"/>
                <w:szCs w:val="19"/>
              </w:rPr>
              <w:t xml:space="preserve">At $300M Sale</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David Cameron</w:t>
            </w:r>
          </w:p>
        </w:tc>
        <w:tc>
          <w:tcPr>
            <w:tcW w:type="dxa" w:w="1500"/>
            <w:tcMar>
              <w:top w:type="dxa" w:w="60"/>
              <w:left w:type="dxa" w:w="120"/>
              <w:bottom w:type="dxa" w:w="60"/>
              <w:right w:type="dxa" w:w="120"/>
            </w:tcMar>
            <w:vAlign w:val="center"/>
          </w:tcPr>
          <w:p>
            <w:pPr>
              <w:jc w:val="center"/>
            </w:pPr>
            <w:r>
              <w:rPr>
                <w:b w:val="false"/>
                <w:bCs w:val="false"/>
                <w:color w:val="1F2937"/>
                <w:sz w:val="19"/>
                <w:szCs w:val="19"/>
              </w:rPr>
              <w:t xml:space="preserve">75%</w:t>
            </w:r>
          </w:p>
        </w:tc>
        <w:tc>
          <w:tcPr>
            <w:tcW w:type="dxa" w:w="1500"/>
            <w:tcMar>
              <w:top w:type="dxa" w:w="60"/>
              <w:left w:type="dxa" w:w="120"/>
              <w:bottom w:type="dxa" w:w="60"/>
              <w:right w:type="dxa" w:w="120"/>
            </w:tcMar>
            <w:vAlign w:val="center"/>
          </w:tcPr>
          <w:p>
            <w:pPr>
              <w:jc w:val="center"/>
            </w:pPr>
            <w:r>
              <w:rPr>
                <w:b w:val="false"/>
                <w:bCs w:val="false"/>
                <w:color w:val="1F2937"/>
                <w:sz w:val="19"/>
                <w:szCs w:val="19"/>
              </w:rPr>
              <w:t xml:space="preserve">$37.5M</w:t>
            </w:r>
          </w:p>
        </w:tc>
        <w:tc>
          <w:tcPr>
            <w:tcW w:type="dxa" w:w="1500"/>
            <w:tcMar>
              <w:top w:type="dxa" w:w="60"/>
              <w:left w:type="dxa" w:w="120"/>
              <w:bottom w:type="dxa" w:w="60"/>
              <w:right w:type="dxa" w:w="120"/>
            </w:tcMar>
            <w:vAlign w:val="center"/>
          </w:tcPr>
          <w:p>
            <w:pPr>
              <w:jc w:val="center"/>
            </w:pPr>
            <w:r>
              <w:rPr>
                <w:b w:val="false"/>
                <w:bCs w:val="false"/>
                <w:color w:val="1F2937"/>
                <w:sz w:val="19"/>
                <w:szCs w:val="19"/>
              </w:rPr>
              <w:t xml:space="preserve">$112.5M</w:t>
            </w:r>
          </w:p>
        </w:tc>
        <w:tc>
          <w:tcPr>
            <w:tcW w:type="dxa" w:w="1500"/>
            <w:tcMar>
              <w:top w:type="dxa" w:w="60"/>
              <w:left w:type="dxa" w:w="120"/>
              <w:bottom w:type="dxa" w:w="60"/>
              <w:right w:type="dxa" w:w="120"/>
            </w:tcMar>
            <w:vAlign w:val="center"/>
          </w:tcPr>
          <w:p>
            <w:pPr>
              <w:jc w:val="center"/>
            </w:pPr>
            <w:r>
              <w:rPr>
                <w:b w:val="false"/>
                <w:bCs w:val="false"/>
                <w:color w:val="1F2937"/>
                <w:sz w:val="19"/>
                <w:szCs w:val="19"/>
              </w:rPr>
              <w:t xml:space="preserve">$225M</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Partner</w:t>
            </w:r>
          </w:p>
        </w:tc>
        <w:tc>
          <w:tcPr>
            <w:tcW w:type="dxa" w:w="1500"/>
            <w:tcMar>
              <w:top w:type="dxa" w:w="60"/>
              <w:left w:type="dxa" w:w="120"/>
              <w:bottom w:type="dxa" w:w="60"/>
              <w:right w:type="dxa" w:w="120"/>
            </w:tcMar>
            <w:vAlign w:val="center"/>
          </w:tcPr>
          <w:p>
            <w:pPr>
              <w:jc w:val="center"/>
            </w:pPr>
            <w:r>
              <w:rPr>
                <w:b w:val="false"/>
                <w:bCs w:val="false"/>
                <w:color w:val="1F2937"/>
                <w:sz w:val="19"/>
                <w:szCs w:val="19"/>
              </w:rPr>
              <w:t xml:space="preserve">20%</w:t>
            </w:r>
          </w:p>
        </w:tc>
        <w:tc>
          <w:tcPr>
            <w:tcW w:type="dxa" w:w="1500"/>
            <w:tcMar>
              <w:top w:type="dxa" w:w="60"/>
              <w:left w:type="dxa" w:w="120"/>
              <w:bottom w:type="dxa" w:w="60"/>
              <w:right w:type="dxa" w:w="120"/>
            </w:tcMar>
            <w:vAlign w:val="center"/>
          </w:tcPr>
          <w:p>
            <w:pPr>
              <w:jc w:val="center"/>
            </w:pPr>
            <w:r>
              <w:rPr>
                <w:b w:val="false"/>
                <w:bCs w:val="false"/>
                <w:color w:val="1F2937"/>
                <w:sz w:val="19"/>
                <w:szCs w:val="19"/>
              </w:rPr>
              <w:t xml:space="preserve">$10M</w:t>
            </w:r>
          </w:p>
        </w:tc>
        <w:tc>
          <w:tcPr>
            <w:tcW w:type="dxa" w:w="1500"/>
            <w:tcMar>
              <w:top w:type="dxa" w:w="60"/>
              <w:left w:type="dxa" w:w="120"/>
              <w:bottom w:type="dxa" w:w="60"/>
              <w:right w:type="dxa" w:w="120"/>
            </w:tcMar>
            <w:vAlign w:val="center"/>
          </w:tcPr>
          <w:p>
            <w:pPr>
              <w:jc w:val="center"/>
            </w:pPr>
            <w:r>
              <w:rPr>
                <w:b w:val="false"/>
                <w:bCs w:val="false"/>
                <w:color w:val="1F2937"/>
                <w:sz w:val="19"/>
                <w:szCs w:val="19"/>
              </w:rPr>
              <w:t xml:space="preserve">$30M</w:t>
            </w:r>
          </w:p>
        </w:tc>
        <w:tc>
          <w:tcPr>
            <w:tcW w:type="dxa" w:w="1500"/>
            <w:tcMar>
              <w:top w:type="dxa" w:w="60"/>
              <w:left w:type="dxa" w:w="120"/>
              <w:bottom w:type="dxa" w:w="60"/>
              <w:right w:type="dxa" w:w="120"/>
            </w:tcMar>
            <w:vAlign w:val="center"/>
          </w:tcPr>
          <w:p>
            <w:pPr>
              <w:jc w:val="center"/>
            </w:pPr>
            <w:r>
              <w:rPr>
                <w:b w:val="false"/>
                <w:bCs w:val="false"/>
                <w:color w:val="1F2937"/>
                <w:sz w:val="19"/>
                <w:szCs w:val="19"/>
              </w:rPr>
              <w:t xml:space="preserve">$60M</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Option Pool</w:t>
            </w:r>
          </w:p>
        </w:tc>
        <w:tc>
          <w:tcPr>
            <w:tcW w:type="dxa" w:w="1500"/>
            <w:tcMar>
              <w:top w:type="dxa" w:w="60"/>
              <w:left w:type="dxa" w:w="120"/>
              <w:bottom w:type="dxa" w:w="60"/>
              <w:right w:type="dxa" w:w="120"/>
            </w:tcMar>
            <w:vAlign w:val="center"/>
          </w:tcPr>
          <w:p>
            <w:pPr>
              <w:jc w:val="center"/>
            </w:pPr>
            <w:r>
              <w:rPr>
                <w:b w:val="false"/>
                <w:bCs w:val="false"/>
                <w:color w:val="1F2937"/>
                <w:sz w:val="19"/>
                <w:szCs w:val="19"/>
              </w:rPr>
              <w:t xml:space="preserve">5%</w:t>
            </w:r>
          </w:p>
        </w:tc>
        <w:tc>
          <w:tcPr>
            <w:tcW w:type="dxa" w:w="1500"/>
            <w:tcMar>
              <w:top w:type="dxa" w:w="60"/>
              <w:left w:type="dxa" w:w="120"/>
              <w:bottom w:type="dxa" w:w="60"/>
              <w:right w:type="dxa" w:w="120"/>
            </w:tcMar>
            <w:vAlign w:val="center"/>
          </w:tcPr>
          <w:p>
            <w:pPr>
              <w:jc w:val="center"/>
            </w:pPr>
            <w:r>
              <w:rPr>
                <w:b w:val="false"/>
                <w:bCs w:val="false"/>
                <w:color w:val="1F2937"/>
                <w:sz w:val="19"/>
                <w:szCs w:val="19"/>
              </w:rPr>
              <w:t xml:space="preserve">$2.5M</w:t>
            </w:r>
          </w:p>
        </w:tc>
        <w:tc>
          <w:tcPr>
            <w:tcW w:type="dxa" w:w="1500"/>
            <w:tcMar>
              <w:top w:type="dxa" w:w="60"/>
              <w:left w:type="dxa" w:w="120"/>
              <w:bottom w:type="dxa" w:w="60"/>
              <w:right w:type="dxa" w:w="120"/>
            </w:tcMar>
            <w:vAlign w:val="center"/>
          </w:tcPr>
          <w:p>
            <w:pPr>
              <w:jc w:val="center"/>
            </w:pPr>
            <w:r>
              <w:rPr>
                <w:b w:val="false"/>
                <w:bCs w:val="false"/>
                <w:color w:val="1F2937"/>
                <w:sz w:val="19"/>
                <w:szCs w:val="19"/>
              </w:rPr>
              <w:t xml:space="preserve">$7.5M</w:t>
            </w:r>
          </w:p>
        </w:tc>
        <w:tc>
          <w:tcPr>
            <w:tcW w:type="dxa" w:w="1500"/>
            <w:tcMar>
              <w:top w:type="dxa" w:w="60"/>
              <w:left w:type="dxa" w:w="120"/>
              <w:bottom w:type="dxa" w:w="60"/>
              <w:right w:type="dxa" w:w="120"/>
            </w:tcMar>
            <w:vAlign w:val="center"/>
          </w:tcPr>
          <w:p>
            <w:pPr>
              <w:jc w:val="center"/>
            </w:pPr>
            <w:r>
              <w:rPr>
                <w:b w:val="false"/>
                <w:bCs w:val="false"/>
                <w:color w:val="1F2937"/>
                <w:sz w:val="19"/>
                <w:szCs w:val="19"/>
              </w:rPr>
              <w:t xml:space="preserve">$15M</w:t>
            </w:r>
          </w:p>
        </w:tc>
      </w:tr>
    </w:tbl>
    <w:p>
      <w:pPr>
        <w:spacing w:after="0" w:before="6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065F46" w:val="solid"/>
            <w:tcMar>
              <w:top w:type="dxa" w:w="180"/>
              <w:left w:type="dxa" w:w="300"/>
              <w:bottom w:type="dxa" w:w="180"/>
              <w:right w:type="dxa" w:w="300"/>
            </w:tcMar>
            <w:vAlign w:val="center"/>
          </w:tcPr>
          <w:p>
            <w:pPr>
              <w:spacing w:after="0" w:before="0"/>
              <w:jc w:val="center"/>
            </w:pPr>
            <w:r>
              <w:rPr>
                <w:b/>
                <w:bCs/>
                <w:color w:val="FFFFFF"/>
                <w:sz w:val="28"/>
                <w:szCs w:val="28"/>
              </w:rPr>
              <w:t xml:space="preserve">Operating profits = 60/40 (generous to partner during active operations)</w:t>
            </w:r>
          </w:p>
          <w:p>
            <w:pPr>
              <w:spacing w:after="0" w:before="60"/>
              <w:jc w:val="center"/>
            </w:pPr>
            <w:r>
              <w:rPr>
                <w:b w:val="false"/>
                <w:bCs w:val="false"/>
                <w:color w:val="FFFFFF"/>
                <w:sz w:val="20"/>
                <w:szCs w:val="20"/>
              </w:rPr>
              <w:t xml:space="preserve">Sale proceeds = 75/20/5 (reflects IP creation and founding contribution)</w:t>
            </w:r>
          </w:p>
        </w:tc>
      </w:tr>
    </w:tbl>
    <w:p>
      <w:r>
        <w:rPr>
          <w:sz w:val="2"/>
          <w:szCs w:val="2"/>
        </w:rPr>
        <w:t xml:space="preserve"/>
      </w:r>
      <w:r>
        <w:br w:type="page"/>
      </w:r>
    </w:p>
    <w:p>
      <w:pPr>
        <w:spacing w:after="160" w:before="400"/>
      </w:pPr>
      <w:r>
        <w:rPr>
          <w:b/>
          <w:bCs/>
          <w:color w:val="1E3A8A"/>
          <w:sz w:val="26"/>
          <w:szCs w:val="26"/>
        </w:rPr>
        <w:t xml:space="preserve">4. Partner Equity Vesting Schedule</w:t>
      </w:r>
    </w:p>
    <w:p>
      <w:pPr>
        <w:spacing w:after="0" w:before="40"/>
      </w:pPr>
    </w:p>
    <w:p>
      <w:pPr>
        <w:spacing w:after="100" w:before="100"/>
      </w:pPr>
      <w:r>
        <w:rPr>
          <w:color w:val="1F2937"/>
          <w:sz w:val="21"/>
          <w:szCs w:val="21"/>
        </w:rPr>
        <w:t xml:space="preserve">The partner’s 20% equity allocation should not be granted in full on day one. The following performance-based vesting schedule protects both parties:</w:t>
      </w:r>
    </w:p>
    <w:p>
      <w:pPr>
        <w:spacing w:after="0" w:before="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color="1E3A8A" w:val="solid"/>
            <w:tcMar>
              <w:top w:type="dxa" w:w="60"/>
              <w:left w:type="dxa" w:w="120"/>
              <w:bottom w:type="dxa" w:w="60"/>
              <w:right w:type="dxa" w:w="120"/>
            </w:tcMar>
            <w:vAlign w:val="center"/>
          </w:tcPr>
          <w:p>
            <w:pPr>
              <w:jc w:val="left"/>
            </w:pPr>
            <w:r>
              <w:rPr>
                <w:b/>
                <w:bCs/>
                <w:color w:val="FFFFFF"/>
                <w:sz w:val="19"/>
                <w:szCs w:val="19"/>
              </w:rPr>
              <w:t xml:space="preserve">Tranche</w:t>
            </w:r>
          </w:p>
        </w:tc>
        <w:tc>
          <w:tcPr>
            <w:tcW w:type="dxa" w:w="2000"/>
            <w:shd w:color="1E3A8A" w:val="solid"/>
            <w:tcMar>
              <w:top w:type="dxa" w:w="60"/>
              <w:left w:type="dxa" w:w="120"/>
              <w:bottom w:type="dxa" w:w="60"/>
              <w:right w:type="dxa" w:w="120"/>
            </w:tcMar>
            <w:vAlign w:val="center"/>
          </w:tcPr>
          <w:p>
            <w:pPr>
              <w:jc w:val="center"/>
            </w:pPr>
            <w:r>
              <w:rPr>
                <w:b/>
                <w:bCs/>
                <w:color w:val="FFFFFF"/>
                <w:sz w:val="19"/>
                <w:szCs w:val="19"/>
              </w:rPr>
              <w:t xml:space="preserve">Equity</w:t>
            </w:r>
          </w:p>
        </w:tc>
        <w:tc>
          <w:tcPr>
            <w:tcW w:type="dxa" w:w="2000"/>
            <w:shd w:color="1E3A8A" w:val="solid"/>
            <w:tcMar>
              <w:top w:type="dxa" w:w="60"/>
              <w:left w:type="dxa" w:w="120"/>
              <w:bottom w:type="dxa" w:w="60"/>
              <w:right w:type="dxa" w:w="120"/>
            </w:tcMar>
            <w:vAlign w:val="center"/>
          </w:tcPr>
          <w:p>
            <w:pPr>
              <w:jc w:val="center"/>
            </w:pPr>
            <w:r>
              <w:rPr>
                <w:b/>
                <w:bCs/>
                <w:color w:val="FFFFFF"/>
                <w:sz w:val="19"/>
                <w:szCs w:val="19"/>
              </w:rPr>
              <w:t xml:space="preserve">Trigger</w:t>
            </w:r>
          </w:p>
        </w:tc>
        <w:tc>
          <w:tcPr>
            <w:tcW w:type="dxa" w:w="2000"/>
            <w:shd w:color="1E3A8A" w:val="solid"/>
            <w:tcMar>
              <w:top w:type="dxa" w:w="60"/>
              <w:left w:type="dxa" w:w="120"/>
              <w:bottom w:type="dxa" w:w="60"/>
              <w:right w:type="dxa" w:w="120"/>
            </w:tcMar>
            <w:vAlign w:val="center"/>
          </w:tcPr>
          <w:p>
            <w:pPr>
              <w:jc w:val="center"/>
            </w:pPr>
            <w:r>
              <w:rPr>
                <w:b/>
                <w:bCs/>
                <w:color w:val="FFFFFF"/>
                <w:sz w:val="19"/>
                <w:szCs w:val="19"/>
              </w:rPr>
              <w:t xml:space="preserve">Rationale</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Tranche 1</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7%</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On signing shareholders' agreement</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Good faith commitment</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Tranche 2</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7%</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First revenue milestone reached</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Proves business delivery</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Tranche 3</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6%</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After 2 years active involvement</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Ensures long-term commitment</w:t>
            </w:r>
          </w:p>
        </w:tc>
      </w:tr>
    </w:tbl>
    <w:p>
      <w:pPr>
        <w:spacing w:after="0" w:before="40"/>
      </w:pPr>
    </w:p>
    <w:p>
      <w:pPr>
        <w:spacing w:after="100" w:before="100"/>
      </w:pPr>
      <w:r>
        <w:rPr>
          <w:color w:val="1F2937"/>
          <w:sz w:val="21"/>
          <w:szCs w:val="21"/>
        </w:rPr>
        <w:t xml:space="preserve">If the partner leaves before all tranches vest, they retain only the vested portions. Unvested equity returns to David’s allocation.</w:t>
      </w:r>
    </w:p>
    <w:p>
      <w:pPr>
        <w:spacing w:after="0" w:before="20"/>
      </w:pPr>
    </w:p>
    <w:p>
      <w:pPr>
        <w:spacing w:after="100" w:before="100"/>
      </w:pPr>
      <w:r>
        <w:rPr>
          <w:color w:val="1F2937"/>
          <w:sz w:val="21"/>
          <w:szCs w:val="21"/>
        </w:rPr>
        <w:t xml:space="preserve">The revenue milestone for Tranche 2 should be agreed between both parties and documented in the shareholders’ agreement. A suggested milestone is R500,000 in cumulative confirmed revenue.</w:t>
      </w:r>
    </w:p>
    <w:p>
      <w:r>
        <w:rPr>
          <w:sz w:val="2"/>
          <w:szCs w:val="2"/>
        </w:rPr>
        <w:t xml:space="preserve"/>
      </w:r>
      <w:r>
        <w:br w:type="page"/>
      </w:r>
    </w:p>
    <w:p>
      <w:pPr>
        <w:spacing w:after="160" w:before="400"/>
      </w:pPr>
      <w:r>
        <w:rPr>
          <w:b/>
          <w:bCs/>
          <w:color w:val="1E3A8A"/>
          <w:sz w:val="26"/>
          <w:szCs w:val="26"/>
        </w:rPr>
        <w:t xml:space="preserve">5. Chorus Call Exit Strategy</w:t>
      </w:r>
    </w:p>
    <w:p>
      <w:pPr>
        <w:spacing w:after="0" w:before="40"/>
      </w:pPr>
    </w:p>
    <w:p>
      <w:pPr>
        <w:spacing w:after="120" w:before="300"/>
      </w:pPr>
      <w:r>
        <w:rPr>
          <w:b/>
          <w:bCs/>
          <w:color w:val="374151"/>
          <w:sz w:val="22"/>
          <w:szCs w:val="22"/>
        </w:rPr>
        <w:t xml:space="preserve">The opportunity:</w:t>
      </w:r>
    </w:p>
    <w:p>
      <w:pPr>
        <w:spacing w:after="100" w:before="100"/>
      </w:pPr>
      <w:r>
        <w:rPr>
          <w:color w:val="1F2937"/>
          <w:sz w:val="21"/>
          <w:szCs w:val="21"/>
        </w:rPr>
        <w:t xml:space="preserve">CuraLive does not compete with Chorus Call. Chorus Call provides conferencing infrastructure — the bridge, the operator, the broadcast capability. CuraLive adds an AI intelligence layer on top of that infrastructure. CuraLive makes Chorus Call’s service more valuable, not less.</w:t>
      </w:r>
    </w:p>
    <w:p>
      <w:pPr>
        <w:spacing w:after="0" w:before="20"/>
      </w:pPr>
    </w:p>
    <w:p>
      <w:pPr>
        <w:spacing w:after="120" w:before="300"/>
      </w:pPr>
      <w:r>
        <w:rPr>
          <w:b/>
          <w:bCs/>
          <w:color w:val="374151"/>
          <w:sz w:val="22"/>
          <w:szCs w:val="22"/>
        </w:rPr>
        <w:t xml:space="preserve">Positioning CuraLive to Chorus Call:</w:t>
      </w:r>
    </w:p>
    <w:p>
      <w:pPr>
        <w:spacing w:after="100" w:before="100"/>
      </w:pPr>
      <w:r>
        <w:rPr>
          <w:color w:val="1F2937"/>
          <w:sz w:val="21"/>
          <w:szCs w:val="21"/>
        </w:rPr>
        <w:t xml:space="preserve">CuraLive should be positioned as a technology partner, not a competitor. The pitch:</w:t>
      </w:r>
    </w:p>
    <w:p>
      <w:pPr>
        <w:spacing w:after="0" w:before="20"/>
      </w:pPr>
    </w:p>
    <w:p>
      <w:pPr>
        <w:spacing w:after="60" w:before="60"/>
        <w:ind w:left="400"/>
      </w:pPr>
      <w:r>
        <w:rPr>
          <w:color w:val="1F2937"/>
          <w:sz w:val="20"/>
          <w:szCs w:val="20"/>
        </w:rPr>
        <w:t xml:space="preserve">•  Chorus Call offers CuraLive as a premium AI intelligence add-on to their existing conferencing service</w:t>
      </w:r>
    </w:p>
    <w:p>
      <w:pPr>
        <w:spacing w:after="60" w:before="60"/>
        <w:ind w:left="400"/>
      </w:pPr>
      <w:r>
        <w:rPr>
          <w:color w:val="1F2937"/>
          <w:sz w:val="20"/>
          <w:szCs w:val="20"/>
        </w:rPr>
        <w:t xml:space="preserve">•  Chorus Call clients receive AI-generated intelligence reports (sentiment, compliance, key moments) for every event</w:t>
      </w:r>
    </w:p>
    <w:p>
      <w:pPr>
        <w:spacing w:after="60" w:before="60"/>
        <w:ind w:left="400"/>
      </w:pPr>
      <w:r>
        <w:rPr>
          <w:color w:val="1F2937"/>
          <w:sz w:val="20"/>
          <w:szCs w:val="20"/>
        </w:rPr>
        <w:t xml:space="preserve">•  Chorus Call charges a premium for events that include the CuraLive intelligence layer</w:t>
      </w:r>
    </w:p>
    <w:p>
      <w:pPr>
        <w:spacing w:after="60" w:before="60"/>
        <w:ind w:left="400"/>
      </w:pPr>
      <w:r>
        <w:rPr>
          <w:color w:val="1F2937"/>
          <w:sz w:val="20"/>
          <w:szCs w:val="20"/>
        </w:rPr>
        <w:t xml:space="preserve">•  CuraLive receives a technology fee for processing each event</w:t>
      </w:r>
    </w:p>
    <w:p>
      <w:pPr>
        <w:spacing w:after="60" w:before="60"/>
        <w:ind w:left="400"/>
      </w:pPr>
      <w:r>
        <w:rPr>
          <w:color w:val="1F2937"/>
          <w:sz w:val="20"/>
          <w:szCs w:val="20"/>
        </w:rPr>
        <w:t xml:space="preserve">•  All Chorus Call offices globally could adopt CuraLive — generating hundreds of events per year</w:t>
      </w:r>
    </w:p>
    <w:p>
      <w:pPr>
        <w:spacing w:after="0" w:before="2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065F46" w:val="solid"/>
            <w:tcMar>
              <w:top w:type="dxa" w:w="180"/>
              <w:left w:type="dxa" w:w="300"/>
              <w:bottom w:type="dxa" w:w="180"/>
              <w:right w:type="dxa" w:w="300"/>
            </w:tcMar>
            <w:vAlign w:val="center"/>
          </w:tcPr>
          <w:p>
            <w:pPr>
              <w:spacing w:after="0" w:before="0"/>
              <w:jc w:val="center"/>
            </w:pPr>
            <w:r>
              <w:rPr>
                <w:b/>
                <w:bCs/>
                <w:color w:val="FFFFFF"/>
                <w:sz w:val="28"/>
                <w:szCs w:val="28"/>
              </w:rPr>
              <w:t xml:space="preserve">If all Chorus Call offices globally use CuraLive, that could deliver</w:t>
            </w:r>
          </w:p>
          <w:p>
            <w:pPr>
              <w:spacing w:after="0" w:before="60"/>
              <w:jc w:val="center"/>
            </w:pPr>
            <w:r>
              <w:rPr>
                <w:b w:val="false"/>
                <w:bCs w:val="false"/>
                <w:color w:val="FFFFFF"/>
                <w:sz w:val="20"/>
                <w:szCs w:val="20"/>
              </w:rPr>
              <w:t xml:space="preserve">500–1,000 events per year — hitting the key valuation milestones within 12–24 months.</w:t>
            </w:r>
          </w:p>
        </w:tc>
      </w:tr>
    </w:tbl>
    <w:p>
      <w:pPr>
        <w:spacing w:after="0" w:before="40"/>
      </w:pPr>
    </w:p>
    <w:p>
      <w:pPr>
        <w:spacing w:after="120" w:before="300"/>
      </w:pPr>
      <w:r>
        <w:rPr>
          <w:b/>
          <w:bCs/>
          <w:color w:val="374151"/>
          <w:sz w:val="22"/>
          <w:szCs w:val="22"/>
        </w:rPr>
        <w:t xml:space="preserve">How to approach the conversation:</w:t>
      </w:r>
    </w:p>
    <w:p>
      <w:pPr>
        <w:spacing w:after="60" w:before="60"/>
        <w:ind w:left="400"/>
      </w:pPr>
      <w:r>
        <w:rPr>
          <w:color w:val="1F2937"/>
          <w:sz w:val="20"/>
          <w:szCs w:val="20"/>
        </w:rPr>
        <w:t xml:space="preserve">•  Do not pitch this as “I’m leaving to start a competitor”</w:t>
      </w:r>
    </w:p>
    <w:p>
      <w:pPr>
        <w:spacing w:after="60" w:before="60"/>
        <w:ind w:left="400"/>
      </w:pPr>
      <w:r>
        <w:rPr>
          <w:color w:val="1F2937"/>
          <w:sz w:val="20"/>
          <w:szCs w:val="20"/>
        </w:rPr>
        <w:t xml:space="preserve">•  Pitch it as “I’ve developed an AI platform that adds significant value to Chorus Call’s offering”</w:t>
      </w:r>
    </w:p>
    <w:p>
      <w:pPr>
        <w:spacing w:after="60" w:before="60"/>
        <w:ind w:left="400"/>
      </w:pPr>
      <w:r>
        <w:rPr>
          <w:color w:val="1F2937"/>
          <w:sz w:val="20"/>
          <w:szCs w:val="20"/>
        </w:rPr>
        <w:t xml:space="preserve">•  Propose a reseller or technology partnership agreement</w:t>
      </w:r>
    </w:p>
    <w:p>
      <w:pPr>
        <w:spacing w:after="60" w:before="60"/>
        <w:ind w:left="400"/>
      </w:pPr>
      <w:r>
        <w:rPr>
          <w:color w:val="1F2937"/>
          <w:sz w:val="20"/>
          <w:szCs w:val="20"/>
        </w:rPr>
        <w:t xml:space="preserve">•  Demonstrate the platform with a live event to show the intelligence output</w:t>
      </w:r>
    </w:p>
    <w:p>
      <w:pPr>
        <w:spacing w:after="60" w:before="60"/>
        <w:ind w:left="400"/>
      </w:pPr>
      <w:r>
        <w:rPr>
          <w:color w:val="1F2937"/>
          <w:sz w:val="20"/>
          <w:szCs w:val="20"/>
        </w:rPr>
        <w:t xml:space="preserve">•  Negotiate a licensing or per-event fee structure</w:t>
      </w:r>
    </w:p>
    <w:p>
      <w:pPr>
        <w:spacing w:after="0" w:before="20"/>
      </w:pPr>
    </w:p>
    <w:p>
      <w:pPr>
        <w:spacing w:after="120" w:before="300"/>
      </w:pPr>
      <w:r>
        <w:rPr>
          <w:b/>
          <w:bCs/>
          <w:color w:val="374151"/>
          <w:sz w:val="22"/>
          <w:szCs w:val="22"/>
        </w:rPr>
        <w:t xml:space="preserve">Risk mitigation:</w:t>
      </w:r>
    </w:p>
    <w:p>
      <w:pPr>
        <w:spacing w:after="100" w:before="100"/>
      </w:pPr>
      <w:r>
        <w:rPr>
          <w:color w:val="1F2937"/>
          <w:sz w:val="21"/>
          <w:szCs w:val="21"/>
        </w:rPr>
        <w:t xml:space="preserve">If Chorus Call attempts to build their own intelligence layer:</w:t>
      </w:r>
    </w:p>
    <w:p>
      <w:pPr>
        <w:spacing w:after="60" w:before="60"/>
        <w:ind w:left="400"/>
      </w:pPr>
      <w:r>
        <w:rPr>
          <w:color w:val="1F2937"/>
          <w:sz w:val="20"/>
          <w:szCs w:val="20"/>
        </w:rPr>
        <w:t xml:space="preserve">•  The CIPC patent (and subsequent PCT filing) protects the Shadow Bridge method, autonomous AI intelligence, and self-evolving platform capabilities</w:t>
      </w:r>
    </w:p>
    <w:p>
      <w:pPr>
        <w:spacing w:after="60" w:before="60"/>
        <w:ind w:left="400"/>
      </w:pPr>
      <w:r>
        <w:rPr>
          <w:color w:val="1F2937"/>
          <w:sz w:val="20"/>
          <w:szCs w:val="20"/>
        </w:rPr>
        <w:t xml:space="preserve">•  CuraLive’s head start in data (benchmarking dataset) cannot be replicated — it requires hundreds of processed events</w:t>
      </w:r>
    </w:p>
    <w:p>
      <w:pPr>
        <w:spacing w:after="60" w:before="60"/>
        <w:ind w:left="400"/>
      </w:pPr>
      <w:r>
        <w:rPr>
          <w:color w:val="1F2937"/>
          <w:sz w:val="20"/>
          <w:szCs w:val="20"/>
        </w:rPr>
        <w:t xml:space="preserve">•  Building from scratch would take 18–24 months of engineering — licensing CuraLive is faster and cheaper</w:t>
      </w:r>
    </w:p>
    <w:p>
      <w:r>
        <w:rPr>
          <w:sz w:val="2"/>
          <w:szCs w:val="2"/>
        </w:rPr>
        <w:t xml:space="preserve"/>
      </w:r>
      <w:r>
        <w:br w:type="page"/>
      </w:r>
    </w:p>
    <w:p>
      <w:pPr>
        <w:spacing w:after="160" w:before="400"/>
      </w:pPr>
      <w:r>
        <w:rPr>
          <w:b/>
          <w:bCs/>
          <w:color w:val="1E3A8A"/>
          <w:sz w:val="26"/>
          <w:szCs w:val="26"/>
        </w:rPr>
        <w:t xml:space="preserve">6. Patent Protection Timeline</w:t>
      </w:r>
    </w:p>
    <w:p>
      <w:pPr>
        <w:spacing w:after="0" w:before="40"/>
      </w:pPr>
    </w:p>
    <w:p>
      <w:pPr>
        <w:spacing w:after="100" w:before="100"/>
      </w:pPr>
      <w:r>
        <w:rPr>
          <w:color w:val="1F2937"/>
          <w:sz w:val="21"/>
          <w:szCs w:val="21"/>
        </w:rPr>
        <w:t xml:space="preserve">A CIPC provisional patent covers South Africa only. International protection requires additional filings within specific timeframes.</w:t>
      </w:r>
    </w:p>
    <w:p>
      <w:pPr>
        <w:spacing w:after="0" w:before="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color="1E3A8A" w:val="solid"/>
            <w:tcMar>
              <w:top w:type="dxa" w:w="60"/>
              <w:left w:type="dxa" w:w="120"/>
              <w:bottom w:type="dxa" w:w="60"/>
              <w:right w:type="dxa" w:w="120"/>
            </w:tcMar>
            <w:vAlign w:val="center"/>
          </w:tcPr>
          <w:p>
            <w:pPr>
              <w:jc w:val="left"/>
            </w:pPr>
            <w:r>
              <w:rPr>
                <w:b/>
                <w:bCs/>
                <w:color w:val="FFFFFF"/>
                <w:sz w:val="19"/>
                <w:szCs w:val="19"/>
              </w:rPr>
              <w:t xml:space="preserve">Step</w:t>
            </w:r>
          </w:p>
        </w:tc>
        <w:tc>
          <w:tcPr>
            <w:tcW w:type="dxa" w:w="2000"/>
            <w:shd w:color="1E3A8A" w:val="solid"/>
            <w:tcMar>
              <w:top w:type="dxa" w:w="60"/>
              <w:left w:type="dxa" w:w="120"/>
              <w:bottom w:type="dxa" w:w="60"/>
              <w:right w:type="dxa" w:w="120"/>
            </w:tcMar>
            <w:vAlign w:val="center"/>
          </w:tcPr>
          <w:p>
            <w:pPr>
              <w:jc w:val="center"/>
            </w:pPr>
            <w:r>
              <w:rPr>
                <w:b/>
                <w:bCs/>
                <w:color w:val="FFFFFF"/>
                <w:sz w:val="19"/>
                <w:szCs w:val="19"/>
              </w:rPr>
              <w:t xml:space="preserve">Action</w:t>
            </w:r>
          </w:p>
        </w:tc>
        <w:tc>
          <w:tcPr>
            <w:tcW w:type="dxa" w:w="2000"/>
            <w:shd w:color="1E3A8A" w:val="solid"/>
            <w:tcMar>
              <w:top w:type="dxa" w:w="60"/>
              <w:left w:type="dxa" w:w="120"/>
              <w:bottom w:type="dxa" w:w="60"/>
              <w:right w:type="dxa" w:w="120"/>
            </w:tcMar>
            <w:vAlign w:val="center"/>
          </w:tcPr>
          <w:p>
            <w:pPr>
              <w:jc w:val="center"/>
            </w:pPr>
            <w:r>
              <w:rPr>
                <w:b/>
                <w:bCs/>
                <w:color w:val="FFFFFF"/>
                <w:sz w:val="19"/>
                <w:szCs w:val="19"/>
              </w:rPr>
              <w:t xml:space="preserve">Deadline</w:t>
            </w:r>
          </w:p>
        </w:tc>
        <w:tc>
          <w:tcPr>
            <w:tcW w:type="dxa" w:w="2000"/>
            <w:shd w:color="1E3A8A" w:val="solid"/>
            <w:tcMar>
              <w:top w:type="dxa" w:w="60"/>
              <w:left w:type="dxa" w:w="120"/>
              <w:bottom w:type="dxa" w:w="60"/>
              <w:right w:type="dxa" w:w="120"/>
            </w:tcMar>
            <w:vAlign w:val="center"/>
          </w:tcPr>
          <w:p>
            <w:pPr>
              <w:jc w:val="center"/>
            </w:pPr>
            <w:r>
              <w:rPr>
                <w:b/>
                <w:bCs/>
                <w:color w:val="FFFFFF"/>
                <w:sz w:val="19"/>
                <w:szCs w:val="19"/>
              </w:rPr>
              <w:t xml:space="preserve">Estimated Cost</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Step 1</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File provisional patent with CIPC</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Now</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R590 filing fee</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Step 2</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File PCT application (international)</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Within 12 months of CIPC</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$3,000–$5,000 USD</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Step 3</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Enter national phase — United States</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Within 30 months of CIPC</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$3,000–$5,000 USD</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Step 4</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Enter national phase — EPO (Europe/UK)</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Within 31 months of CIPC</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$3,000–$5,000 USD</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Step 5</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CIPC complete specification (SA)</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Within 12 months of provisional</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R1,000–R3,000</w:t>
            </w:r>
          </w:p>
        </w:tc>
      </w:tr>
    </w:tbl>
    <w:p>
      <w:pPr>
        <w:spacing w:after="0" w:before="40"/>
      </w:pPr>
    </w:p>
    <w:p>
      <w:pPr>
        <w:spacing w:after="120" w:before="300"/>
      </w:pPr>
      <w:r>
        <w:rPr>
          <w:b/>
          <w:bCs/>
          <w:color w:val="374151"/>
          <w:sz w:val="22"/>
          <w:szCs w:val="22"/>
        </w:rPr>
        <w:t xml:space="preserve">Priority countries for CuraLive:</w:t>
      </w:r>
    </w:p>
    <w:p>
      <w:pPr>
        <w:spacing w:after="60" w:before="60"/>
        <w:ind w:left="400"/>
      </w:pPr>
      <w:r>
        <w:rPr>
          <w:color w:val="1F2937"/>
          <w:sz w:val="20"/>
          <w:szCs w:val="20"/>
        </w:rPr>
        <w:t xml:space="preserve">•  United States — Microsoft, Zoom, Bloomberg are US-based. Most important jurisdiction for acquisition.</w:t>
      </w:r>
    </w:p>
    <w:p>
      <w:pPr>
        <w:spacing w:after="60" w:before="60"/>
        <w:ind w:left="400"/>
      </w:pPr>
      <w:r>
        <w:rPr>
          <w:color w:val="1F2937"/>
          <w:sz w:val="20"/>
          <w:szCs w:val="20"/>
        </w:rPr>
        <w:t xml:space="preserve">•  United Kingdom — Major financial market. London is a key investor communications hub.</w:t>
      </w:r>
    </w:p>
    <w:p>
      <w:pPr>
        <w:spacing w:after="60" w:before="60"/>
        <w:ind w:left="400"/>
      </w:pPr>
      <w:r>
        <w:rPr>
          <w:color w:val="1F2937"/>
          <w:sz w:val="20"/>
          <w:szCs w:val="20"/>
        </w:rPr>
        <w:t xml:space="preserve">•  European Union (via EPO) — Covers multiple EU countries with one filing.</w:t>
      </w:r>
    </w:p>
    <w:p>
      <w:pPr>
        <w:spacing w:after="60" w:before="60"/>
        <w:ind w:left="400"/>
      </w:pPr>
      <w:r>
        <w:rPr>
          <w:color w:val="1F2937"/>
          <w:sz w:val="20"/>
          <w:szCs w:val="20"/>
        </w:rPr>
        <w:t xml:space="preserve">•  South Africa — Already covered by CIPC filing.</w:t>
      </w:r>
    </w:p>
    <w:p>
      <w:pPr>
        <w:spacing w:after="0" w:before="2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1E3A8A" w:val="solid"/>
            <w:tcMar>
              <w:top w:type="dxa" w:w="180"/>
              <w:left w:type="dxa" w:w="300"/>
              <w:bottom w:type="dxa" w:w="180"/>
              <w:right w:type="dxa" w:w="300"/>
            </w:tcMar>
            <w:vAlign w:val="center"/>
          </w:tcPr>
          <w:p>
            <w:pPr>
              <w:spacing w:after="0" w:before="0"/>
              <w:jc w:val="center"/>
            </w:pPr>
            <w:r>
              <w:rPr>
                <w:b/>
                <w:bCs/>
                <w:color w:val="FFFFFF"/>
                <w:sz w:val="28"/>
                <w:szCs w:val="28"/>
              </w:rPr>
              <w:t xml:space="preserve">File CIPC now to lock in priority date.</w:t>
            </w:r>
          </w:p>
          <w:p>
            <w:pPr>
              <w:spacing w:after="0" w:before="60"/>
              <w:jc w:val="center"/>
            </w:pPr>
            <w:r>
              <w:rPr>
                <w:b w:val="false"/>
                <w:bCs w:val="false"/>
                <w:color w:val="FFFFFF"/>
                <w:sz w:val="20"/>
                <w:szCs w:val="20"/>
              </w:rPr>
              <w:t xml:space="preserve">File PCT in month 10–11 to maximise time before spending PCT fees.</w:t>
            </w:r>
          </w:p>
          <w:p>
            <w:pPr>
              <w:spacing w:after="0" w:before="60"/>
              <w:jc w:val="center"/>
            </w:pPr>
            <w:r>
              <w:rPr>
                <w:b w:val="false"/>
                <w:bCs w:val="false"/>
                <w:color w:val="FFFFFF"/>
                <w:sz w:val="20"/>
                <w:szCs w:val="20"/>
              </w:rPr>
              <w:t xml:space="preserve">PCT buys another 18–19 months to choose specific countries.</w:t>
            </w:r>
          </w:p>
        </w:tc>
      </w:tr>
    </w:tbl>
    <w:p>
      <w:r>
        <w:rPr>
          <w:sz w:val="2"/>
          <w:szCs w:val="2"/>
        </w:rPr>
        <w:t xml:space="preserve"/>
      </w:r>
      <w:r>
        <w:br w:type="page"/>
      </w:r>
    </w:p>
    <w:p>
      <w:pPr>
        <w:spacing w:after="160" w:before="400"/>
      </w:pPr>
      <w:r>
        <w:rPr>
          <w:b/>
          <w:bCs/>
          <w:color w:val="1E3A8A"/>
          <w:sz w:val="26"/>
          <w:szCs w:val="26"/>
        </w:rPr>
        <w:t xml:space="preserve">7. Intellectual Property Protection</w:t>
      </w:r>
    </w:p>
    <w:p>
      <w:pPr>
        <w:spacing w:after="0" w:before="40"/>
      </w:pPr>
    </w:p>
    <w:p>
      <w:pPr>
        <w:spacing w:after="120" w:before="300"/>
      </w:pPr>
      <w:r>
        <w:rPr>
          <w:b/>
          <w:bCs/>
          <w:color w:val="374151"/>
          <w:sz w:val="22"/>
          <w:szCs w:val="22"/>
        </w:rPr>
        <w:t xml:space="preserve">Patent ownership:</w:t>
      </w:r>
    </w:p>
    <w:p>
      <w:pPr>
        <w:spacing w:after="100" w:before="100"/>
      </w:pPr>
      <w:r>
        <w:rPr>
          <w:color w:val="1F2937"/>
          <w:sz w:val="21"/>
          <w:szCs w:val="21"/>
        </w:rPr>
        <w:t xml:space="preserve">The patent is filed in David Cameron’s personal name. It is licensed to CuraLive (Pty) Ltd under a formal IP licence agreement. This structure ensures that:</w:t>
      </w:r>
    </w:p>
    <w:p>
      <w:pPr>
        <w:spacing w:after="60" w:before="60"/>
        <w:ind w:left="400"/>
      </w:pPr>
      <w:r>
        <w:rPr>
          <w:color w:val="1F2937"/>
          <w:sz w:val="20"/>
          <w:szCs w:val="20"/>
        </w:rPr>
        <w:t xml:space="preserve">•  If the partnership fails, David retains full ownership of the IP</w:t>
      </w:r>
    </w:p>
    <w:p>
      <w:pPr>
        <w:spacing w:after="60" w:before="60"/>
        <w:ind w:left="400"/>
      </w:pPr>
      <w:r>
        <w:rPr>
          <w:color w:val="1F2937"/>
          <w:sz w:val="20"/>
          <w:szCs w:val="20"/>
        </w:rPr>
        <w:t xml:space="preserve">•  If the company is sold, the IP licence is included in the sale (increasing company value)</w:t>
      </w:r>
    </w:p>
    <w:p>
      <w:pPr>
        <w:spacing w:after="60" w:before="60"/>
        <w:ind w:left="400"/>
      </w:pPr>
      <w:r>
        <w:rPr>
          <w:color w:val="1F2937"/>
          <w:sz w:val="20"/>
          <w:szCs w:val="20"/>
        </w:rPr>
        <w:t xml:space="preserve">•  The partner cannot claim co-ownership of the patent</w:t>
      </w:r>
    </w:p>
    <w:p>
      <w:pPr>
        <w:spacing w:after="0" w:before="20"/>
      </w:pPr>
    </w:p>
    <w:p>
      <w:pPr>
        <w:spacing w:after="120" w:before="300"/>
      </w:pPr>
      <w:r>
        <w:rPr>
          <w:b/>
          <w:bCs/>
          <w:color w:val="374151"/>
          <w:sz w:val="22"/>
          <w:szCs w:val="22"/>
        </w:rPr>
        <w:t xml:space="preserve">What the patent protects (25 claims):</w:t>
      </w:r>
    </w:p>
    <w:p>
      <w:pPr>
        <w:spacing w:after="60" w:before="60"/>
        <w:ind w:left="400"/>
      </w:pPr>
      <w:r>
        <w:rPr>
          <w:color w:val="1F2937"/>
          <w:sz w:val="20"/>
          <w:szCs w:val="20"/>
        </w:rPr>
        <w:t xml:space="preserve">•  System claims (1–15): AI monitoring, cross-platform capture, embedded OCC intelligence, anonymised benchmarking, self-improving models, compliance intervention, agentic orchestration</w:t>
      </w:r>
    </w:p>
    <w:p>
      <w:pPr>
        <w:spacing w:after="60" w:before="60"/>
        <w:ind w:left="400"/>
      </w:pPr>
      <w:r>
        <w:rPr>
          <w:color w:val="1F2937"/>
          <w:sz w:val="20"/>
          <w:szCs w:val="20"/>
        </w:rPr>
        <w:t xml:space="preserve">•  Method claims (16–20): Shadow Bridge process, anonymised benchmark generation, human-AI collaborative management, self-improving model pipeline</w:t>
      </w:r>
    </w:p>
    <w:p>
      <w:pPr>
        <w:spacing w:after="60" w:before="60"/>
        <w:ind w:left="400"/>
      </w:pPr>
      <w:r>
        <w:rPr>
          <w:color w:val="1F2937"/>
          <w:sz w:val="20"/>
          <w:szCs w:val="20"/>
        </w:rPr>
        <w:t xml:space="preserve">•  Autonomous evolution claims (21–25): Self-evolving platform, autonomous pattern discovery, predictive pre-event briefings, autonomous benchmark recalculation</w:t>
      </w:r>
    </w:p>
    <w:p>
      <w:pPr>
        <w:spacing w:after="0" w:before="2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991B1B" w:val="solid"/>
            <w:tcMar>
              <w:top w:type="dxa" w:w="180"/>
              <w:left w:type="dxa" w:w="300"/>
              <w:bottom w:type="dxa" w:w="180"/>
              <w:right w:type="dxa" w:w="300"/>
            </w:tcMar>
            <w:vAlign w:val="center"/>
          </w:tcPr>
          <w:p>
            <w:pPr>
              <w:spacing w:after="0" w:before="0"/>
              <w:jc w:val="center"/>
            </w:pPr>
            <w:r>
              <w:rPr>
                <w:b/>
                <w:bCs/>
                <w:color w:val="FFFFFF"/>
                <w:sz w:val="28"/>
                <w:szCs w:val="28"/>
              </w:rPr>
              <w:t xml:space="preserve">The IP stays in David’s name until a shareholders’ agreement is signed.</w:t>
            </w:r>
          </w:p>
          <w:p>
            <w:pPr>
              <w:spacing w:after="0" w:before="60"/>
              <w:jc w:val="center"/>
            </w:pPr>
            <w:r>
              <w:rPr>
                <w:b w:val="false"/>
                <w:bCs w:val="false"/>
                <w:color w:val="FFFFFF"/>
                <w:sz w:val="20"/>
                <w:szCs w:val="20"/>
              </w:rPr>
              <w:t xml:space="preserve">Only then is a formal licence granted to the company.</w:t>
            </w:r>
          </w:p>
        </w:tc>
      </w:tr>
    </w:tbl>
    <w:p>
      <w:r>
        <w:rPr>
          <w:sz w:val="2"/>
          <w:szCs w:val="2"/>
        </w:rPr>
        <w:t xml:space="preserve"/>
      </w:r>
      <w:r>
        <w:br w:type="page"/>
      </w:r>
    </w:p>
    <w:p>
      <w:pPr>
        <w:spacing w:after="160" w:before="400"/>
      </w:pPr>
      <w:r>
        <w:rPr>
          <w:b/>
          <w:bCs/>
          <w:color w:val="1E3A8A"/>
          <w:sz w:val="26"/>
          <w:szCs w:val="26"/>
        </w:rPr>
        <w:t xml:space="preserve">8. Income Structure During Transition</w:t>
      </w:r>
    </w:p>
    <w:p>
      <w:pPr>
        <w:spacing w:after="0" w:before="40"/>
      </w:pPr>
    </w:p>
    <w:p>
      <w:pPr>
        <w:spacing w:after="120" w:before="300"/>
      </w:pPr>
      <w:r>
        <w:rPr>
          <w:b/>
          <w:bCs/>
          <w:color w:val="374151"/>
          <w:sz w:val="22"/>
          <w:szCs w:val="22"/>
        </w:rPr>
        <w:t xml:space="preserve">Phase 1 &amp; 2 (while David is at Chorus Call):</w:t>
      </w:r>
    </w:p>
    <w:p>
      <w:pPr>
        <w:spacing w:after="0" w:before="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1E3A8A" w:val="solid"/>
            <w:tcMar>
              <w:top w:type="dxa" w:w="60"/>
              <w:left w:type="dxa" w:w="120"/>
              <w:bottom w:type="dxa" w:w="60"/>
              <w:right w:type="dxa" w:w="120"/>
            </w:tcMar>
            <w:vAlign w:val="center"/>
          </w:tcPr>
          <w:p>
            <w:pPr>
              <w:jc w:val="left"/>
            </w:pPr>
            <w:r>
              <w:rPr>
                <w:b/>
                <w:bCs/>
                <w:color w:val="FFFFFF"/>
                <w:sz w:val="19"/>
                <w:szCs w:val="19"/>
              </w:rPr>
              <w:t xml:space="preserve">Income Source</w:t>
            </w:r>
          </w:p>
        </w:tc>
        <w:tc>
          <w:tcPr>
            <w:tcW w:type="dxa" w:w="3000"/>
            <w:shd w:color="1E3A8A" w:val="solid"/>
            <w:tcMar>
              <w:top w:type="dxa" w:w="60"/>
              <w:left w:type="dxa" w:w="120"/>
              <w:bottom w:type="dxa" w:w="60"/>
              <w:right w:type="dxa" w:w="120"/>
            </w:tcMar>
            <w:vAlign w:val="center"/>
          </w:tcPr>
          <w:p>
            <w:pPr>
              <w:jc w:val="center"/>
            </w:pPr>
            <w:r>
              <w:rPr>
                <w:b/>
                <w:bCs/>
                <w:color w:val="FFFFFF"/>
                <w:sz w:val="19"/>
                <w:szCs w:val="19"/>
              </w:rPr>
              <w:t xml:space="preserve">David</w:t>
            </w:r>
          </w:p>
        </w:tc>
        <w:tc>
          <w:tcPr>
            <w:tcW w:type="dxa" w:w="3000"/>
            <w:shd w:color="1E3A8A" w:val="solid"/>
            <w:tcMar>
              <w:top w:type="dxa" w:w="60"/>
              <w:left w:type="dxa" w:w="120"/>
              <w:bottom w:type="dxa" w:w="60"/>
              <w:right w:type="dxa" w:w="120"/>
            </w:tcMar>
            <w:vAlign w:val="center"/>
          </w:tcPr>
          <w:p>
            <w:pPr>
              <w:jc w:val="center"/>
            </w:pPr>
            <w:r>
              <w:rPr>
                <w:b/>
                <w:bCs/>
                <w:color w:val="FFFFFF"/>
                <w:sz w:val="19"/>
                <w:szCs w:val="19"/>
              </w:rPr>
              <w:t xml:space="preserve">Partner</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Chorus Call salary</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Yes (primary income)</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N/A</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CuraLive founder consulting fee</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60% of net profit</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N/A</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CuraLive BD fee</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N/A</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40% of net profit</w:t>
            </w:r>
          </w:p>
        </w:tc>
      </w:tr>
    </w:tbl>
    <w:p>
      <w:pPr>
        <w:spacing w:after="0" w:before="40"/>
      </w:pPr>
    </w:p>
    <w:p>
      <w:pPr>
        <w:spacing w:after="120" w:before="300"/>
      </w:pPr>
      <w:r>
        <w:rPr>
          <w:b/>
          <w:bCs/>
          <w:color w:val="374151"/>
          <w:sz w:val="22"/>
          <w:szCs w:val="22"/>
        </w:rPr>
        <w:t xml:space="preserve">Phase 3 (David full-time at CuraLive):</w:t>
      </w:r>
    </w:p>
    <w:p>
      <w:pPr>
        <w:spacing w:after="0" w:before="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1E3A8A" w:val="solid"/>
            <w:tcMar>
              <w:top w:type="dxa" w:w="60"/>
              <w:left w:type="dxa" w:w="120"/>
              <w:bottom w:type="dxa" w:w="60"/>
              <w:right w:type="dxa" w:w="120"/>
            </w:tcMar>
            <w:vAlign w:val="center"/>
          </w:tcPr>
          <w:p>
            <w:pPr>
              <w:jc w:val="left"/>
            </w:pPr>
            <w:r>
              <w:rPr>
                <w:b/>
                <w:bCs/>
                <w:color w:val="FFFFFF"/>
                <w:sz w:val="19"/>
                <w:szCs w:val="19"/>
              </w:rPr>
              <w:t xml:space="preserve">Income Source</w:t>
            </w:r>
          </w:p>
        </w:tc>
        <w:tc>
          <w:tcPr>
            <w:tcW w:type="dxa" w:w="3000"/>
            <w:shd w:color="1E3A8A" w:val="solid"/>
            <w:tcMar>
              <w:top w:type="dxa" w:w="60"/>
              <w:left w:type="dxa" w:w="120"/>
              <w:bottom w:type="dxa" w:w="60"/>
              <w:right w:type="dxa" w:w="120"/>
            </w:tcMar>
            <w:vAlign w:val="center"/>
          </w:tcPr>
          <w:p>
            <w:pPr>
              <w:jc w:val="center"/>
            </w:pPr>
            <w:r>
              <w:rPr>
                <w:b/>
                <w:bCs/>
                <w:color w:val="FFFFFF"/>
                <w:sz w:val="19"/>
                <w:szCs w:val="19"/>
              </w:rPr>
              <w:t xml:space="preserve">David</w:t>
            </w:r>
          </w:p>
        </w:tc>
        <w:tc>
          <w:tcPr>
            <w:tcW w:type="dxa" w:w="3000"/>
            <w:shd w:color="1E3A8A" w:val="solid"/>
            <w:tcMar>
              <w:top w:type="dxa" w:w="60"/>
              <w:left w:type="dxa" w:w="120"/>
              <w:bottom w:type="dxa" w:w="60"/>
              <w:right w:type="dxa" w:w="120"/>
            </w:tcMar>
            <w:vAlign w:val="center"/>
          </w:tcPr>
          <w:p>
            <w:pPr>
              <w:jc w:val="center"/>
            </w:pPr>
            <w:r>
              <w:rPr>
                <w:b/>
                <w:bCs/>
                <w:color w:val="FFFFFF"/>
                <w:sz w:val="19"/>
                <w:szCs w:val="19"/>
              </w:rPr>
              <w:t xml:space="preserve">Partner</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CuraLive CEO salary</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Fixed monthly salary</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N/A</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CuraLive BD salary/fee</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N/A</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Fixed monthly or % of revenue</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Profit distribution</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60% of remaining profit</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40% of remaining profit</w:t>
            </w:r>
          </w:p>
        </w:tc>
      </w:tr>
    </w:tbl>
    <w:p>
      <w:pPr>
        <w:spacing w:after="0" w:before="40"/>
      </w:pPr>
    </w:p>
    <w:p>
      <w:pPr>
        <w:spacing w:after="100" w:before="100"/>
      </w:pPr>
      <w:r>
        <w:rPr>
          <w:color w:val="1F2937"/>
          <w:sz w:val="21"/>
          <w:szCs w:val="21"/>
        </w:rPr>
        <w:t xml:space="preserve">Both consulting/BD fees come from revenue only. If there is no revenue, there are no fees. No one draws money that doesn’t exist.</w:t>
      </w:r>
    </w:p>
    <w:p>
      <w:r>
        <w:rPr>
          <w:sz w:val="2"/>
          <w:szCs w:val="2"/>
        </w:rPr>
        <w:t xml:space="preserve"/>
      </w:r>
      <w:r>
        <w:br w:type="page"/>
      </w:r>
    </w:p>
    <w:p>
      <w:pPr>
        <w:spacing w:after="160" w:before="400"/>
      </w:pPr>
      <w:r>
        <w:rPr>
          <w:b/>
          <w:bCs/>
          <w:color w:val="1E3A8A"/>
          <w:sz w:val="26"/>
          <w:szCs w:val="26"/>
        </w:rPr>
        <w:t xml:space="preserve">9. Legal Checklist — Before Anything Starts</w:t>
      </w:r>
    </w:p>
    <w:p>
      <w:pPr>
        <w:spacing w:after="0" w:before="4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991B1B" w:val="solid"/>
            <w:tcMar>
              <w:top w:type="dxa" w:w="180"/>
              <w:left w:type="dxa" w:w="300"/>
              <w:bottom w:type="dxa" w:w="180"/>
              <w:right w:type="dxa" w:w="300"/>
            </w:tcMar>
            <w:vAlign w:val="center"/>
          </w:tcPr>
          <w:p>
            <w:pPr>
              <w:spacing w:after="0" w:before="0"/>
              <w:jc w:val="center"/>
            </w:pPr>
            <w:r>
              <w:rPr>
                <w:b/>
                <w:bCs/>
                <w:color w:val="FFFFFF"/>
                <w:sz w:val="28"/>
                <w:szCs w:val="28"/>
              </w:rPr>
              <w:t xml:space="preserve">All items below must be completed before any shares are issued</w:t>
            </w:r>
          </w:p>
          <w:p>
            <w:pPr>
              <w:spacing w:after="0" w:before="60"/>
              <w:jc w:val="center"/>
            </w:pPr>
            <w:r>
              <w:rPr>
                <w:b w:val="false"/>
                <w:bCs w:val="false"/>
                <w:color w:val="FFFFFF"/>
                <w:sz w:val="20"/>
                <w:szCs w:val="20"/>
              </w:rPr>
              <w:t xml:space="preserve">or any CuraLive revenue is generated.</w:t>
            </w:r>
          </w:p>
        </w:tc>
      </w:tr>
    </w:tbl>
    <w:p>
      <w:pPr>
        <w:spacing w:after="0" w:before="40"/>
      </w:pPr>
    </w:p>
    <w:p>
      <w:pPr>
        <w:spacing w:after="120" w:before="300"/>
      </w:pPr>
      <w:r>
        <w:rPr>
          <w:b/>
          <w:bCs/>
          <w:color w:val="374151"/>
          <w:sz w:val="22"/>
          <w:szCs w:val="22"/>
        </w:rPr>
        <w:t xml:space="preserve">Employment contract review:</w:t>
      </w:r>
    </w:p>
    <w:p>
      <w:pPr>
        <w:spacing w:after="60" w:before="60"/>
        <w:ind w:left="400"/>
      </w:pPr>
      <w:r>
        <w:rPr>
          <w:color w:val="1F2937"/>
          <w:sz w:val="20"/>
          <w:szCs w:val="20"/>
        </w:rPr>
        <w:t xml:space="preserve">•  Have a lawyer review the Chorus Call employment contract</w:t>
      </w:r>
    </w:p>
    <w:p>
      <w:pPr>
        <w:spacing w:after="60" w:before="60"/>
        <w:ind w:left="400"/>
      </w:pPr>
      <w:r>
        <w:rPr>
          <w:color w:val="1F2937"/>
          <w:sz w:val="20"/>
          <w:szCs w:val="20"/>
        </w:rPr>
        <w:t xml:space="preserve">•  Check for restraint of trade clauses — do they prevent starting a similar business?</w:t>
      </w:r>
    </w:p>
    <w:p>
      <w:pPr>
        <w:spacing w:after="60" w:before="60"/>
        <w:ind w:left="400"/>
      </w:pPr>
      <w:r>
        <w:rPr>
          <w:color w:val="1F2937"/>
          <w:sz w:val="20"/>
          <w:szCs w:val="20"/>
        </w:rPr>
        <w:t xml:space="preserve">•  Check for IP assignment clauses — does Chorus Call own anything David creates while employed?</w:t>
      </w:r>
    </w:p>
    <w:p>
      <w:pPr>
        <w:spacing w:after="60" w:before="60"/>
        <w:ind w:left="400"/>
      </w:pPr>
      <w:r>
        <w:rPr>
          <w:color w:val="1F2937"/>
          <w:sz w:val="20"/>
          <w:szCs w:val="20"/>
        </w:rPr>
        <w:t xml:space="preserve">•  Check for non-compete clauses — is CuraLive considered competitive?</w:t>
      </w:r>
    </w:p>
    <w:p>
      <w:pPr>
        <w:spacing w:after="60" w:before="60"/>
        <w:ind w:left="400"/>
      </w:pPr>
      <w:r>
        <w:rPr>
          <w:color w:val="1F2937"/>
          <w:sz w:val="20"/>
          <w:szCs w:val="20"/>
        </w:rPr>
        <w:t xml:space="preserve">•  Get written legal opinion on whether CuraLive activity is permissible while employed</w:t>
      </w:r>
    </w:p>
    <w:p>
      <w:pPr>
        <w:spacing w:after="0" w:before="40"/>
      </w:pPr>
    </w:p>
    <w:p>
      <w:pPr>
        <w:spacing w:after="120" w:before="300"/>
      </w:pPr>
      <w:r>
        <w:rPr>
          <w:b/>
          <w:bCs/>
          <w:color w:val="374151"/>
          <w:sz w:val="22"/>
          <w:szCs w:val="22"/>
        </w:rPr>
        <w:t xml:space="preserve">Shareholders’ agreement (must cover):</w:t>
      </w:r>
    </w:p>
    <w:p>
      <w:pPr>
        <w:spacing w:after="60" w:before="60"/>
        <w:ind w:left="400"/>
      </w:pPr>
      <w:r>
        <w:rPr>
          <w:color w:val="1F2937"/>
          <w:sz w:val="20"/>
          <w:szCs w:val="20"/>
        </w:rPr>
        <w:t xml:space="preserve">•  Equity allocation: 75% David / 20% Partner / 5% Option Pool</w:t>
      </w:r>
    </w:p>
    <w:p>
      <w:pPr>
        <w:spacing w:after="60" w:before="60"/>
        <w:ind w:left="400"/>
      </w:pPr>
      <w:r>
        <w:rPr>
          <w:color w:val="1F2937"/>
          <w:sz w:val="20"/>
          <w:szCs w:val="20"/>
        </w:rPr>
        <w:t xml:space="preserve">•  Profit distribution: 60% David / 40% Partner during operations</w:t>
      </w:r>
    </w:p>
    <w:p>
      <w:pPr>
        <w:spacing w:after="60" w:before="60"/>
        <w:ind w:left="400"/>
      </w:pPr>
      <w:r>
        <w:rPr>
          <w:color w:val="1F2937"/>
          <w:sz w:val="20"/>
          <w:szCs w:val="20"/>
        </w:rPr>
        <w:t xml:space="preserve">•  Vesting schedule for partner’s equity (3 tranches as per Section 4)</w:t>
      </w:r>
    </w:p>
    <w:p>
      <w:pPr>
        <w:spacing w:after="60" w:before="60"/>
        <w:ind w:left="400"/>
      </w:pPr>
      <w:r>
        <w:rPr>
          <w:color w:val="1F2937"/>
          <w:sz w:val="20"/>
          <w:szCs w:val="20"/>
        </w:rPr>
        <w:t xml:space="preserve">•  IP licence: Patent owned by David, licensed to company</w:t>
      </w:r>
    </w:p>
    <w:p>
      <w:pPr>
        <w:spacing w:after="60" w:before="60"/>
        <w:ind w:left="400"/>
      </w:pPr>
      <w:r>
        <w:rPr>
          <w:color w:val="1F2937"/>
          <w:sz w:val="20"/>
          <w:szCs w:val="20"/>
        </w:rPr>
        <w:t xml:space="preserve">•  Decision-making: David has board control (majority shareholder)</w:t>
      </w:r>
    </w:p>
    <w:p>
      <w:pPr>
        <w:spacing w:after="60" w:before="60"/>
        <w:ind w:left="400"/>
      </w:pPr>
      <w:r>
        <w:rPr>
          <w:color w:val="1F2937"/>
          <w:sz w:val="20"/>
          <w:szCs w:val="20"/>
        </w:rPr>
        <w:t xml:space="preserve">•  Exit provisions: What happens if one partner wants to leave</w:t>
      </w:r>
    </w:p>
    <w:p>
      <w:pPr>
        <w:spacing w:after="60" w:before="60"/>
        <w:ind w:left="400"/>
      </w:pPr>
      <w:r>
        <w:rPr>
          <w:color w:val="1F2937"/>
          <w:sz w:val="20"/>
          <w:szCs w:val="20"/>
        </w:rPr>
        <w:t xml:space="preserve">•  Tag-along and drag-along rights: Neither can block or be excluded from a sale</w:t>
      </w:r>
    </w:p>
    <w:p>
      <w:pPr>
        <w:spacing w:after="60" w:before="60"/>
        <w:ind w:left="400"/>
      </w:pPr>
      <w:r>
        <w:rPr>
          <w:color w:val="1F2937"/>
          <w:sz w:val="20"/>
          <w:szCs w:val="20"/>
        </w:rPr>
        <w:t xml:space="preserve">•  Anti-dilution protection for David as majority shareholder</w:t>
      </w:r>
    </w:p>
    <w:p>
      <w:pPr>
        <w:spacing w:after="60" w:before="60"/>
        <w:ind w:left="400"/>
      </w:pPr>
      <w:r>
        <w:rPr>
          <w:color w:val="1F2937"/>
          <w:sz w:val="20"/>
          <w:szCs w:val="20"/>
        </w:rPr>
        <w:t xml:space="preserve">•  Restraint of trade for both parties (if one leaves, they can’t start a competitor)</w:t>
      </w:r>
    </w:p>
    <w:p>
      <w:pPr>
        <w:spacing w:after="0" w:before="40"/>
      </w:pPr>
    </w:p>
    <w:p>
      <w:pPr>
        <w:spacing w:after="120" w:before="300"/>
      </w:pPr>
      <w:r>
        <w:rPr>
          <w:b/>
          <w:bCs/>
          <w:color w:val="374151"/>
          <w:sz w:val="22"/>
          <w:szCs w:val="22"/>
        </w:rPr>
        <w:t xml:space="preserve">Company registration:</w:t>
      </w:r>
    </w:p>
    <w:p>
      <w:pPr>
        <w:spacing w:after="60" w:before="60"/>
        <w:ind w:left="400"/>
      </w:pPr>
      <w:r>
        <w:rPr>
          <w:color w:val="1F2937"/>
          <w:sz w:val="20"/>
          <w:szCs w:val="20"/>
        </w:rPr>
        <w:t xml:space="preserve">•  Register CuraLive (Pty) Ltd with CIPC</w:t>
      </w:r>
    </w:p>
    <w:p>
      <w:pPr>
        <w:spacing w:after="60" w:before="60"/>
        <w:ind w:left="400"/>
      </w:pPr>
      <w:r>
        <w:rPr>
          <w:color w:val="1F2937"/>
          <w:sz w:val="20"/>
          <w:szCs w:val="20"/>
        </w:rPr>
        <w:t xml:space="preserve">•  Appoint David and Partner as directors</w:t>
      </w:r>
    </w:p>
    <w:p>
      <w:pPr>
        <w:spacing w:after="60" w:before="60"/>
        <w:ind w:left="400"/>
      </w:pPr>
      <w:r>
        <w:rPr>
          <w:color w:val="1F2937"/>
          <w:sz w:val="20"/>
          <w:szCs w:val="20"/>
        </w:rPr>
        <w:t xml:space="preserve">•  Issue shares according to the agreed allocation</w:t>
      </w:r>
    </w:p>
    <w:p>
      <w:pPr>
        <w:spacing w:after="0" w:before="40"/>
      </w:pPr>
    </w:p>
    <w:p>
      <w:pPr>
        <w:spacing w:after="120" w:before="300"/>
      </w:pPr>
      <w:r>
        <w:rPr>
          <w:b/>
          <w:bCs/>
          <w:color w:val="374151"/>
          <w:sz w:val="22"/>
          <w:szCs w:val="22"/>
        </w:rPr>
        <w:t xml:space="preserve">Patent filing:</w:t>
      </w:r>
    </w:p>
    <w:p>
      <w:pPr>
        <w:spacing w:after="60" w:before="60"/>
        <w:ind w:left="400"/>
      </w:pPr>
      <w:r>
        <w:rPr>
          <w:color w:val="1F2937"/>
          <w:sz w:val="20"/>
          <w:szCs w:val="20"/>
        </w:rPr>
        <w:t xml:space="preserve">•  File provisional patent with CIPC (in David’s personal name)</w:t>
      </w:r>
    </w:p>
    <w:p>
      <w:pPr>
        <w:spacing w:after="60" w:before="60"/>
        <w:ind w:left="400"/>
      </w:pPr>
      <w:r>
        <w:rPr>
          <w:color w:val="1F2937"/>
          <w:sz w:val="20"/>
          <w:szCs w:val="20"/>
        </w:rPr>
        <w:t xml:space="preserve">•  Execute IP licence agreement between David and CuraLive (Pty) Ltd</w:t>
      </w:r>
    </w:p>
    <w:p>
      <w:pPr>
        <w:spacing w:after="60" w:before="60"/>
        <w:ind w:left="400"/>
      </w:pPr>
      <w:r>
        <w:rPr>
          <w:color w:val="1F2937"/>
          <w:sz w:val="20"/>
          <w:szCs w:val="20"/>
        </w:rPr>
        <w:t xml:space="preserve">•  Calendar reminder: PCT filing deadline = 12 months from CIPC filing date</w:t>
      </w:r>
    </w:p>
    <w:p>
      <w:r>
        <w:rPr>
          <w:sz w:val="2"/>
          <w:szCs w:val="2"/>
        </w:rPr>
        <w:t xml:space="preserve"/>
      </w:r>
      <w:r>
        <w:br w:type="page"/>
      </w:r>
    </w:p>
    <w:p>
      <w:pPr>
        <w:spacing w:after="160" w:before="400"/>
      </w:pPr>
      <w:r>
        <w:rPr>
          <w:b/>
          <w:bCs/>
          <w:color w:val="1E3A8A"/>
          <w:sz w:val="26"/>
          <w:szCs w:val="26"/>
        </w:rPr>
        <w:t xml:space="preserve">10. Projected Company Valuation</w:t>
      </w:r>
    </w:p>
    <w:p>
      <w:pPr>
        <w:spacing w:after="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color="1E3A8A" w:val="solid"/>
            <w:tcMar>
              <w:top w:type="dxa" w:w="60"/>
              <w:left w:type="dxa" w:w="120"/>
              <w:bottom w:type="dxa" w:w="60"/>
              <w:right w:type="dxa" w:w="120"/>
            </w:tcMar>
            <w:vAlign w:val="center"/>
          </w:tcPr>
          <w:p>
            <w:pPr>
              <w:jc w:val="left"/>
            </w:pPr>
            <w:r>
              <w:rPr>
                <w:b/>
                <w:bCs/>
                <w:color w:val="FFFFFF"/>
                <w:sz w:val="19"/>
                <w:szCs w:val="19"/>
              </w:rPr>
              <w:t xml:space="preserve">Milestone</w:t>
            </w:r>
          </w:p>
        </w:tc>
        <w:tc>
          <w:tcPr>
            <w:tcW w:type="dxa" w:w="2000"/>
            <w:shd w:color="1E3A8A" w:val="solid"/>
            <w:tcMar>
              <w:top w:type="dxa" w:w="60"/>
              <w:left w:type="dxa" w:w="120"/>
              <w:bottom w:type="dxa" w:w="60"/>
              <w:right w:type="dxa" w:w="120"/>
            </w:tcMar>
            <w:vAlign w:val="center"/>
          </w:tcPr>
          <w:p>
            <w:pPr>
              <w:jc w:val="center"/>
            </w:pPr>
            <w:r>
              <w:rPr>
                <w:b/>
                <w:bCs/>
                <w:color w:val="FFFFFF"/>
                <w:sz w:val="19"/>
                <w:szCs w:val="19"/>
              </w:rPr>
              <w:t xml:space="preserve">Base Value</w:t>
            </w:r>
          </w:p>
        </w:tc>
        <w:tc>
          <w:tcPr>
            <w:tcW w:type="dxa" w:w="2000"/>
            <w:shd w:color="1E3A8A" w:val="solid"/>
            <w:tcMar>
              <w:top w:type="dxa" w:w="60"/>
              <w:left w:type="dxa" w:w="120"/>
              <w:bottom w:type="dxa" w:w="60"/>
              <w:right w:type="dxa" w:w="120"/>
            </w:tcMar>
            <w:vAlign w:val="center"/>
          </w:tcPr>
          <w:p>
            <w:pPr>
              <w:jc w:val="center"/>
            </w:pPr>
            <w:r>
              <w:rPr>
                <w:b/>
                <w:bCs/>
                <w:color w:val="FFFFFF"/>
                <w:sz w:val="19"/>
                <w:szCs w:val="19"/>
              </w:rPr>
              <w:t xml:space="preserve">Strategic Acquisition</w:t>
            </w:r>
          </w:p>
        </w:tc>
        <w:tc>
          <w:tcPr>
            <w:tcW w:type="dxa" w:w="2000"/>
            <w:shd w:color="1E3A8A" w:val="solid"/>
            <w:tcMar>
              <w:top w:type="dxa" w:w="60"/>
              <w:left w:type="dxa" w:w="120"/>
              <w:bottom w:type="dxa" w:w="60"/>
              <w:right w:type="dxa" w:w="120"/>
            </w:tcMar>
            <w:vAlign w:val="center"/>
          </w:tcPr>
          <w:p>
            <w:pPr>
              <w:jc w:val="center"/>
            </w:pPr>
            <w:r>
              <w:rPr>
                <w:b/>
                <w:bCs/>
                <w:color w:val="FFFFFF"/>
                <w:sz w:val="19"/>
                <w:szCs w:val="19"/>
              </w:rPr>
              <w:t xml:space="preserve">Competitive Bid</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Pre-scale (today)</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$3M–$8M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$8M–$15M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200+ events, 2–3 clients</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$8M–$20M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$20M–$40M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500 events, patent granted</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$38M–$88M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$75M–$150M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$120M–$250M</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1,000 events, patent granted</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$78M–$160M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$150M–$280M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$250M–$400M+</w:t>
            </w:r>
          </w:p>
        </w:tc>
      </w:tr>
    </w:tbl>
    <w:p>
      <w:pPr>
        <w:spacing w:after="0" w:before="40"/>
      </w:pPr>
    </w:p>
    <w:p>
      <w:pPr>
        <w:spacing w:after="120" w:before="300"/>
      </w:pPr>
      <w:r>
        <w:rPr>
          <w:b/>
          <w:bCs/>
          <w:color w:val="374151"/>
          <w:sz w:val="22"/>
          <w:szCs w:val="22"/>
        </w:rPr>
        <w:t xml:space="preserve">What drives the valuation:</w:t>
      </w:r>
    </w:p>
    <w:p>
      <w:pPr>
        <w:spacing w:after="60" w:before="60"/>
        <w:ind w:left="400"/>
      </w:pPr>
      <w:r>
        <w:rPr>
          <w:color w:val="1F2937"/>
          <w:sz w:val="20"/>
          <w:szCs w:val="20"/>
        </w:rPr>
        <w:t xml:space="preserve">•  Patent portfolio — Shadow Bridge method, autonomous evolution, 25 claims</w:t>
      </w:r>
    </w:p>
    <w:p>
      <w:pPr>
        <w:spacing w:after="60" w:before="60"/>
        <w:ind w:left="400"/>
      </w:pPr>
      <w:r>
        <w:rPr>
          <w:color w:val="1F2937"/>
          <w:sz w:val="20"/>
          <w:szCs w:val="20"/>
        </w:rPr>
        <w:t xml:space="preserve">•  AI intelligence engine — proven, battle-tested across hundreds of events</w:t>
      </w:r>
    </w:p>
    <w:p>
      <w:pPr>
        <w:spacing w:after="60" w:before="60"/>
        <w:ind w:left="400"/>
      </w:pPr>
      <w:r>
        <w:rPr>
          <w:color w:val="1F2937"/>
          <w:sz w:val="20"/>
          <w:szCs w:val="20"/>
        </w:rPr>
        <w:t xml:space="preserve">•  Benchmarking dataset — the most valuable single asset, grows with every event</w:t>
      </w:r>
    </w:p>
    <w:p>
      <w:pPr>
        <w:spacing w:after="60" w:before="60"/>
        <w:ind w:left="400"/>
      </w:pPr>
      <w:r>
        <w:rPr>
          <w:color w:val="1F2937"/>
          <w:sz w:val="20"/>
          <w:szCs w:val="20"/>
        </w:rPr>
        <w:t xml:space="preserve">•  Client revenue — recurring revenue multiplied at 8–15x ARR</w:t>
      </w:r>
    </w:p>
    <w:p>
      <w:pPr>
        <w:spacing w:after="60" w:before="60"/>
        <w:ind w:left="400"/>
      </w:pPr>
      <w:r>
        <w:rPr>
          <w:color w:val="1F2937"/>
          <w:sz w:val="20"/>
          <w:szCs w:val="20"/>
        </w:rPr>
        <w:t xml:space="preserve">•  Predictive capability — becomes a standalone product at 1,000+ events</w:t>
      </w:r>
    </w:p>
    <w:p>
      <w:pPr>
        <w:spacing w:after="0" w:before="60"/>
      </w:pPr>
    </w:p>
    <w:p>
      <w:pPr>
        <w:spacing w:after="120" w:before="300"/>
      </w:pPr>
      <w:r>
        <w:rPr>
          <w:b/>
          <w:bCs/>
          <w:color w:val="374151"/>
          <w:sz w:val="22"/>
          <w:szCs w:val="22"/>
        </w:rPr>
        <w:t xml:space="preserve">What David’s 75% is worth at key milestones:</w:t>
      </w:r>
    </w:p>
    <w:p>
      <w:pPr>
        <w:spacing w:after="0" w:before="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color="1E3A8A" w:val="solid"/>
            <w:tcMar>
              <w:top w:type="dxa" w:w="60"/>
              <w:left w:type="dxa" w:w="120"/>
              <w:bottom w:type="dxa" w:w="60"/>
              <w:right w:type="dxa" w:w="120"/>
            </w:tcMar>
            <w:vAlign w:val="center"/>
          </w:tcPr>
          <w:p>
            <w:pPr>
              <w:jc w:val="left"/>
            </w:pPr>
            <w:r>
              <w:rPr>
                <w:b/>
                <w:bCs/>
                <w:color w:val="FFFFFF"/>
                <w:sz w:val="19"/>
                <w:szCs w:val="19"/>
              </w:rPr>
              <w:t xml:space="preserve">Milestone</w:t>
            </w:r>
          </w:p>
        </w:tc>
        <w:tc>
          <w:tcPr>
            <w:tcW w:type="dxa" w:w="2000"/>
            <w:shd w:color="1E3A8A" w:val="solid"/>
            <w:tcMar>
              <w:top w:type="dxa" w:w="60"/>
              <w:left w:type="dxa" w:w="120"/>
              <w:bottom w:type="dxa" w:w="60"/>
              <w:right w:type="dxa" w:w="120"/>
            </w:tcMar>
            <w:vAlign w:val="center"/>
          </w:tcPr>
          <w:p>
            <w:pPr>
              <w:jc w:val="center"/>
            </w:pPr>
            <w:r>
              <w:rPr>
                <w:b/>
                <w:bCs/>
                <w:color w:val="FFFFFF"/>
                <w:sz w:val="19"/>
                <w:szCs w:val="19"/>
              </w:rPr>
              <w:t xml:space="preserve">Company Value</w:t>
            </w:r>
          </w:p>
        </w:tc>
        <w:tc>
          <w:tcPr>
            <w:tcW w:type="dxa" w:w="2000"/>
            <w:shd w:color="1E3A8A" w:val="solid"/>
            <w:tcMar>
              <w:top w:type="dxa" w:w="60"/>
              <w:left w:type="dxa" w:w="120"/>
              <w:bottom w:type="dxa" w:w="60"/>
              <w:right w:type="dxa" w:w="120"/>
            </w:tcMar>
            <w:vAlign w:val="center"/>
          </w:tcPr>
          <w:p>
            <w:pPr>
              <w:jc w:val="center"/>
            </w:pPr>
            <w:r>
              <w:rPr>
                <w:b/>
                <w:bCs/>
                <w:color w:val="FFFFFF"/>
                <w:sz w:val="19"/>
                <w:szCs w:val="19"/>
              </w:rPr>
              <w:t xml:space="preserve">David (75%)</w:t>
            </w:r>
          </w:p>
        </w:tc>
        <w:tc>
          <w:tcPr>
            <w:tcW w:type="dxa" w:w="2000"/>
            <w:shd w:color="1E3A8A" w:val="solid"/>
            <w:tcMar>
              <w:top w:type="dxa" w:w="60"/>
              <w:left w:type="dxa" w:w="120"/>
              <w:bottom w:type="dxa" w:w="60"/>
              <w:right w:type="dxa" w:w="120"/>
            </w:tcMar>
            <w:vAlign w:val="center"/>
          </w:tcPr>
          <w:p>
            <w:pPr>
              <w:jc w:val="center"/>
            </w:pPr>
            <w:r>
              <w:rPr>
                <w:b/>
                <w:bCs/>
                <w:color w:val="FFFFFF"/>
                <w:sz w:val="19"/>
                <w:szCs w:val="19"/>
              </w:rPr>
              <w:t xml:space="preserve">Partner (20%)</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500 events (base)</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$38M–$88M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$28M–$66M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$7.6M–$17.6M</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500 events (strategic)</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$75M–$150M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$56M–$112M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$15M–$30M</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1,000 events (base)</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$78M–$160M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$58M–$120M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$15.6M–$32M</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1,000 events (strategic)</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$150M–$280M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$112M–$210M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$30M–$56M</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1,000 events (competitive bid)</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$250M–$400M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$187M–$300M</w:t>
            </w:r>
          </w:p>
        </w:tc>
        <w:tc>
          <w:tcPr>
            <w:tcW w:type="dxa" w:w="2000"/>
            <w:tcMar>
              <w:top w:type="dxa" w:w="60"/>
              <w:left w:type="dxa" w:w="120"/>
              <w:bottom w:type="dxa" w:w="60"/>
              <w:right w:type="dxa" w:w="120"/>
            </w:tcMar>
            <w:vAlign w:val="center"/>
          </w:tcPr>
          <w:p>
            <w:pPr>
              <w:jc w:val="center"/>
            </w:pPr>
            <w:r>
              <w:rPr>
                <w:b w:val="false"/>
                <w:bCs w:val="false"/>
                <w:color w:val="1F2937"/>
                <w:sz w:val="19"/>
                <w:szCs w:val="19"/>
              </w:rPr>
              <w:t xml:space="preserve">$50M–$80M</w:t>
            </w:r>
          </w:p>
        </w:tc>
      </w:tr>
    </w:tbl>
    <w:p>
      <w:pPr>
        <w:spacing w:after="0" w:before="6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065F46" w:val="solid"/>
            <w:tcMar>
              <w:top w:type="dxa" w:w="180"/>
              <w:left w:type="dxa" w:w="300"/>
              <w:bottom w:type="dxa" w:w="180"/>
              <w:right w:type="dxa" w:w="300"/>
            </w:tcMar>
            <w:vAlign w:val="center"/>
          </w:tcPr>
          <w:p>
            <w:pPr>
              <w:spacing w:after="0" w:before="0"/>
              <w:jc w:val="center"/>
            </w:pPr>
            <w:r>
              <w:rPr>
                <w:b/>
                <w:bCs/>
                <w:color w:val="FFFFFF"/>
                <w:sz w:val="28"/>
                <w:szCs w:val="28"/>
              </w:rPr>
              <w:t xml:space="preserve">Both partners are well looked after in every scenario.</w:t>
            </w:r>
          </w:p>
          <w:p>
            <w:pPr>
              <w:spacing w:after="0" w:before="60"/>
              <w:jc w:val="center"/>
            </w:pPr>
            <w:r>
              <w:rPr>
                <w:b w:val="false"/>
                <w:bCs w:val="false"/>
                <w:color w:val="FFFFFF"/>
                <w:sz w:val="20"/>
                <w:szCs w:val="20"/>
              </w:rPr>
              <w:t xml:space="preserve">David’s retirement is secured. Partner’s contribution is generously rewarded.</w:t>
            </w:r>
          </w:p>
        </w:tc>
      </w:tr>
    </w:tbl>
    <w:p>
      <w:r>
        <w:rPr>
          <w:sz w:val="2"/>
          <w:szCs w:val="2"/>
        </w:rPr>
        <w:t xml:space="preserve"/>
      </w:r>
      <w:r>
        <w:br w:type="page"/>
      </w:r>
    </w:p>
    <w:p>
      <w:pPr>
        <w:spacing w:after="160" w:before="400"/>
      </w:pPr>
      <w:r>
        <w:rPr>
          <w:b/>
          <w:bCs/>
          <w:color w:val="1E3A8A"/>
          <w:sz w:val="26"/>
          <w:szCs w:val="26"/>
        </w:rPr>
        <w:t xml:space="preserve">11. Action Timeline</w:t>
      </w:r>
    </w:p>
    <w:p>
      <w:pPr>
        <w:spacing w:after="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1E3A8A" w:val="solid"/>
            <w:tcMar>
              <w:top w:type="dxa" w:w="60"/>
              <w:left w:type="dxa" w:w="120"/>
              <w:bottom w:type="dxa" w:w="60"/>
              <w:right w:type="dxa" w:w="120"/>
            </w:tcMar>
            <w:vAlign w:val="center"/>
          </w:tcPr>
          <w:p>
            <w:pPr>
              <w:jc w:val="left"/>
            </w:pPr>
            <w:r>
              <w:rPr>
                <w:b/>
                <w:bCs/>
                <w:color w:val="FFFFFF"/>
                <w:sz w:val="19"/>
                <w:szCs w:val="19"/>
              </w:rPr>
              <w:t xml:space="preserve">When</w:t>
            </w:r>
          </w:p>
        </w:tc>
        <w:tc>
          <w:tcPr>
            <w:tcW w:type="dxa" w:w="3000"/>
            <w:shd w:color="1E3A8A" w:val="solid"/>
            <w:tcMar>
              <w:top w:type="dxa" w:w="60"/>
              <w:left w:type="dxa" w:w="120"/>
              <w:bottom w:type="dxa" w:w="60"/>
              <w:right w:type="dxa" w:w="120"/>
            </w:tcMar>
            <w:vAlign w:val="center"/>
          </w:tcPr>
          <w:p>
            <w:pPr>
              <w:jc w:val="center"/>
            </w:pPr>
            <w:r>
              <w:rPr>
                <w:b/>
                <w:bCs/>
                <w:color w:val="FFFFFF"/>
                <w:sz w:val="19"/>
                <w:szCs w:val="19"/>
              </w:rPr>
              <w:t xml:space="preserve">Action</w:t>
            </w:r>
          </w:p>
        </w:tc>
        <w:tc>
          <w:tcPr>
            <w:tcW w:type="dxa" w:w="3000"/>
            <w:shd w:color="1E3A8A" w:val="solid"/>
            <w:tcMar>
              <w:top w:type="dxa" w:w="60"/>
              <w:left w:type="dxa" w:w="120"/>
              <w:bottom w:type="dxa" w:w="60"/>
              <w:right w:type="dxa" w:w="120"/>
            </w:tcMar>
            <w:vAlign w:val="center"/>
          </w:tcPr>
          <w:p>
            <w:pPr>
              <w:jc w:val="center"/>
            </w:pPr>
            <w:r>
              <w:rPr>
                <w:b/>
                <w:bCs/>
                <w:color w:val="FFFFFF"/>
                <w:sz w:val="19"/>
                <w:szCs w:val="19"/>
              </w:rPr>
              <w:t xml:space="preserve">Who</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Immediately</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Lawyer reviews Chorus Call employment contract</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David</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Week 1–2</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File provisional patent with CIPC</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David</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Week 2–4</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Shareholders’ agreement drafted by lawyer</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David + Partner</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Week 4</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Register CuraLive (Pty) Ltd</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David + Partner</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Week 4</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Execute IP licence agreement</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David</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Month 1–3</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Partner begins client outreach as CuraLive face</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Partner</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Month 3–6</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First events processed, first revenue generated</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Both</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Month 6–12</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Revenue ramp, David’s CuraLive income grows</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Both</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Month 10–11</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File PCT patent application (international)</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David</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Month 12–18</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Evaluate Chorus Call partnership opportunity</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David</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When ready</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David transitions full-time to CuraLive</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David</w:t>
            </w:r>
          </w:p>
        </w:tc>
      </w:tr>
      <w:tr>
        <w:tc>
          <w:tcPr>
            <w:tcW w:type="dxa" w:w="3000"/>
            <w:tcMar>
              <w:top w:type="dxa" w:w="60"/>
              <w:left w:type="dxa" w:w="120"/>
              <w:bottom w:type="dxa" w:w="60"/>
              <w:right w:type="dxa" w:w="120"/>
            </w:tcMar>
            <w:vAlign w:val="center"/>
          </w:tcPr>
          <w:p>
            <w:pPr>
              <w:jc w:val="left"/>
            </w:pPr>
            <w:r>
              <w:rPr>
                <w:b/>
                <w:bCs/>
                <w:color w:val="1F2937"/>
                <w:sz w:val="19"/>
                <w:szCs w:val="19"/>
              </w:rPr>
              <w:t xml:space="preserve">Month 30–31</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Enter national phase (US, EPO) for patent</w:t>
            </w:r>
          </w:p>
        </w:tc>
        <w:tc>
          <w:tcPr>
            <w:tcW w:type="dxa" w:w="3000"/>
            <w:tcMar>
              <w:top w:type="dxa" w:w="60"/>
              <w:left w:type="dxa" w:w="120"/>
              <w:bottom w:type="dxa" w:w="60"/>
              <w:right w:type="dxa" w:w="120"/>
            </w:tcMar>
            <w:vAlign w:val="center"/>
          </w:tcPr>
          <w:p>
            <w:pPr>
              <w:jc w:val="center"/>
            </w:pPr>
            <w:r>
              <w:rPr>
                <w:b w:val="false"/>
                <w:bCs w:val="false"/>
                <w:color w:val="1F2937"/>
                <w:sz w:val="19"/>
                <w:szCs w:val="19"/>
              </w:rPr>
              <w:t xml:space="preserve">David</w:t>
            </w:r>
          </w:p>
        </w:tc>
      </w:tr>
    </w:tbl>
    <w:p>
      <w:pPr>
        <w:spacing w:after="0" w:before="2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374151" w:val="solid"/>
            <w:tcMar>
              <w:top w:type="dxa" w:w="180"/>
              <w:left w:type="dxa" w:w="300"/>
              <w:bottom w:type="dxa" w:w="180"/>
              <w:right w:type="dxa" w:w="300"/>
            </w:tcMar>
            <w:vAlign w:val="center"/>
          </w:tcPr>
          <w:p>
            <w:pPr>
              <w:spacing w:after="0" w:before="0"/>
              <w:jc w:val="center"/>
            </w:pPr>
            <w:r>
              <w:rPr>
                <w:b/>
                <w:bCs/>
                <w:color w:val="FFFFFF"/>
                <w:sz w:val="28"/>
                <w:szCs w:val="28"/>
              </w:rPr>
              <w:t xml:space="preserve">This document is for planning and legal review purposes.</w:t>
            </w:r>
          </w:p>
          <w:p>
            <w:pPr>
              <w:spacing w:after="0" w:before="60"/>
              <w:jc w:val="center"/>
            </w:pPr>
            <w:r>
              <w:rPr>
                <w:b w:val="false"/>
                <w:bCs w:val="false"/>
                <w:color w:val="FFFFFF"/>
                <w:sz w:val="20"/>
                <w:szCs w:val="20"/>
              </w:rPr>
              <w:t xml:space="preserve">All terms should be formalised in a shareholders’ agreement drafted by a qualified commercial lawyer.</w:t>
            </w:r>
          </w:p>
        </w:tc>
      </w:tr>
    </w:tbl>
    <w:p>
      <w:pPr>
        <w:spacing w:after="0" w:before="100"/>
      </w:pPr>
    </w:p>
    <w:p>
      <w:pPr>
        <w:jc w:val="center"/>
      </w:pPr>
      <w:r>
        <w:rPr>
          <w:i/>
          <w:iCs/>
          <w:color w:val="9CA3AF"/>
          <w:sz w:val="16"/>
          <w:szCs w:val="16"/>
        </w:rPr>
        <w:t xml:space="preserve">CuraLive  —  Confidential  |  Founder Transition Strategy  |  2026/03/12</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CuraLive — Founder Transition Strategy, Shareholding &amp; Patent Timeline</dc:title>
  <dc:creator>CuraLive</dc:creator>
  <cp:lastModifiedBy>Un-named</cp:lastModifiedBy>
  <cp:revision>1</cp:revision>
  <dcterms:created xsi:type="dcterms:W3CDTF">2026-03-12T18:32:00.813Z</dcterms:created>
  <dcterms:modified xsi:type="dcterms:W3CDTF">2026-03-12T18:32:00.813Z</dcterms:modified>
</cp:coreProperties>
</file>

<file path=docProps/custom.xml><?xml version="1.0" encoding="utf-8"?>
<Properties xmlns="http://schemas.openxmlformats.org/officeDocument/2006/custom-properties" xmlns:vt="http://schemas.openxmlformats.org/officeDocument/2006/docPropsVTypes"/>
</file>