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t xml:space="preserve"/>
      </w:r>
    </w:p>
    <w:p>
      <w:pPr>
        <w:spacing w:before="0" w:after="120"/>
        <w:jc w:val="center"/>
      </w:pPr>
      <w:r>
        <w:rPr>
          <w:rFonts w:ascii="Arial" w:cs="Arial" w:eastAsia="Arial" w:hAnsi="Arial"/>
          <w:b/>
          <w:bCs/>
          <w:color w:val="2E75B6"/>
          <w:sz w:val="28"/>
          <w:szCs w:val="28"/>
        </w:rPr>
        <w:t xml:space="preserve">CONTINUATION-IN-PART (CIP)</w:t>
      </w:r>
    </w:p>
    <w:p>
      <w:pPr>
        <w:spacing w:before="0" w:after="60"/>
        <w:jc w:val="center"/>
      </w:pPr>
      <w:r>
        <w:rPr>
          <w:rFonts w:ascii="Arial" w:cs="Arial" w:eastAsia="Arial" w:hAnsi="Arial"/>
          <w:b/>
          <w:bCs/>
          <w:color w:val="2E75B6"/>
          <w:sz w:val="28"/>
          <w:szCs w:val="28"/>
        </w:rPr>
        <w:t xml:space="preserve">SUPPLEMENTARY PATENT SPECIFICATION</w:t>
      </w:r>
    </w:p>
    <w:p>
      <w:pPr>
        <w:spacing w:before="0" w:after="240"/>
        <w:jc w:val="center"/>
      </w:pPr>
      <w:r>
        <w:rPr>
          <w:rFonts w:ascii="Arial" w:cs="Arial" w:eastAsia="Arial" w:hAnsi="Arial"/>
          <w:b/>
          <w:bCs/>
          <w:color w:val="1B3A6B"/>
          <w:sz w:val="26"/>
          <w:szCs w:val="26"/>
        </w:rPr>
        <w:t xml:space="preserve">Sixth Submission to CIPC</w:t>
      </w:r>
    </w:p>
    <w:p>
      <w:pPr>
        <w:pBdr>
          <w:bottom w:val="single" w:color="2E75B6" w:sz="6" w:space="1"/>
        </w:pBdr>
        <w:spacing w:before="120" w:after="120"/>
      </w:pPr>
      <w:r>
        <w:t xml:space="preserve"/>
      </w:r>
    </w:p>
    <w:p>
      <w:pPr>
        <w:spacing w:before="240" w:after="0"/>
      </w:pPr>
      <w:r>
        <w:t xml:space="preserve"/>
      </w:r>
    </w:p>
    <w:p>
      <w:pPr>
        <w:spacing w:before="0" w:after="60"/>
        <w:jc w:val="center"/>
      </w:pPr>
      <w:r>
        <w:rPr>
          <w:rFonts w:ascii="Arial" w:cs="Arial" w:eastAsia="Arial" w:hAnsi="Arial"/>
          <w:b/>
          <w:bCs/>
          <w:color w:val="1B3A6B"/>
          <w:sz w:val="40"/>
          <w:szCs w:val="40"/>
        </w:rPr>
        <w:t xml:space="preserve">CuraLive Platform</w:t>
      </w:r>
    </w:p>
    <w:p>
      <w:pPr>
        <w:spacing w:before="120" w:after="0"/>
      </w:pPr>
      <w:r>
        <w:t xml:space="preserve"/>
      </w:r>
    </w:p>
    <w:p>
      <w:pPr>
        <w:spacing w:before="0" w:after="480"/>
        <w:jc w:val="center"/>
      </w:pPr>
      <w:r>
        <w:rPr>
          <w:rFonts w:ascii="Arial" w:cs="Arial" w:eastAsia="Arial" w:hAnsi="Arial"/>
          <w:b/>
          <w:bCs/>
          <w:color w:val="1B3A6B"/>
          <w:sz w:val="26"/>
          <w:szCs w:val="26"/>
        </w:rPr>
        <w:t xml:space="preserve">Autonomous Enterprise Operating System (AEOS) with Cross-Platform Event Orchestration, Governance Gateway, Polarity-to-Priority Triage, and Predictive Jitter-Buffer Synchronization</w:t>
      </w:r>
    </w:p>
    <w:p>
      <w:pPr>
        <w:pBdr>
          <w:bottom w:val="single" w:color="2E75B6" w:sz="6" w:space="1"/>
        </w:pBdr>
        <w:spacing w:before="120" w:after="120"/>
      </w:pPr>
      <w:r>
        <w:t xml:space="preserve"/>
      </w:r>
    </w:p>
    <w:p>
      <w:pPr>
        <w:spacing w:before="3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Applicant &amp; Inventor:</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David Cameron</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Address:</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41 Rooigras Avenue, 73 Tiffani Gardens, Bassonia, 2090, Johannesburg, South Africa</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Contact:</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+27 84 444 6001</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Prepared:</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21 March 2026</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Parent Application:</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No. 1773575338868 (12 March 2026)</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Filing Authority:</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Companies and Intellectual Property Commission (CIPC)</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Jurisdiction:</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2"/>
                <w:szCs w:val="22"/>
              </w:rPr>
              <w:t xml:space="preserve">Republic of South Africa</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Production URL:</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75B6"/>
                <w:sz w:val="22"/>
                <w:szCs w:val="22"/>
              </w:rPr>
              <w:t xml:space="preserve">https://curalive-platform.replit.app</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1B3A6B"/>
                <w:sz w:val="22"/>
                <w:szCs w:val="22"/>
              </w:rPr>
              <w:t xml:space="preserve">GitHub:</w:t>
            </w:r>
          </w:p>
        </w:tc>
        <w:tc>
          <w:tcPr>
            <w:tcW w:type="dxa" w:w="6526"/>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2E75B6"/>
                <w:sz w:val="22"/>
                <w:szCs w:val="22"/>
              </w:rPr>
              <w:t xml:space="preserve">github.com/davecameron187-sys/curalive-platform</w:t>
            </w:r>
          </w:p>
        </w:tc>
      </w:tr>
    </w:tbl>
    <w:p>
      <w:pPr>
        <w:spacing w:before="480" w:after="0"/>
      </w:pPr>
      <w:r>
        <w:t xml:space="preserve"/>
      </w:r>
    </w:p>
    <w:p>
      <w:pPr>
        <w:jc w:val="center"/>
      </w:pPr>
      <w:r>
        <w:rPr>
          <w:rFonts w:ascii="Arial" w:cs="Arial" w:eastAsia="Arial" w:hAnsi="Arial"/>
          <w:i/>
          <w:iCs/>
          <w:color w:val="666666"/>
          <w:sz w:val="20"/>
          <w:szCs w:val="20"/>
        </w:rPr>
        <w:t xml:space="preserve">Document Classification: Confidential — Patent Filing Support Material</w:t>
      </w:r>
    </w:p>
    <w:p>
      <w:r>
        <w:br w:type="page"/>
      </w:r>
    </w:p>
    <w:p>
      <w:pPr>
        <w:pStyle w:val="Heading1"/>
        <w:spacing w:before="360" w:after="120"/>
      </w:pPr>
      <w:r>
        <w:rPr>
          <w:rFonts w:ascii="Arial" w:cs="Arial" w:eastAsia="Arial" w:hAnsi="Arial"/>
          <w:b/>
          <w:bCs/>
          <w:color w:val="1B3A6B"/>
          <w:sz w:val="32"/>
          <w:szCs w:val="32"/>
        </w:rPr>
        <w:t xml:space="preserve">1. Title of Invention</w:t>
      </w:r>
    </w:p>
    <w:p>
      <w:pPr>
        <w:spacing w:before="60" w:after="100"/>
        <w:jc w:val="both"/>
      </w:pPr>
      <w:r>
        <w:rPr>
          <w:rFonts w:ascii="Arial" w:cs="Arial" w:eastAsia="Arial" w:hAnsi="Arial"/>
          <w:color w:val="000000"/>
          <w:sz w:val="22"/>
          <w:szCs w:val="22"/>
        </w:rPr>
        <w:t xml:space="preserve">System and Method for Autonomous Intelligence Orchestration, Self-Healing Regulatory Compliance, Multi-Event Integrity Certification, Autonomous Agent Swarm Command, Real-Time Valuation Simulation, Self-Auditing Investor Engagement ROI, Autonomous IR Assistant Layer, Autonomous Live Q&amp;A Intelligence Engine, and Autonomous Enterprise Operating System (AEOS) with Cross-Platform Event Orchestration, Governance Gateway, Polarity-to-Priority Triage, Predictive Jitter-Buffer Synchronization, Quote-to-Cash Financial Nervous System, and Organizational Digital Twin for Investor Communication Events</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2. Abstract</w:t>
      </w:r>
    </w:p>
    <w:p>
      <w:pPr>
        <w:spacing w:before="60" w:after="100"/>
        <w:jc w:val="both"/>
      </w:pPr>
      <w:r>
        <w:rPr>
          <w:rFonts w:ascii="Arial" w:cs="Arial" w:eastAsia="Arial" w:hAnsi="Arial"/>
          <w:color w:val="000000"/>
          <w:sz w:val="22"/>
          <w:szCs w:val="22"/>
        </w:rPr>
        <w:t xml:space="preserve">This Continuation-in-Part (CIP) Submission 6 extends the parent provisional (12 March 2026) and prior CIP submissions with cross-platform event orchestration, autonomous governance gateways, sentiment-weighted triage logic, predictive jitter-buffer synchronization, and the new Autonomous Enterprise Operating System (AEOS) — Module 32.</w:t>
      </w:r>
    </w:p>
    <w:p>
      <w:pPr>
        <w:spacing w:before="80" w:after="0"/>
      </w:pPr>
      <w:r>
        <w:t xml:space="preserve"/>
      </w:r>
    </w:p>
    <w:p>
      <w:pPr>
        <w:spacing w:before="60" w:after="100"/>
        <w:jc w:val="both"/>
      </w:pPr>
      <w:r>
        <w:rPr>
          <w:rFonts w:ascii="Arial" w:cs="Arial" w:eastAsia="Arial" w:hAnsi="Arial"/>
          <w:color w:val="000000"/>
          <w:sz w:val="22"/>
          <w:szCs w:val="22"/>
        </w:rPr>
        <w:t xml:space="preserve">The system introduces:</w:t>
      </w:r>
    </w:p>
    <w:p>
      <w:pPr>
        <w:pStyle w:val="ListParagraph"/>
        <w:numPr>
          <w:ilvl w:val="0"/>
          <w:numId w:val="2"/>
        </w:numPr>
        <w:spacing w:before="40" w:after="40"/>
      </w:pPr>
      <w:r>
        <w:rPr>
          <w:rFonts w:ascii="Arial" w:cs="Arial" w:eastAsia="Arial" w:hAnsi="Arial"/>
          <w:color w:val="000000"/>
          <w:sz w:val="22"/>
          <w:szCs w:val="22"/>
        </w:rPr>
        <w:t xml:space="preserve">A Programmatic DTMF Handshake Protocol enabling autonomous silent bridge entry on any telephony platform (PSTN, VoIP, WebRTC) with dual-carrier failover and IVR auto-admit.</w:t>
      </w:r>
    </w:p>
    <w:p>
      <w:pPr>
        <w:pStyle w:val="ListParagraph"/>
        <w:numPr>
          <w:ilvl w:val="0"/>
          <w:numId w:val="2"/>
        </w:numPr>
        <w:spacing w:before="40" w:after="40"/>
      </w:pPr>
      <w:r>
        <w:rPr>
          <w:rFonts w:ascii="Arial" w:cs="Arial" w:eastAsia="Arial" w:hAnsi="Arial"/>
          <w:color w:val="000000"/>
          <w:sz w:val="22"/>
          <w:szCs w:val="22"/>
        </w:rPr>
        <w:t xml:space="preserve">A Cross-Platform Control Translation Layer that maps Q&amp;A attendee identifiers to native conferencing participant IDs for remote audio state control (mute, unmute, spotlight) via Microsoft Graph, Zoom REST, and Webex APIs.</w:t>
      </w:r>
    </w:p>
    <w:p>
      <w:pPr>
        <w:pStyle w:val="ListParagraph"/>
        <w:numPr>
          <w:ilvl w:val="0"/>
          <w:numId w:val="2"/>
        </w:numPr>
        <w:spacing w:before="40" w:after="40"/>
      </w:pPr>
      <w:r>
        <w:rPr>
          <w:rFonts w:ascii="Arial" w:cs="Arial" w:eastAsia="Arial" w:hAnsi="Arial"/>
          <w:color w:val="000000"/>
          <w:sz w:val="22"/>
          <w:szCs w:val="22"/>
        </w:rPr>
        <w:t xml:space="preserve">A Metadata-Triggered State Authorization system (the 'Go Live Gate') where participant unmute commands are only authorised when the Q&amp;A submission achieves a minimum Triage Score (default: 40/100) and passes real-time multi-jurisdictional compliance screening (risk ceiling: 70/100).</w:t>
      </w:r>
    </w:p>
    <w:p>
      <w:pPr>
        <w:pStyle w:val="ListParagraph"/>
        <w:numPr>
          <w:ilvl w:val="0"/>
          <w:numId w:val="2"/>
        </w:numPr>
        <w:spacing w:before="40" w:after="40"/>
      </w:pPr>
      <w:r>
        <w:rPr>
          <w:rFonts w:ascii="Arial" w:cs="Arial" w:eastAsia="Arial" w:hAnsi="Arial"/>
          <w:color w:val="000000"/>
          <w:sz w:val="22"/>
          <w:szCs w:val="22"/>
        </w:rPr>
        <w:t xml:space="preserve">An Autonomous Governance Gateway that subjects all AI-generated tools to four deterministic safety criteria — stability score, consistent observations, failure rate, and compliance boundary — with SHA-256 hash-chained audit logging of every governance decision.</w:t>
      </w:r>
    </w:p>
    <w:p>
      <w:pPr>
        <w:pStyle w:val="ListParagraph"/>
        <w:numPr>
          <w:ilvl w:val="0"/>
          <w:numId w:val="2"/>
        </w:numPr>
        <w:spacing w:before="40" w:after="40"/>
      </w:pPr>
      <w:r>
        <w:rPr>
          <w:rFonts w:ascii="Arial" w:cs="Arial" w:eastAsia="Arial" w:hAnsi="Arial"/>
          <w:color w:val="000000"/>
          <w:sz w:val="22"/>
          <w:szCs w:val="22"/>
        </w:rPr>
        <w:t xml:space="preserve">A Polarity-to-Priority (P2P) Algorithm that calculates priority rank by cross-referencing sentiment polarity with disclosure urgency: P2P Rank = (Polarity Weight x 0.40) + (Normalized Polarity Score x 0.25) + (Normalized Disclosure Urgency x 0.35).</w:t>
      </w:r>
    </w:p>
    <w:p>
      <w:pPr>
        <w:pStyle w:val="ListParagraph"/>
        <w:numPr>
          <w:ilvl w:val="0"/>
          <w:numId w:val="2"/>
        </w:numPr>
        <w:spacing w:before="40" w:after="40"/>
      </w:pPr>
      <w:r>
        <w:rPr>
          <w:rFonts w:ascii="Arial" w:cs="Arial" w:eastAsia="Arial" w:hAnsi="Arial"/>
          <w:color w:val="000000"/>
          <w:sz w:val="22"/>
          <w:szCs w:val="22"/>
        </w:rPr>
        <w:t xml:space="preserve">A Predictive Jitter-Buffer Synchronization method that aligns real-time transcripts with high-latency telephony bridges by computing a rolling 50-sample delta-time adjusted timestamp per session.</w:t>
      </w:r>
    </w:p>
    <w:p>
      <w:pPr>
        <w:pStyle w:val="ListParagraph"/>
        <w:numPr>
          <w:ilvl w:val="0"/>
          <w:numId w:val="2"/>
        </w:numPr>
        <w:spacing w:before="40" w:after="40"/>
      </w:pPr>
      <w:r>
        <w:rPr>
          <w:rFonts w:ascii="Arial" w:cs="Arial" w:eastAsia="Arial" w:hAnsi="Arial"/>
          <w:color w:val="000000"/>
          <w:sz w:val="22"/>
          <w:szCs w:val="22"/>
        </w:rPr>
        <w:t xml:space="preserve">Module 32 — the Autonomous Enterprise Operating System (AEOS) — comprising a Deterministic Financial State Machine (Quote-to-Cash), an Organizational Digital Twin Knowledge Graph, Predictive Resource Allocation, Sovereign Data Architecture, and an AGI-Ready Modal-Agnostic Semantic API.</w:t>
      </w:r>
    </w:p>
    <w:p>
      <w:pPr>
        <w:spacing w:before="80" w:after="0"/>
      </w:pPr>
      <w:r>
        <w:t xml:space="preserve"/>
      </w:r>
    </w:p>
    <w:p>
      <w:pPr>
        <w:spacing w:before="60" w:after="100"/>
        <w:jc w:val="both"/>
      </w:pPr>
      <w:r>
        <w:rPr>
          <w:rFonts w:ascii="Arial" w:cs="Arial" w:eastAsia="Arial" w:hAnsi="Arial"/>
          <w:color w:val="000000"/>
          <w:sz w:val="22"/>
          <w:szCs w:val="22"/>
        </w:rPr>
        <w:t xml:space="preserve">This submission adds 20 new claims (Claims 56–75), extending the patent to 75 total claims across 32 modules and 35 figures.</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3. Cross-Reference to Related Applications</w:t>
      </w:r>
    </w:p>
    <w:p>
      <w:pPr>
        <w:spacing w:before="60" w:after="100"/>
        <w:jc w:val="both"/>
      </w:pPr>
      <w:r>
        <w:rPr>
          <w:rFonts w:ascii="Arial" w:cs="Arial" w:eastAsia="Arial" w:hAnsi="Arial"/>
          <w:color w:val="000000"/>
          <w:sz w:val="22"/>
          <w:szCs w:val="22"/>
        </w:rPr>
        <w:t xml:space="preserve">All prior disclosures are incorporated by reference in their entirety. The filing history is as follows: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37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Application ID</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Filing Date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1773575338868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March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Provisional — Modules 1–13, 25 Claims, 12 Figures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CIP Submission 2</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16 March 2026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Filed</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 19–27 — Claims 26–33, 8 Figures (FIG 13–20)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CIP Submission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March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28 — Claims 34–43, 7 Figures (FIG 21–27)</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CIP Submission 4</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19 March 2026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Filed</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30 — Claims 44–45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CIP Submission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March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31 — Claims 46–55, 3 Figures (FIG 28–30)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This Filing (CIP 6)</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21 March 2026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32 + 6 Cross-Cutting Innovations — Claims 56–75, FIG 31–35</w:t>
            </w:r>
          </w:p>
        </w:tc>
      </w:tr>
    </w:tbl>
    <w:p>
      <w:pPr>
        <w:spacing w:before="120" w:after="0"/>
      </w:pPr>
      <w:r>
        <w:t xml:space="preserve"/>
      </w:r>
    </w:p>
    <w:p>
      <w:pPr>
        <w:pStyle w:val="Heading1"/>
        <w:spacing w:before="360" w:after="120"/>
      </w:pPr>
      <w:r>
        <w:rPr>
          <w:rFonts w:ascii="Arial" w:cs="Arial" w:eastAsia="Arial" w:hAnsi="Arial"/>
          <w:b/>
          <w:bCs/>
          <w:color w:val="1B3A6B"/>
          <w:sz w:val="32"/>
          <w:szCs w:val="32"/>
        </w:rPr>
        <w:t xml:space="preserve">4. Field of the Invention</w:t>
      </w:r>
    </w:p>
    <w:p>
      <w:pPr>
        <w:spacing w:before="60" w:after="100"/>
        <w:jc w:val="both"/>
      </w:pPr>
      <w:r>
        <w:rPr>
          <w:rFonts w:ascii="Arial" w:cs="Arial" w:eastAsia="Arial" w:hAnsi="Arial"/>
          <w:color w:val="000000"/>
          <w:sz w:val="22"/>
          <w:szCs w:val="22"/>
        </w:rPr>
        <w:t xml:space="preserve">This invention relates to the field of automated regulatory compliance, generative artificial intelligence, and telecommunications. Specifically, it relates to an autonomous system for the real-time monitoring and active orchestration of communication bridges using programmatic telephony, self-correcting algorithmic logic, and cross-platform API synchronization, now extended to a full Autonomous Enterprise Operating System encompassing financial lifecycle management, organizational intelligence, and AGI-ready platform architecture.</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5. Relationship to Parent and Prior CIP Specifications</w:t>
      </w:r>
    </w:p>
    <w:p>
      <w:pPr>
        <w:pStyle w:val="Heading2"/>
        <w:spacing w:before="280" w:after="80"/>
      </w:pPr>
      <w:r>
        <w:rPr>
          <w:rFonts w:ascii="Arial" w:cs="Arial" w:eastAsia="Arial" w:hAnsi="Arial"/>
          <w:b/>
          <w:bCs/>
          <w:color w:val="2E75B6"/>
          <w:sz w:val="26"/>
          <w:szCs w:val="26"/>
        </w:rPr>
        <w:t xml:space="preserve">5.1 Parent Provisional Specification (Application ID 1773575338868, filed 12 March 2026)</w:t>
      </w:r>
    </w:p>
    <w:p>
      <w:pPr>
        <w:spacing w:before="60" w:after="100"/>
        <w:jc w:val="both"/>
      </w:pPr>
      <w:r>
        <w:rPr>
          <w:rFonts w:ascii="Arial" w:cs="Arial" w:eastAsia="Arial" w:hAnsi="Arial"/>
          <w:color w:val="000000"/>
          <w:sz w:val="22"/>
          <w:szCs w:val="22"/>
        </w:rPr>
        <w:t xml:space="preserve">Disclosed 13 subsystems (Modules 1–13) with 25 independent claims and 12 figures covering real-time event monitoring, AI communication analysis, cross-platform capture via silent agents, OCC operator integration, anonymised benchmarking, autonomous compliance intervention, self-improving models, predictive intelligence, communication indexes, autonomous event intervention, and autonomous self-evolving platform intelligence.</w:t>
      </w:r>
    </w:p>
    <w:p>
      <w:pPr>
        <w:pStyle w:val="Heading2"/>
        <w:spacing w:before="280" w:after="80"/>
      </w:pPr>
      <w:r>
        <w:rPr>
          <w:rFonts w:ascii="Arial" w:cs="Arial" w:eastAsia="Arial" w:hAnsi="Arial"/>
          <w:b/>
          <w:bCs/>
          <w:color w:val="2E75B6"/>
          <w:sz w:val="26"/>
          <w:szCs w:val="26"/>
        </w:rPr>
        <w:t xml:space="preserve">5.2 CIP Submission 2 (filed 16 March 2026)</w:t>
      </w:r>
    </w:p>
    <w:p>
      <w:pPr>
        <w:spacing w:before="60" w:after="100"/>
        <w:jc w:val="both"/>
      </w:pPr>
      <w:r>
        <w:rPr>
          <w:rFonts w:ascii="Arial" w:cs="Arial" w:eastAsia="Arial" w:hAnsi="Arial"/>
          <w:color w:val="000000"/>
          <w:sz w:val="22"/>
          <w:szCs w:val="22"/>
        </w:rPr>
        <w:t xml:space="preserve">Extended the parent with 9 autonomous modules (Modules 19–27) adding 8 new independent claims (Claims 26–33) and 8 new figures (FIG 13–20).</w:t>
      </w:r>
    </w:p>
    <w:p>
      <w:pPr>
        <w:pStyle w:val="Heading2"/>
        <w:spacing w:before="280" w:after="80"/>
      </w:pPr>
      <w:r>
        <w:rPr>
          <w:rFonts w:ascii="Arial" w:cs="Arial" w:eastAsia="Arial" w:hAnsi="Arial"/>
          <w:b/>
          <w:bCs/>
          <w:color w:val="2E75B6"/>
          <w:sz w:val="26"/>
          <w:szCs w:val="26"/>
        </w:rPr>
        <w:t xml:space="preserve">5.3 CIP Submission 3 (filed 18 March 2026)</w:t>
      </w:r>
    </w:p>
    <w:p>
      <w:pPr>
        <w:spacing w:before="60" w:after="100"/>
        <w:jc w:val="both"/>
      </w:pPr>
      <w:r>
        <w:rPr>
          <w:rFonts w:ascii="Arial" w:cs="Arial" w:eastAsia="Arial" w:hAnsi="Arial"/>
          <w:color w:val="000000"/>
          <w:sz w:val="22"/>
          <w:szCs w:val="22"/>
        </w:rPr>
        <w:t xml:space="preserve">Added Module 28 (Autonomous AI Self-Evolution Engine with Algorithmic Evidence Scoring) comprising six novel algorithms: Module Quality Scoring, Evidence Decay Function, Cross-Event Correlation Engine, Autonomous Promotion Pipeline, Gap Detection Matrix, and Impact Estimation Model. Contributed 10 new claims (Claims 34–43) and 7 new figures (FIG 21–27).</w:t>
      </w:r>
    </w:p>
    <w:p>
      <w:pPr>
        <w:pStyle w:val="Heading2"/>
        <w:spacing w:before="280" w:after="80"/>
      </w:pPr>
      <w:r>
        <w:rPr>
          <w:rFonts w:ascii="Arial" w:cs="Arial" w:eastAsia="Arial" w:hAnsi="Arial"/>
          <w:b/>
          <w:bCs/>
          <w:color w:val="2E75B6"/>
          <w:sz w:val="26"/>
          <w:szCs w:val="26"/>
        </w:rPr>
        <w:t xml:space="preserve">5.4 CIP Submission 4 (filed 19 March 2026)</w:t>
      </w:r>
    </w:p>
    <w:p>
      <w:pPr>
        <w:spacing w:before="60" w:after="100"/>
        <w:jc w:val="both"/>
      </w:pPr>
      <w:r>
        <w:rPr>
          <w:rFonts w:ascii="Arial" w:cs="Arial" w:eastAsia="Arial" w:hAnsi="Arial"/>
          <w:color w:val="000000"/>
          <w:sz w:val="22"/>
          <w:szCs w:val="22"/>
        </w:rPr>
        <w:t xml:space="preserve">Added Module 30 (Autonomous IR Assistant Layer), contributing 2 new claims (Claims 44–45). Note: CIP Submission 4 also originally disclosed an Autonomous Self-Expansion Engine concept. The full capabilities of that concept are subsumed within the AGI Tool Generator and AGI Corporate Compliance Layer components of Module 31 as defined in CIP Submission 5. All matter disclosed in CIP Submission 4 remains in full force.</w:t>
      </w:r>
    </w:p>
    <w:p>
      <w:pPr>
        <w:pStyle w:val="Heading2"/>
        <w:spacing w:before="280" w:after="80"/>
      </w:pPr>
      <w:r>
        <w:rPr>
          <w:rFonts w:ascii="Arial" w:cs="Arial" w:eastAsia="Arial" w:hAnsi="Arial"/>
          <w:b/>
          <w:bCs/>
          <w:color w:val="2E75B6"/>
          <w:sz w:val="26"/>
          <w:szCs w:val="26"/>
        </w:rPr>
        <w:t xml:space="preserve">5.5 CIP Submission 5 (filed 20 March 2026)</w:t>
      </w:r>
    </w:p>
    <w:p>
      <w:pPr>
        <w:spacing w:before="60" w:after="100"/>
        <w:jc w:val="both"/>
      </w:pPr>
      <w:r>
        <w:rPr>
          <w:rFonts w:ascii="Arial" w:cs="Arial" w:eastAsia="Arial" w:hAnsi="Arial"/>
          <w:color w:val="000000"/>
          <w:sz w:val="22"/>
          <w:szCs w:val="22"/>
        </w:rPr>
        <w:t xml:space="preserve">Added Module 31 (Autonomous Live Q&amp;A Intelligence Engine with AGI Tool Generator, AGI Corporate Compliance Layer, and Platform Integration), contributing 10 new claims (Claims 46–55) and 3 new figures (FIG 28–30).</w:t>
      </w:r>
    </w:p>
    <w:p>
      <w:pPr>
        <w:pStyle w:val="Heading2"/>
        <w:spacing w:before="280" w:after="80"/>
      </w:pPr>
      <w:r>
        <w:rPr>
          <w:rFonts w:ascii="Arial" w:cs="Arial" w:eastAsia="Arial" w:hAnsi="Arial"/>
          <w:b/>
          <w:bCs/>
          <w:color w:val="2E75B6"/>
          <w:sz w:val="26"/>
          <w:szCs w:val="26"/>
        </w:rPr>
        <w:t xml:space="preserve">5.6 This Filing — CIP Submission 6 (21 March 2026)</w:t>
      </w:r>
    </w:p>
    <w:p>
      <w:pPr>
        <w:spacing w:before="60" w:after="100"/>
        <w:jc w:val="both"/>
      </w:pPr>
      <w:r>
        <w:rPr>
          <w:rFonts w:ascii="Arial" w:cs="Arial" w:eastAsia="Arial" w:hAnsi="Arial"/>
          <w:color w:val="000000"/>
          <w:sz w:val="22"/>
          <w:szCs w:val="22"/>
        </w:rPr>
        <w:t xml:space="preserve">Introduces Module 32 (Autonomous Enterprise Operating System) and 6 cross-cutting innovations spanning programmatic telephony, cross-platform orchestration, metadata-triggered authorization, autonomous governance, sentiment-weighted triage, and network-latency compensation. The AEOS is a capstone innovation that unifies the entire platform into a self-thinking enterprise system, governing the complete lifecycle from client booking through event delivery to financial reconciliation and organizational intelligence. This submission adds 20 new claims (Claims 56–75), extending the patent to 75 total claims across 32 modules.</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6. Background of the Invention (Updated)</w:t>
      </w:r>
    </w:p>
    <w:p>
      <w:pPr>
        <w:pStyle w:val="Heading2"/>
        <w:spacing w:before="280" w:after="80"/>
      </w:pPr>
      <w:r>
        <w:rPr>
          <w:rFonts w:ascii="Arial" w:cs="Arial" w:eastAsia="Arial" w:hAnsi="Arial"/>
          <w:b/>
          <w:bCs/>
          <w:color w:val="2E75B6"/>
          <w:sz w:val="26"/>
          <w:szCs w:val="26"/>
        </w:rPr>
        <w:t xml:space="preserve">6.1 Current State of the Art</w:t>
      </w:r>
    </w:p>
    <w:p>
      <w:pPr>
        <w:spacing w:before="60" w:after="100"/>
        <w:jc w:val="both"/>
      </w:pPr>
      <w:r>
        <w:rPr>
          <w:rFonts w:ascii="Arial" w:cs="Arial" w:eastAsia="Arial" w:hAnsi="Arial"/>
          <w:b/>
          <w:bCs/>
          <w:color w:val="000000"/>
          <w:sz w:val="22"/>
          <w:szCs w:val="22"/>
        </w:rPr>
        <w:t xml:space="preserve">Operator-Managed Conference Platforms (Chorus Call, Lumi): </w:t>
      </w:r>
      <w:r>
        <w:rPr>
          <w:rFonts w:ascii="Arial" w:cs="Arial" w:eastAsia="Arial" w:hAnsi="Arial"/>
          <w:color w:val="000000"/>
          <w:sz w:val="22"/>
          <w:szCs w:val="22"/>
        </w:rPr>
        <w:t xml:space="preserve">Require dedicated conferencing infrastructure. Operators manage calls through proprietary switchboards that do not integrate with client platforms. No AI-powered question screening, no autonomous compliance monitoring, no cross-platform identity mapping between external Q&amp;A systems and native participant rosters.</w:t>
      </w:r>
    </w:p>
    <w:p>
      <w:pPr>
        <w:spacing w:before="60" w:after="100"/>
        <w:jc w:val="both"/>
      </w:pPr>
      <w:r>
        <w:rPr>
          <w:rFonts w:ascii="Arial" w:cs="Arial" w:eastAsia="Arial" w:hAnsi="Arial"/>
          <w:b/>
          <w:bCs/>
          <w:color w:val="000000"/>
          <w:sz w:val="22"/>
          <w:szCs w:val="22"/>
        </w:rPr>
        <w:t xml:space="preserve">Conference Platforms (Microsoft Teams, Zoom, Webex): </w:t>
      </w:r>
      <w:r>
        <w:rPr>
          <w:rFonts w:ascii="Arial" w:cs="Arial" w:eastAsia="Arial" w:hAnsi="Arial"/>
          <w:color w:val="000000"/>
          <w:sz w:val="22"/>
          <w:szCs w:val="22"/>
        </w:rPr>
        <w:t xml:space="preserve">Provide native Q&amp;A and raise-hand features. No AI triage scoring, no compliance risk threshold, no mathematical authorization gate. Mute/unmute control is limited to platform-native interfaces with no programmatic access from external systems.</w:t>
      </w:r>
    </w:p>
    <w:p>
      <w:pPr>
        <w:spacing w:before="60" w:after="100"/>
        <w:jc w:val="both"/>
      </w:pPr>
      <w:r>
        <w:rPr>
          <w:rFonts w:ascii="Arial" w:cs="Arial" w:eastAsia="Arial" w:hAnsi="Arial"/>
          <w:b/>
          <w:bCs/>
          <w:color w:val="000000"/>
          <w:sz w:val="22"/>
          <w:szCs w:val="22"/>
        </w:rPr>
        <w:t xml:space="preserve">AI Transcription Services (Otter.ai, Rev, Deepgram, AssemblyAI): </w:t>
      </w:r>
      <w:r>
        <w:rPr>
          <w:rFonts w:ascii="Arial" w:cs="Arial" w:eastAsia="Arial" w:hAnsi="Arial"/>
          <w:color w:val="000000"/>
          <w:sz w:val="22"/>
          <w:szCs w:val="22"/>
        </w:rPr>
        <w:t xml:space="preserve">Provide post-hoc or near-real-time transcription. No per-session jitter-buffer state, no rolling statistical latency model, no aligned timestamp computation for telephony bridges, no temporal synchronization between audio signal arrival and transcript generation.</w:t>
      </w:r>
    </w:p>
    <w:p>
      <w:pPr>
        <w:spacing w:before="60" w:after="100"/>
        <w:jc w:val="both"/>
      </w:pPr>
      <w:r>
        <w:rPr>
          <w:rFonts w:ascii="Arial" w:cs="Arial" w:eastAsia="Arial" w:hAnsi="Arial"/>
          <w:b/>
          <w:bCs/>
          <w:color w:val="000000"/>
          <w:sz w:val="22"/>
          <w:szCs w:val="22"/>
        </w:rPr>
        <w:t xml:space="preserve">Enterprise Management Tools (Salesforce, HubSpot, Xero): </w:t>
      </w:r>
      <w:r>
        <w:rPr>
          <w:rFonts w:ascii="Arial" w:cs="Arial" w:eastAsia="Arial" w:hAnsi="Arial"/>
          <w:color w:val="000000"/>
          <w:sz w:val="22"/>
          <w:szCs w:val="22"/>
        </w:rPr>
        <w:t xml:space="preserve">Provide CRM, invoicing, and accounting as separate products with no autonomous integration. No deterministic Quote-to-Cash state machine, no event-triggered invoicing, no self-healing bank reconciliation using SHA-256 hash matching, no organizational knowledge graph, and no predictive resource allocation tied to live event intelligence.</w:t>
      </w:r>
    </w:p>
    <w:p>
      <w:pPr>
        <w:spacing w:before="60" w:after="100"/>
        <w:jc w:val="both"/>
      </w:pPr>
      <w:r>
        <w:rPr>
          <w:rFonts w:ascii="Arial" w:cs="Arial" w:eastAsia="Arial" w:hAnsi="Arial"/>
          <w:b/>
          <w:bCs/>
          <w:color w:val="000000"/>
          <w:sz w:val="22"/>
          <w:szCs w:val="22"/>
        </w:rPr>
        <w:t xml:space="preserve">AI Governance Frameworks (MLflow, LangSmith, LangFuse, Weights &amp; Biases): </w:t>
      </w:r>
      <w:r>
        <w:rPr>
          <w:rFonts w:ascii="Arial" w:cs="Arial" w:eastAsia="Arial" w:hAnsi="Arial"/>
          <w:color w:val="000000"/>
          <w:sz w:val="22"/>
          <w:szCs w:val="22"/>
        </w:rPr>
        <w:t xml:space="preserve">Track model performance metrics and require human analysts to act on insights. No deterministic safety gate that prevents AI-generated tools from reaching production. No four-criterion stability validation, no elevated threshold for compliance-critical modules.</w:t>
      </w:r>
    </w:p>
    <w:p>
      <w:pPr>
        <w:pStyle w:val="Heading2"/>
        <w:spacing w:before="280" w:after="80"/>
      </w:pPr>
      <w:r>
        <w:rPr>
          <w:rFonts w:ascii="Arial" w:cs="Arial" w:eastAsia="Arial" w:hAnsi="Arial"/>
          <w:b/>
          <w:bCs/>
          <w:color w:val="2E75B6"/>
          <w:sz w:val="26"/>
          <w:szCs w:val="26"/>
        </w:rPr>
        <w:t xml:space="preserve">6.2 Unsolved Problems</w:t>
      </w:r>
    </w:p>
    <w:p>
      <w:pPr>
        <w:spacing w:before="60" w:after="100"/>
        <w:jc w:val="both"/>
      </w:pPr>
      <w:r>
        <w:rPr>
          <w:rFonts w:ascii="Arial" w:cs="Arial" w:eastAsia="Arial" w:hAnsi="Arial"/>
          <w:color w:val="000000"/>
          <w:sz w:val="22"/>
          <w:szCs w:val="22"/>
        </w:rPr>
        <w:t xml:space="preserve">No known system in any domain combines all of the following in a single closed-loop platform:</w:t>
      </w:r>
    </w:p>
    <w:p>
      <w:pPr>
        <w:pStyle w:val="ListParagraph"/>
        <w:numPr>
          <w:ilvl w:val="0"/>
          <w:numId w:val="2"/>
        </w:numPr>
        <w:spacing w:before="40" w:after="40"/>
      </w:pPr>
      <w:r>
        <w:rPr>
          <w:rFonts w:ascii="Arial" w:cs="Arial" w:eastAsia="Arial" w:hAnsi="Arial"/>
          <w:color w:val="000000"/>
          <w:sz w:val="22"/>
          <w:szCs w:val="22"/>
        </w:rPr>
        <w:t xml:space="preserve">Programmatic autonomous entry into third-party telephony bridges using a DTMF handshake sequence, with dual-carrier failover, for persistent silent monitoring</w:t>
      </w:r>
    </w:p>
    <w:p>
      <w:pPr>
        <w:pStyle w:val="ListParagraph"/>
        <w:numPr>
          <w:ilvl w:val="0"/>
          <w:numId w:val="2"/>
        </w:numPr>
        <w:spacing w:before="40" w:after="40"/>
      </w:pPr>
      <w:r>
        <w:rPr>
          <w:rFonts w:ascii="Arial" w:cs="Arial" w:eastAsia="Arial" w:hAnsi="Arial"/>
          <w:color w:val="000000"/>
          <w:sz w:val="22"/>
          <w:szCs w:val="22"/>
        </w:rPr>
        <w:t xml:space="preserve">Cross-platform identity mapping between an external Q&amp;A submission database and native conferencing participant rosters (Teams, Zoom, Webex), enabling remote audio state control from a non-native interface</w:t>
      </w:r>
    </w:p>
    <w:p>
      <w:pPr>
        <w:pStyle w:val="ListParagraph"/>
        <w:numPr>
          <w:ilvl w:val="0"/>
          <w:numId w:val="2"/>
        </w:numPr>
        <w:spacing w:before="40" w:after="40"/>
      </w:pPr>
      <w:r>
        <w:rPr>
          <w:rFonts w:ascii="Arial" w:cs="Arial" w:eastAsia="Arial" w:hAnsi="Arial"/>
          <w:color w:val="000000"/>
          <w:sz w:val="22"/>
          <w:szCs w:val="22"/>
        </w:rPr>
        <w:t xml:space="preserve">Metadata-triggered authorization where AI triage scores and compliance clearance thresholds jointly determine whether a participant may be unmuted on a live call</w:t>
      </w:r>
    </w:p>
    <w:p>
      <w:pPr>
        <w:pStyle w:val="ListParagraph"/>
        <w:numPr>
          <w:ilvl w:val="0"/>
          <w:numId w:val="2"/>
        </w:numPr>
        <w:spacing w:before="40" w:after="40"/>
      </w:pPr>
      <w:r>
        <w:rPr>
          <w:rFonts w:ascii="Arial" w:cs="Arial" w:eastAsia="Arial" w:hAnsi="Arial"/>
          <w:color w:val="000000"/>
          <w:sz w:val="22"/>
          <w:szCs w:val="22"/>
        </w:rPr>
        <w:t xml:space="preserve">An autonomous governance gateway that prevents AI-generated tools from deploying to production until they pass four deterministic stability criteria, with an elevated threshold for compliance-critical modules</w:t>
      </w:r>
    </w:p>
    <w:p>
      <w:pPr>
        <w:pStyle w:val="ListParagraph"/>
        <w:numPr>
          <w:ilvl w:val="0"/>
          <w:numId w:val="2"/>
        </w:numPr>
        <w:spacing w:before="40" w:after="40"/>
      </w:pPr>
      <w:r>
        <w:rPr>
          <w:rFonts w:ascii="Arial" w:cs="Arial" w:eastAsia="Arial" w:hAnsi="Arial"/>
          <w:color w:val="000000"/>
          <w:sz w:val="22"/>
          <w:szCs w:val="22"/>
        </w:rPr>
        <w:t xml:space="preserve">A mathematical Polarity-to-Priority algorithm that cross-references sentiment polarity with disclosure urgency to rank live Q&amp;A inquiries in real time</w:t>
      </w:r>
    </w:p>
    <w:p>
      <w:pPr>
        <w:pStyle w:val="ListParagraph"/>
        <w:numPr>
          <w:ilvl w:val="0"/>
          <w:numId w:val="2"/>
        </w:numPr>
        <w:spacing w:before="40" w:after="40"/>
      </w:pPr>
      <w:r>
        <w:rPr>
          <w:rFonts w:ascii="Arial" w:cs="Arial" w:eastAsia="Arial" w:hAnsi="Arial"/>
          <w:color w:val="000000"/>
          <w:sz w:val="22"/>
          <w:szCs w:val="22"/>
        </w:rPr>
        <w:t xml:space="preserve">Predictive jitter-buffer synchronization that aligns real-time transcripts with high-latency telephony audio using a rolling statistical model</w:t>
      </w:r>
    </w:p>
    <w:p>
      <w:pPr>
        <w:pStyle w:val="ListParagraph"/>
        <w:numPr>
          <w:ilvl w:val="0"/>
          <w:numId w:val="2"/>
        </w:numPr>
        <w:spacing w:before="40" w:after="40"/>
      </w:pPr>
      <w:r>
        <w:rPr>
          <w:rFonts w:ascii="Arial" w:cs="Arial" w:eastAsia="Arial" w:hAnsi="Arial"/>
          <w:color w:val="000000"/>
          <w:sz w:val="22"/>
          <w:szCs w:val="22"/>
        </w:rPr>
        <w:t xml:space="preserve">A fully autonomous Quote-to-Cash lifecycle with deterministic financial state machine, event-triggered invoicing, cryptographic signing, and self-healing bank reconciliation</w:t>
      </w:r>
    </w:p>
    <w:p>
      <w:pPr>
        <w:pStyle w:val="ListParagraph"/>
        <w:numPr>
          <w:ilvl w:val="0"/>
          <w:numId w:val="2"/>
        </w:numPr>
        <w:spacing w:before="40" w:after="40"/>
      </w:pPr>
      <w:r>
        <w:rPr>
          <w:rFonts w:ascii="Arial" w:cs="Arial" w:eastAsia="Arial" w:hAnsi="Arial"/>
          <w:color w:val="000000"/>
          <w:sz w:val="22"/>
          <w:szCs w:val="22"/>
        </w:rPr>
        <w:t xml:space="preserve">An Organizational Digital Twin knowledge graph that stores company personality, history, and goals for predictive resource allocation and crisis brief generation, weighted by a temporal decay function</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7. Summary of the Invention (Updated)</w:t>
      </w:r>
    </w:p>
    <w:p>
      <w:pPr>
        <w:spacing w:before="60" w:after="100"/>
        <w:jc w:val="both"/>
      </w:pPr>
      <w:r>
        <w:rPr>
          <w:rFonts w:ascii="Arial" w:cs="Arial" w:eastAsia="Arial" w:hAnsi="Arial"/>
          <w:color w:val="000000"/>
          <w:sz w:val="22"/>
          <w:szCs w:val="22"/>
        </w:rPr>
        <w:t xml:space="preserve">With this CIP Submission 6, the platform now comprises 32 interconnected subsystems with 75 claims across 35 figures. This filing introduces six cross-cutting innovations plus the new Autonomous Enterprise Operating System (AEOS) as Module 32.</w:t>
      </w:r>
    </w:p>
    <w:p>
      <w:pPr>
        <w:spacing w:before="80" w:after="0"/>
      </w:pPr>
      <w:r>
        <w:t xml:space="preserve"/>
      </w:r>
    </w:p>
    <w:p>
      <w:pPr>
        <w:pStyle w:val="ListParagraph"/>
        <w:numPr>
          <w:ilvl w:val="0"/>
          <w:numId w:val="2"/>
        </w:numPr>
        <w:spacing w:before="40" w:after="40"/>
      </w:pPr>
      <w:r>
        <w:rPr>
          <w:rFonts w:ascii="Arial" w:cs="Arial" w:eastAsia="Arial" w:hAnsi="Arial"/>
          <w:b/>
          <w:bCs/>
          <w:color w:val="000000"/>
          <w:sz w:val="22"/>
          <w:szCs w:val="22"/>
        </w:rPr>
        <w:t xml:space="preserve">Innovation 1 — Programmatic Telephony and Silent Agent Protocol: </w:t>
      </w:r>
      <w:r>
        <w:rPr>
          <w:rFonts w:ascii="Arial" w:cs="Arial" w:eastAsia="Arial" w:hAnsi="Arial"/>
          <w:color w:val="000000"/>
          <w:sz w:val="22"/>
          <w:szCs w:val="22"/>
        </w:rPr>
        <w:t xml:space="preserve">Autonomous bridge entry via a DTMF handshake sequence for persistent silent monitoring on any telephony platform, with dual-carrier failover (Twilio to Telnyx) ensuring uninterrupted connectivity.</w:t>
      </w:r>
    </w:p>
    <w:p>
      <w:pPr>
        <w:pStyle w:val="ListParagraph"/>
        <w:numPr>
          <w:ilvl w:val="0"/>
          <w:numId w:val="2"/>
        </w:numPr>
        <w:spacing w:before="40" w:after="40"/>
      </w:pPr>
      <w:r>
        <w:rPr>
          <w:rFonts w:ascii="Arial" w:cs="Arial" w:eastAsia="Arial" w:hAnsi="Arial"/>
          <w:b/>
          <w:bCs/>
          <w:color w:val="000000"/>
          <w:sz w:val="22"/>
          <w:szCs w:val="22"/>
        </w:rPr>
        <w:t xml:space="preserve">Innovation 2 — Cross-Platform Control Orchestration: </w:t>
      </w:r>
      <w:r>
        <w:rPr>
          <w:rFonts w:ascii="Arial" w:cs="Arial" w:eastAsia="Arial" w:hAnsi="Arial"/>
          <w:color w:val="000000"/>
          <w:sz w:val="22"/>
          <w:szCs w:val="22"/>
        </w:rPr>
        <w:t xml:space="preserve">Real-time identity mapping and remote audio state control across Microsoft Teams, Zoom, and Webex from a single non-native operator interface, using name/email correlation against native participant rosters.</w:t>
      </w:r>
    </w:p>
    <w:p>
      <w:pPr>
        <w:pStyle w:val="ListParagraph"/>
        <w:numPr>
          <w:ilvl w:val="0"/>
          <w:numId w:val="2"/>
        </w:numPr>
        <w:spacing w:before="40" w:after="40"/>
      </w:pPr>
      <w:r>
        <w:rPr>
          <w:rFonts w:ascii="Arial" w:cs="Arial" w:eastAsia="Arial" w:hAnsi="Arial"/>
          <w:b/>
          <w:bCs/>
          <w:color w:val="000000"/>
          <w:sz w:val="22"/>
          <w:szCs w:val="22"/>
        </w:rPr>
        <w:t xml:space="preserve">Innovation 3 — Metadata-Triggered State Authorization: </w:t>
      </w:r>
      <w:r>
        <w:rPr>
          <w:rFonts w:ascii="Arial" w:cs="Arial" w:eastAsia="Arial" w:hAnsi="Arial"/>
          <w:color w:val="000000"/>
          <w:sz w:val="22"/>
          <w:szCs w:val="22"/>
        </w:rPr>
        <w:t xml:space="preserve">Dual-gate Go Live system requiring both a minimum AI triage score (default: 40/100) and a compliance risk ceiling (default: 70/100) before authorising participant unmute — mathematical, auditable, and configurable per-session.</w:t>
      </w:r>
    </w:p>
    <w:p>
      <w:pPr>
        <w:pStyle w:val="ListParagraph"/>
        <w:numPr>
          <w:ilvl w:val="0"/>
          <w:numId w:val="2"/>
        </w:numPr>
        <w:spacing w:before="40" w:after="40"/>
      </w:pPr>
      <w:r>
        <w:rPr>
          <w:rFonts w:ascii="Arial" w:cs="Arial" w:eastAsia="Arial" w:hAnsi="Arial"/>
          <w:b/>
          <w:bCs/>
          <w:color w:val="000000"/>
          <w:sz w:val="22"/>
          <w:szCs w:val="22"/>
        </w:rPr>
        <w:t xml:space="preserve">Innovation 4 — Autonomous Governance Gateway: </w:t>
      </w:r>
      <w:r>
        <w:rPr>
          <w:rFonts w:ascii="Arial" w:cs="Arial" w:eastAsia="Arial" w:hAnsi="Arial"/>
          <w:color w:val="000000"/>
          <w:sz w:val="22"/>
          <w:szCs w:val="22"/>
        </w:rPr>
        <w:t xml:space="preserve">Deterministic four-criterion safety validation (stability score, consistent observations, failure rate, compliance boundary) preventing any AI-generated tool from reaching production without passing all gates, with SHA-256 hash-chained audit log.</w:t>
      </w:r>
    </w:p>
    <w:p>
      <w:pPr>
        <w:pStyle w:val="ListParagraph"/>
        <w:numPr>
          <w:ilvl w:val="0"/>
          <w:numId w:val="2"/>
        </w:numPr>
        <w:spacing w:before="40" w:after="40"/>
      </w:pPr>
      <w:r>
        <w:rPr>
          <w:rFonts w:ascii="Arial" w:cs="Arial" w:eastAsia="Arial" w:hAnsi="Arial"/>
          <w:b/>
          <w:bCs/>
          <w:color w:val="000000"/>
          <w:sz w:val="22"/>
          <w:szCs w:val="22"/>
        </w:rPr>
        <w:t xml:space="preserve">Innovation 5 — Polarity-to-Priority (P2P) Triage Algorithm: </w:t>
      </w:r>
      <w:r>
        <w:rPr>
          <w:rFonts w:ascii="Arial" w:cs="Arial" w:eastAsia="Arial" w:hAnsi="Arial"/>
          <w:color w:val="000000"/>
          <w:sz w:val="22"/>
          <w:szCs w:val="22"/>
        </w:rPr>
        <w:t xml:space="preserve">Mathematical sentiment-urgency ratio for real-time prioritization of live Q&amp;A: P2P Rank = (Polarity Weight x 0.40) + (Normalized Polarity x 0.25) + (Normalized Urgency x 0.35), blended into Effective Priority = (Base Priority x 0.60) + (P2P Rank x 0.40).</w:t>
      </w:r>
    </w:p>
    <w:p>
      <w:pPr>
        <w:pStyle w:val="ListParagraph"/>
        <w:numPr>
          <w:ilvl w:val="0"/>
          <w:numId w:val="2"/>
        </w:numPr>
        <w:spacing w:before="40" w:after="40"/>
      </w:pPr>
      <w:r>
        <w:rPr>
          <w:rFonts w:ascii="Arial" w:cs="Arial" w:eastAsia="Arial" w:hAnsi="Arial"/>
          <w:b/>
          <w:bCs/>
          <w:color w:val="000000"/>
          <w:sz w:val="22"/>
          <w:szCs w:val="22"/>
        </w:rPr>
        <w:t xml:space="preserve">Innovation 6 — Predictive Jitter-Buffer Synchronization: </w:t>
      </w:r>
      <w:r>
        <w:rPr>
          <w:rFonts w:ascii="Arial" w:cs="Arial" w:eastAsia="Arial" w:hAnsi="Arial"/>
          <w:color w:val="000000"/>
          <w:sz w:val="22"/>
          <w:szCs w:val="22"/>
        </w:rPr>
        <w:t xml:space="preserve">Per-session rolling 50-sample delta-time computation producing an adjustment factor applied to every transcript timestamp — aligned_timestamp = generated_ms minus adjustment_factor — with session TTL of 8 hours and 10-minute eviction sweep.</w:t>
      </w:r>
    </w:p>
    <w:p>
      <w:pPr>
        <w:pStyle w:val="ListParagraph"/>
        <w:numPr>
          <w:ilvl w:val="0"/>
          <w:numId w:val="2"/>
        </w:numPr>
        <w:spacing w:before="40" w:after="40"/>
      </w:pPr>
      <w:r>
        <w:rPr>
          <w:rFonts w:ascii="Arial" w:cs="Arial" w:eastAsia="Arial" w:hAnsi="Arial"/>
          <w:b/>
          <w:bCs/>
          <w:color w:val="000000"/>
          <w:sz w:val="22"/>
          <w:szCs w:val="22"/>
        </w:rPr>
        <w:t xml:space="preserve">Module 32 — Autonomous Enterprise Operating System (AEOS): </w:t>
      </w:r>
      <w:r>
        <w:rPr>
          <w:rFonts w:ascii="Arial" w:cs="Arial" w:eastAsia="Arial" w:hAnsi="Arial"/>
          <w:color w:val="000000"/>
          <w:sz w:val="22"/>
          <w:szCs w:val="22"/>
        </w:rPr>
        <w:t xml:space="preserve">Zero-human administrative workflows across bookings, registrations, events, billing, organizational management, and predictive resource allocation, governed by a Deterministic Financial State Machine and an Organizational Knowledge Graph Digital Twin.</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8. Complete Module Registry (Modules 1–32)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Subsystem Name</w:t>
            </w:r>
          </w:p>
        </w:tc>
        <w:tc>
          <w:tcPr>
            <w:tcW w:type="dxa" w:w="38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Intelligence Platform (event monitoring, AI analysis, cross-platform capture, OCC, benchmarking, compliance, self-improving models, predictive intelligence, indexes, intervention, self-evolving platform)</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Provisional (App ID 1773575338868)</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14–18</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Expansion (Conference Dial-Out, Enhanced OCC, Partner Integrations, Intelligence Suite)</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Built platform — not separately claimed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Event Campaign Orchestrator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20</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Self-Healing Regulatory Oracle</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Investor Relationship Graph Weaver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22</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Self-Certifying Multi-Event Integrity Chain</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AI Agent Swarm Commander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24</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Valuation Impact Oracle</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Self-Auditing Investor Engagement ROI Engine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26</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Dual-Purpose Compliance &amp; Capital-Raising Advisor</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Self-Optimising Global Event Intelligence Network</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28</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AI Self-Evolution Engine with Algorithmic Evidence Scoring</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Reserved for future disclosure — not claimed in any current filing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30</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IR Assistant Layer</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Live Q&amp;A Intelligence Engine (with AGI Tool Generator and AGI Corporate Compliance Layer)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5</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32</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Enterprise Operating System (AEOS)</w:t>
            </w:r>
          </w:p>
        </w:tc>
        <w:tc>
          <w:tcPr>
            <w:tcW w:type="dxa" w:w="38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Filing (CIP Submission 6)</w:t>
            </w:r>
          </w:p>
        </w:tc>
      </w:tr>
    </w:tbl>
    <w:p>
      <w:pPr>
        <w:spacing w:before="120" w:after="0"/>
      </w:pPr>
      <w:r>
        <w:t xml:space="preserve"/>
      </w:r>
    </w:p>
    <w:p>
      <w:pPr>
        <w:pStyle w:val="Heading1"/>
        <w:spacing w:before="360" w:after="120"/>
      </w:pPr>
      <w:r>
        <w:rPr>
          <w:rFonts w:ascii="Arial" w:cs="Arial" w:eastAsia="Arial" w:hAnsi="Arial"/>
          <w:b/>
          <w:bCs/>
          <w:color w:val="1B3A6B"/>
          <w:sz w:val="32"/>
          <w:szCs w:val="32"/>
        </w:rPr>
        <w:t xml:space="preserve">9. Detailed Technical Description — CIP Submission 6 Cross-Cutting Innovations</w:t>
      </w:r>
    </w:p>
    <w:p>
      <w:pPr>
        <w:spacing w:before="60" w:after="100"/>
        <w:jc w:val="both"/>
      </w:pPr>
      <w:r>
        <w:rPr>
          <w:rFonts w:ascii="Arial" w:cs="Arial" w:eastAsia="Arial" w:hAnsi="Arial"/>
          <w:color w:val="000000"/>
          <w:sz w:val="22"/>
          <w:szCs w:val="22"/>
        </w:rPr>
        <w:t xml:space="preserve">Refer: FIG 31, FIG 32, FIG 33</w:t>
      </w:r>
    </w:p>
    <w:p>
      <w:pPr>
        <w:spacing w:before="80" w:after="0"/>
      </w:pPr>
      <w:r>
        <w:t xml:space="preserve"/>
      </w:r>
    </w:p>
    <w:p>
      <w:pPr>
        <w:pStyle w:val="Heading2"/>
        <w:spacing w:before="280" w:after="80"/>
      </w:pPr>
      <w:r>
        <w:rPr>
          <w:rFonts w:ascii="Arial" w:cs="Arial" w:eastAsia="Arial" w:hAnsi="Arial"/>
          <w:b/>
          <w:bCs/>
          <w:color w:val="2E75B6"/>
          <w:sz w:val="26"/>
          <w:szCs w:val="26"/>
        </w:rPr>
        <w:t xml:space="preserve">9.1 Programmatic Telephony and Silent Agent Protocol</w:t>
      </w:r>
    </w:p>
    <w:p>
      <w:pPr>
        <w:spacing w:before="60" w:after="100"/>
        <w:jc w:val="both"/>
      </w:pPr>
      <w:r>
        <w:rPr>
          <w:rFonts w:ascii="Arial" w:cs="Arial" w:eastAsia="Arial" w:hAnsi="Arial"/>
          <w:b/>
          <w:bCs/>
          <w:color w:val="000000"/>
          <w:sz w:val="22"/>
          <w:szCs w:val="22"/>
        </w:rPr>
        <w:t xml:space="preserve">Implementation files: </w:t>
      </w:r>
      <w:r>
        <w:rPr>
          <w:rFonts w:ascii="Arial" w:cs="Arial" w:eastAsia="Arial" w:hAnsi="Arial"/>
          <w:color w:val="000000"/>
          <w:sz w:val="22"/>
          <w:szCs w:val="22"/>
        </w:rPr>
        <w:t xml:space="preserve">client/src/components/Webphone.tsx, server/_core/index.ts, server/directAccess.ts, server/services/ConferenceDialoutService.ts</w:t>
      </w:r>
    </w:p>
    <w:p>
      <w:pPr>
        <w:spacing w:before="60" w:after="100"/>
        <w:jc w:val="both"/>
      </w:pPr>
      <w:r>
        <w:rPr>
          <w:rFonts w:ascii="Arial" w:cs="Arial" w:eastAsia="Arial" w:hAnsi="Arial"/>
          <w:color w:val="000000"/>
          <w:sz w:val="22"/>
          <w:szCs w:val="22"/>
        </w:rPr>
        <w:t xml:space="preserve">The system establishes a persistent monitoring state via an outbound telephony interface using a Programmatic DTMF Handshake Protocol. Upon dialing into a third-party bridge (PSTN, VoIP, or WebRTC), the system autonomously executes a pre-defined sequence of dual-tone multi-frequency (DTMF) signals to bypass participant prompts and enter a 'Silent Listener' state.</w:t>
      </w:r>
    </w:p>
    <w:p>
      <w:pPr>
        <w:spacing w:before="60" w:after="100"/>
        <w:jc w:val="both"/>
      </w:pPr>
      <w:r>
        <w:rPr>
          <w:rFonts w:ascii="Arial" w:cs="Arial" w:eastAsia="Arial" w:hAnsi="Arial"/>
          <w:color w:val="000000"/>
          <w:sz w:val="22"/>
          <w:szCs w:val="22"/>
        </w:rPr>
        <w:t xml:space="preserve">Implementation details:</w:t>
      </w:r>
    </w:p>
    <w:p>
      <w:pPr>
        <w:pStyle w:val="ListParagraph"/>
        <w:numPr>
          <w:ilvl w:val="0"/>
          <w:numId w:val="2"/>
        </w:numPr>
        <w:spacing w:before="40" w:after="40"/>
      </w:pPr>
      <w:r>
        <w:rPr>
          <w:rFonts w:ascii="Arial" w:cs="Arial" w:eastAsia="Arial" w:hAnsi="Arial"/>
          <w:color w:val="000000"/>
          <w:sz w:val="22"/>
          <w:szCs w:val="22"/>
        </w:rPr>
        <w:t xml:space="preserve">DTMF frequency generation via Web Audio API with standard dual-tone pairs (e.g., '1' = 697Hz + 1209Hz)</w:t>
      </w:r>
    </w:p>
    <w:p>
      <w:pPr>
        <w:pStyle w:val="ListParagraph"/>
        <w:numPr>
          <w:ilvl w:val="0"/>
          <w:numId w:val="2"/>
        </w:numPr>
        <w:spacing w:before="40" w:after="40"/>
      </w:pPr>
      <w:r>
        <w:rPr>
          <w:rFonts w:ascii="Arial" w:cs="Arial" w:eastAsia="Arial" w:hAnsi="Arial"/>
          <w:color w:val="000000"/>
          <w:sz w:val="22"/>
          <w:szCs w:val="22"/>
        </w:rPr>
        <w:t xml:space="preserve">Programmatic digit sending via Twilio Voice SDK (sendDigits method) during active calls</w:t>
      </w:r>
    </w:p>
    <w:p>
      <w:pPr>
        <w:pStyle w:val="ListParagraph"/>
        <w:numPr>
          <w:ilvl w:val="0"/>
          <w:numId w:val="2"/>
        </w:numPr>
        <w:spacing w:before="40" w:after="40"/>
      </w:pPr>
      <w:r>
        <w:rPr>
          <w:rFonts w:ascii="Arial" w:cs="Arial" w:eastAsia="Arial" w:hAnsi="Arial"/>
          <w:color w:val="000000"/>
          <w:sz w:val="22"/>
          <w:szCs w:val="22"/>
        </w:rPr>
        <w:t xml:space="preserve">IVR auto-admit protocol: 5-digit PIN validation against attendee registrations, with automatic conference join in muted/silent state (startConferenceOnEnter: false)</w:t>
      </w:r>
    </w:p>
    <w:p>
      <w:pPr>
        <w:pStyle w:val="ListParagraph"/>
        <w:numPr>
          <w:ilvl w:val="0"/>
          <w:numId w:val="2"/>
        </w:numPr>
        <w:spacing w:before="40" w:after="40"/>
      </w:pPr>
      <w:r>
        <w:rPr>
          <w:rFonts w:ascii="Arial" w:cs="Arial" w:eastAsia="Arial" w:hAnsi="Arial"/>
          <w:color w:val="000000"/>
          <w:sz w:val="22"/>
          <w:szCs w:val="22"/>
        </w:rPr>
        <w:t xml:space="preserve">Bulk automated dial-out service for bringing participants into conference bridges programmatically</w:t>
      </w:r>
    </w:p>
    <w:p>
      <w:pPr>
        <w:pStyle w:val="ListParagraph"/>
        <w:numPr>
          <w:ilvl w:val="0"/>
          <w:numId w:val="2"/>
        </w:numPr>
        <w:spacing w:before="40" w:after="40"/>
      </w:pPr>
      <w:r>
        <w:rPr>
          <w:rFonts w:ascii="Arial" w:cs="Arial" w:eastAsia="Arial" w:hAnsi="Arial"/>
          <w:color w:val="000000"/>
          <w:sz w:val="22"/>
          <w:szCs w:val="22"/>
        </w:rPr>
        <w:t xml:space="preserve">Dual-carrier failover (Twilio primary -&gt; Telnyx secondary) ensuring bridge connectivity is maintained if the primary carrier fails</w:t>
      </w:r>
    </w:p>
    <w:p>
      <w:pPr>
        <w:pStyle w:val="Heading2"/>
        <w:spacing w:before="280" w:after="80"/>
      </w:pPr>
      <w:r>
        <w:rPr>
          <w:rFonts w:ascii="Arial" w:cs="Arial" w:eastAsia="Arial" w:hAnsi="Arial"/>
          <w:b/>
          <w:bCs/>
          <w:color w:val="2E75B6"/>
          <w:sz w:val="26"/>
          <w:szCs w:val="26"/>
        </w:rPr>
        <w:t xml:space="preserve">9.2 Deterministic Quality Scoring for Autonomous Evolution</w:t>
      </w:r>
    </w:p>
    <w:p>
      <w:pPr>
        <w:spacing w:before="60" w:after="100"/>
        <w:jc w:val="both"/>
      </w:pPr>
      <w:r>
        <w:rPr>
          <w:rFonts w:ascii="Arial" w:cs="Arial" w:eastAsia="Arial" w:hAnsi="Arial"/>
          <w:b/>
          <w:bCs/>
          <w:color w:val="000000"/>
          <w:sz w:val="22"/>
          <w:szCs w:val="22"/>
        </w:rPr>
        <w:t xml:space="preserve">Implementation file: </w:t>
      </w:r>
      <w:r>
        <w:rPr>
          <w:rFonts w:ascii="Arial" w:cs="Arial" w:eastAsia="Arial" w:hAnsi="Arial"/>
          <w:color w:val="000000"/>
          <w:sz w:val="22"/>
          <w:szCs w:val="22"/>
        </w:rPr>
        <w:t xml:space="preserve">server/services/AiEvolutionService.ts</w:t>
      </w:r>
    </w:p>
    <w:p>
      <w:pPr>
        <w:spacing w:before="60" w:after="100"/>
        <w:jc w:val="both"/>
      </w:pPr>
      <w:r>
        <w:rPr>
          <w:rFonts w:ascii="Arial" w:cs="Arial" w:eastAsia="Arial" w:hAnsi="Arial"/>
          <w:color w:val="000000"/>
          <w:sz w:val="22"/>
          <w:szCs w:val="22"/>
        </w:rPr>
        <w:t xml:space="preserve">The system applies a multi-dimensional scoring algorithm to every system-generated output. The quality score Q is calculated as a weighted sum of three deterministic dimensions:</w:t>
      </w:r>
    </w:p>
    <w:p>
      <w:pPr>
        <w:pStyle w:val="ListParagraph"/>
        <w:numPr>
          <w:ilvl w:val="0"/>
          <w:numId w:val="2"/>
        </w:numPr>
        <w:spacing w:before="40" w:after="40"/>
      </w:pPr>
      <w:r>
        <w:rPr>
          <w:rFonts w:ascii="Arial" w:cs="Arial" w:eastAsia="Arial" w:hAnsi="Arial"/>
          <w:b/>
          <w:bCs/>
          <w:color w:val="000000"/>
          <w:sz w:val="22"/>
          <w:szCs w:val="22"/>
        </w:rPr>
        <w:t xml:space="preserve">Depth (D) — Weight: 0.40: </w:t>
      </w:r>
      <w:r>
        <w:rPr>
          <w:rFonts w:ascii="Arial" w:cs="Arial" w:eastAsia="Arial" w:hAnsi="Arial"/>
          <w:color w:val="000000"/>
          <w:sz w:val="22"/>
          <w:szCs w:val="22"/>
        </w:rPr>
        <w:t xml:space="preserve">A numerical measure of content detail. For string outputs: Math.min(1, length / 600). For arrays: Math.min(1, items / 5). For objects: presence of numeric values (0.4 weight) + substantive strings over 20 characters (0.4 weight) + populated field count (0.2 weight).</w:t>
      </w:r>
    </w:p>
    <w:p>
      <w:pPr>
        <w:pStyle w:val="ListParagraph"/>
        <w:numPr>
          <w:ilvl w:val="0"/>
          <w:numId w:val="2"/>
        </w:numPr>
        <w:spacing w:before="40" w:after="40"/>
      </w:pPr>
      <w:r>
        <w:rPr>
          <w:rFonts w:ascii="Arial" w:cs="Arial" w:eastAsia="Arial" w:hAnsi="Arial"/>
          <w:b/>
          <w:bCs/>
          <w:color w:val="000000"/>
          <w:sz w:val="22"/>
          <w:szCs w:val="22"/>
        </w:rPr>
        <w:t xml:space="preserve">Breadth (B) — Weight: 0.30: </w:t>
      </w:r>
      <w:r>
        <w:rPr>
          <w:rFonts w:ascii="Arial" w:cs="Arial" w:eastAsia="Arial" w:hAnsi="Arial"/>
          <w:color w:val="000000"/>
          <w:sz w:val="22"/>
          <w:szCs w:val="22"/>
        </w:rPr>
        <w:t xml:space="preserve">The ratio of populated sub-fields to total fields. Measures cross-referencing completeness across jurisdictional frameworks (JSE, SEC, FCA, EU MAR).</w:t>
      </w:r>
    </w:p>
    <w:p>
      <w:pPr>
        <w:pStyle w:val="ListParagraph"/>
        <w:numPr>
          <w:ilvl w:val="0"/>
          <w:numId w:val="2"/>
        </w:numPr>
        <w:spacing w:before="40" w:after="40"/>
      </w:pPr>
      <w:r>
        <w:rPr>
          <w:rFonts w:ascii="Arial" w:cs="Arial" w:eastAsia="Arial" w:hAnsi="Arial"/>
          <w:b/>
          <w:bCs/>
          <w:color w:val="000000"/>
          <w:sz w:val="22"/>
          <w:szCs w:val="22"/>
        </w:rPr>
        <w:t xml:space="preserve">Specificity (S) — Weight: 0.30: </w:t>
      </w:r>
      <w:r>
        <w:rPr>
          <w:rFonts w:ascii="Arial" w:cs="Arial" w:eastAsia="Arial" w:hAnsi="Arial"/>
          <w:color w:val="000000"/>
          <w:sz w:val="22"/>
          <w:szCs w:val="22"/>
        </w:rPr>
        <w:t xml:space="preserve">The inverse ratio of generic boilerplate phrases to technical disclosures, filtered against a proprietary Noise Library of 15 generic phrases (including 'the company', 'management team', 'key stakeholders', 'going forward', 'not applicable').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Worked Example — Quality Score Calculation</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Scenario: Compliance Summary for JSE-listed company</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Depth (D):    800 characters / 600 baseline = 1.33, capped at 1.0  =&gt;  D = 1.00</w:t>
            </w:r>
          </w:p>
          <w:p>
            <w:pPr>
              <w:spacing w:before="30" w:after="30"/>
              <w:ind w:left="160"/>
            </w:pPr>
            <w:r>
              <w:rPr>
                <w:rFonts w:ascii="Courier New" w:cs="Courier New" w:eastAsia="Courier New" w:hAnsi="Courier New"/>
                <w:color w:val="1A1A1A"/>
                <w:sz w:val="20"/>
                <w:szCs w:val="20"/>
              </w:rPr>
              <w:t xml:space="preserve">Breadth (B):  6 of 8 jurisdictional fields populated               =&gt;  B = 0.75</w:t>
            </w:r>
          </w:p>
          <w:p>
            <w:pPr>
              <w:spacing w:before="30" w:after="30"/>
              <w:ind w:left="160"/>
            </w:pPr>
            <w:r>
              <w:rPr>
                <w:rFonts w:ascii="Courier New" w:cs="Courier New" w:eastAsia="Courier New" w:hAnsi="Courier New"/>
                <w:color w:val="1A1A1A"/>
                <w:sz w:val="20"/>
                <w:szCs w:val="20"/>
              </w:rPr>
              <w:t xml:space="preserve">Specificity:  2 generic phrases detected, penalty = 0.10 each      =&gt;  S = 0.80</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Q = (0.40 x 1.00) + (0.30 x 0.75) + (0.30 x 0.80)</w:t>
            </w:r>
          </w:p>
          <w:p>
            <w:pPr>
              <w:spacing w:before="30" w:after="30"/>
              <w:ind w:left="160"/>
            </w:pPr>
            <w:r>
              <w:rPr>
                <w:rFonts w:ascii="Courier New" w:cs="Courier New" w:eastAsia="Courier New" w:hAnsi="Courier New"/>
                <w:color w:val="1A1A1A"/>
                <w:sz w:val="20"/>
                <w:szCs w:val="20"/>
              </w:rPr>
              <w:t xml:space="preserve">Q = 0.400 + 0.225 + 0.240 = 0.865</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Module importance weight: 0.95 (compliance-critical)</w:t>
            </w:r>
          </w:p>
          <w:p>
            <w:pPr>
              <w:spacing w:before="30" w:after="30"/>
              <w:ind w:left="160"/>
            </w:pPr>
            <w:r>
              <w:rPr>
                <w:rFonts w:ascii="Courier New" w:cs="Courier New" w:eastAsia="Courier New" w:hAnsi="Courier New"/>
                <w:color w:val="1A1A1A"/>
                <w:sz w:val="20"/>
                <w:szCs w:val="20"/>
              </w:rPr>
              <w:t xml:space="preserve">Weak threshold: 0.30 x 0.95 = 0.285</w:t>
            </w:r>
          </w:p>
          <w:p>
            <w:pPr>
              <w:spacing w:before="30" w:after="30"/>
              <w:ind w:left="160"/>
            </w:pPr>
            <w:r>
              <w:rPr>
                <w:rFonts w:ascii="Courier New" w:cs="Courier New" w:eastAsia="Courier New" w:hAnsi="Courier New"/>
                <w:color w:val="1A1A1A"/>
                <w:sz w:val="20"/>
                <w:szCs w:val="20"/>
              </w:rPr>
              <w:t xml:space="preserve">Result: 0.865 &gt; 0.285  =&gt;  NOT WEAK (passes quality gate)</w:t>
            </w:r>
          </w:p>
        </w:tc>
      </w:tr>
    </w:tbl>
    <w:p>
      <w:pPr>
        <w:spacing w:before="80" w:after="0"/>
      </w:pPr>
      <w:r>
        <w:t xml:space="preserve"/>
      </w:r>
    </w:p>
    <w:p>
      <w:pPr>
        <w:spacing w:before="40" w:after="40"/>
        <w:ind w:left="720"/>
      </w:pPr>
      <w:r>
        <w:rPr>
          <w:rFonts w:ascii="Courier New" w:cs="Courier New" w:eastAsia="Courier New" w:hAnsi="Courier New"/>
          <w:color w:val="1A1A1A"/>
          <w:sz w:val="20"/>
          <w:szCs w:val="20"/>
        </w:rPr>
        <w:t xml:space="preserve">Q = (0.40 x D) + (0.30 x B) + (0.30 x S)</w:t>
      </w:r>
    </w:p>
    <w:p>
      <w:pPr>
        <w:pStyle w:val="Heading2"/>
        <w:spacing w:before="280" w:after="80"/>
      </w:pPr>
      <w:r>
        <w:rPr>
          <w:rFonts w:ascii="Arial" w:cs="Arial" w:eastAsia="Arial" w:hAnsi="Arial"/>
          <w:b/>
          <w:bCs/>
          <w:color w:val="2E75B6"/>
          <w:sz w:val="26"/>
          <w:szCs w:val="26"/>
        </w:rPr>
        <w:t xml:space="preserve">9.3 Temporal Evidence Decay Function</w:t>
      </w:r>
    </w:p>
    <w:p>
      <w:pPr>
        <w:spacing w:before="60" w:after="100"/>
        <w:jc w:val="both"/>
      </w:pPr>
      <w:r>
        <w:rPr>
          <w:rFonts w:ascii="Arial" w:cs="Arial" w:eastAsia="Arial" w:hAnsi="Arial"/>
          <w:b/>
          <w:bCs/>
          <w:color w:val="000000"/>
          <w:sz w:val="22"/>
          <w:szCs w:val="22"/>
        </w:rPr>
        <w:t xml:space="preserve">Implementation file: </w:t>
      </w:r>
      <w:r>
        <w:rPr>
          <w:rFonts w:ascii="Arial" w:cs="Arial" w:eastAsia="Arial" w:hAnsi="Arial"/>
          <w:color w:val="000000"/>
          <w:sz w:val="22"/>
          <w:szCs w:val="22"/>
        </w:rPr>
        <w:t xml:space="preserve">server/services/AiEvolutionService.ts</w:t>
      </w:r>
    </w:p>
    <w:p>
      <w:pPr>
        <w:spacing w:before="60" w:after="100"/>
        <w:jc w:val="both"/>
      </w:pPr>
      <w:r>
        <w:rPr>
          <w:rFonts w:ascii="Arial" w:cs="Arial" w:eastAsia="Arial" w:hAnsi="Arial"/>
          <w:color w:val="000000"/>
          <w:sz w:val="22"/>
          <w:szCs w:val="22"/>
        </w:rPr>
        <w:t xml:space="preserve">All observations in the self-evolution engine are subjected to a temporal decay function ensuring the system prioritises current market and regulatory conditions over stale historical data:</w:t>
      </w:r>
    </w:p>
    <w:p>
      <w:pPr>
        <w:spacing w:before="40" w:after="40"/>
        <w:ind w:left="720"/>
      </w:pPr>
      <w:r>
        <w:rPr>
          <w:rFonts w:ascii="Courier New" w:cs="Courier New" w:eastAsia="Courier New" w:hAnsi="Courier New"/>
          <w:color w:val="1A1A1A"/>
          <w:sz w:val="20"/>
          <w:szCs w:val="20"/>
        </w:rPr>
        <w:t xml:space="preserve">W(t) = 0.5 ^ (age_in_days / 14)</w:t>
      </w:r>
    </w:p>
    <w:p>
      <w:pPr>
        <w:spacing w:before="60" w:after="100"/>
        <w:jc w:val="both"/>
      </w:pPr>
      <w:r>
        <w:rPr>
          <w:rFonts w:ascii="Arial" w:cs="Arial" w:eastAsia="Arial" w:hAnsi="Arial"/>
          <w:color w:val="000000"/>
          <w:sz w:val="22"/>
          <w:szCs w:val="22"/>
        </w:rPr>
        <w:t xml:space="preserve">The 14-day half-life means an observation's influence on tool proposal scoring halves every 14 days. Observations with a decay weight below 0.25 are classified as inactive and excluded from active evidence counts. This mechanism prevents stale evidence accumulation: if a capability gap is resolved through module improvements, supporting observations naturally decay below the active threshold and the associated tool proposal loses promotion momentum autonomously.</w:t>
      </w:r>
    </w:p>
    <w:p>
      <w:pPr>
        <w:pStyle w:val="Heading2"/>
        <w:spacing w:before="280" w:after="80"/>
      </w:pPr>
      <w:r>
        <w:rPr>
          <w:rFonts w:ascii="Arial" w:cs="Arial" w:eastAsia="Arial" w:hAnsi="Arial"/>
          <w:b/>
          <w:bCs/>
          <w:color w:val="2E75B6"/>
          <w:sz w:val="26"/>
          <w:szCs w:val="26"/>
        </w:rPr>
        <w:t xml:space="preserve">9.4 Cross-Platform Control Orchestration</w:t>
      </w:r>
    </w:p>
    <w:p>
      <w:pPr>
        <w:spacing w:before="60" w:after="100"/>
        <w:jc w:val="both"/>
      </w:pPr>
      <w:r>
        <w:rPr>
          <w:rFonts w:ascii="Arial" w:cs="Arial" w:eastAsia="Arial" w:hAnsi="Arial"/>
          <w:b/>
          <w:bCs/>
          <w:color w:val="000000"/>
          <w:sz w:val="22"/>
          <w:szCs w:val="22"/>
        </w:rPr>
        <w:t xml:space="preserve">Implementation files: </w:t>
      </w:r>
      <w:r>
        <w:rPr>
          <w:rFonts w:ascii="Arial" w:cs="Arial" w:eastAsia="Arial" w:hAnsi="Arial"/>
          <w:color w:val="000000"/>
          <w:sz w:val="22"/>
          <w:szCs w:val="22"/>
        </w:rPr>
        <w:t xml:space="preserve">server/routers/liveQaRouter.ts, server/services/LiveQaTriageService.ts, server/webhooks/recall.ts</w:t>
      </w:r>
    </w:p>
    <w:p>
      <w:pPr>
        <w:spacing w:before="60" w:after="100"/>
        <w:jc w:val="both"/>
      </w:pPr>
      <w:r>
        <w:rPr>
          <w:rFonts w:ascii="Arial" w:cs="Arial" w:eastAsia="Arial" w:hAnsi="Arial"/>
          <w:color w:val="000000"/>
          <w:sz w:val="22"/>
          <w:szCs w:val="22"/>
        </w:rPr>
        <w:t xml:space="preserve">The system includes a Control Translation Layer that interfaces with third-party conferencing APIs (Microsoft Graph, Zoom REST, Webex SDK) to perform real-time identity mapping between an external Q&amp;A database and the active participant roster of a third-party platform. This enables audio state changes (Mute, Unmute, Spotlight) from a non-native interface.</w:t>
      </w:r>
    </w:p>
    <w:p>
      <w:pPr>
        <w:spacing w:before="60" w:after="100"/>
        <w:jc w:val="both"/>
      </w:pPr>
      <w:r>
        <w:rPr>
          <w:rFonts w:ascii="Arial" w:cs="Arial" w:eastAsia="Arial" w:hAnsi="Arial"/>
          <w:color w:val="000000"/>
          <w:sz w:val="22"/>
          <w:szCs w:val="22"/>
        </w:rPr>
        <w:t xml:space="preserve">The identity mapping chain operates as follows:</w:t>
      </w:r>
    </w:p>
    <w:p>
      <w:pPr>
        <w:pStyle w:val="ListParagraph"/>
        <w:numPr>
          <w:ilvl w:val="0"/>
          <w:numId w:val="2"/>
        </w:numPr>
        <w:spacing w:before="40" w:after="40"/>
      </w:pPr>
      <w:r>
        <w:rPr>
          <w:rFonts w:ascii="Arial" w:cs="Arial" w:eastAsia="Arial" w:hAnsi="Arial"/>
          <w:color w:val="000000"/>
          <w:sz w:val="22"/>
          <w:szCs w:val="22"/>
        </w:rPr>
        <w:t xml:space="preserve">Attendee submits question via CuraLive Q&amp;A page — the system captures name, email, and company</w:t>
      </w:r>
    </w:p>
    <w:p>
      <w:pPr>
        <w:pStyle w:val="ListParagraph"/>
        <w:numPr>
          <w:ilvl w:val="0"/>
          <w:numId w:val="2"/>
        </w:numPr>
        <w:spacing w:before="40" w:after="40"/>
      </w:pPr>
      <w:r>
        <w:rPr>
          <w:rFonts w:ascii="Arial" w:cs="Arial" w:eastAsia="Arial" w:hAnsi="Arial"/>
          <w:color w:val="000000"/>
          <w:sz w:val="22"/>
          <w:szCs w:val="22"/>
        </w:rPr>
        <w:t xml:space="preserve">System matches attendee identity against the conferencing platform's participant roster via name/email correlation through the respective platform API</w:t>
      </w:r>
    </w:p>
    <w:p>
      <w:pPr>
        <w:pStyle w:val="ListParagraph"/>
        <w:numPr>
          <w:ilvl w:val="0"/>
          <w:numId w:val="2"/>
        </w:numPr>
        <w:spacing w:before="40" w:after="40"/>
      </w:pPr>
      <w:r>
        <w:rPr>
          <w:rFonts w:ascii="Arial" w:cs="Arial" w:eastAsia="Arial" w:hAnsi="Arial"/>
          <w:color w:val="000000"/>
          <w:sz w:val="22"/>
          <w:szCs w:val="22"/>
        </w:rPr>
        <w:t xml:space="preserve">Operator approves question via CuraLive dashboard — triggers an identity-resolved state change on the target platform</w:t>
      </w:r>
    </w:p>
    <w:p>
      <w:pPr>
        <w:pStyle w:val="ListParagraph"/>
        <w:numPr>
          <w:ilvl w:val="0"/>
          <w:numId w:val="2"/>
        </w:numPr>
        <w:spacing w:before="40" w:after="40"/>
      </w:pPr>
      <w:r>
        <w:rPr>
          <w:rFonts w:ascii="Arial" w:cs="Arial" w:eastAsia="Arial" w:hAnsi="Arial"/>
          <w:color w:val="000000"/>
          <w:sz w:val="22"/>
          <w:szCs w:val="22"/>
        </w:rPr>
        <w:t xml:space="preserve">Recall.ai webhook integration maps speaker_name and bot_id to internal conferenceId and participantId for session continuity</w:t>
      </w:r>
    </w:p>
    <w:p>
      <w:pPr>
        <w:pStyle w:val="Heading2"/>
        <w:spacing w:before="280" w:after="80"/>
      </w:pPr>
      <w:r>
        <w:rPr>
          <w:rFonts w:ascii="Arial" w:cs="Arial" w:eastAsia="Arial" w:hAnsi="Arial"/>
          <w:b/>
          <w:bCs/>
          <w:color w:val="2E75B6"/>
          <w:sz w:val="26"/>
          <w:szCs w:val="26"/>
        </w:rPr>
        <w:t xml:space="preserve">9.5 Metadata-Triggered State Authorization ('Go Live' Gate)</w:t>
      </w:r>
    </w:p>
    <w:p>
      <w:pPr>
        <w:spacing w:before="60" w:after="100"/>
        <w:jc w:val="both"/>
      </w:pPr>
      <w:r>
        <w:rPr>
          <w:rFonts w:ascii="Arial" w:cs="Arial" w:eastAsia="Arial" w:hAnsi="Arial"/>
          <w:b/>
          <w:bCs/>
          <w:color w:val="000000"/>
          <w:sz w:val="22"/>
          <w:szCs w:val="22"/>
        </w:rPr>
        <w:t xml:space="preserve">Implementation files: </w:t>
      </w:r>
      <w:r>
        <w:rPr>
          <w:rFonts w:ascii="Arial" w:cs="Arial" w:eastAsia="Arial" w:hAnsi="Arial"/>
          <w:color w:val="000000"/>
          <w:sz w:val="22"/>
          <w:szCs w:val="22"/>
        </w:rPr>
        <w:t xml:space="preserve">server/services/LiveQaTriageService.ts (authoriseGoLive), server/routers/liveQaRouter.ts (goLive endpoint)</w:t>
      </w:r>
    </w:p>
    <w:p>
      <w:pPr>
        <w:spacing w:before="60" w:after="100"/>
        <w:jc w:val="both"/>
      </w:pPr>
      <w:r>
        <w:rPr>
          <w:rFonts w:ascii="Arial" w:cs="Arial" w:eastAsia="Arial" w:hAnsi="Arial"/>
          <w:color w:val="000000"/>
          <w:sz w:val="22"/>
          <w:szCs w:val="22"/>
        </w:rPr>
        <w:t xml:space="preserve">A 'Go Live' command authorising a participant to speak on a live call is only issued if the Q&amp;A submission passes two deterministic gates simultaneously:</w:t>
      </w:r>
    </w:p>
    <w:p>
      <w:pPr>
        <w:pStyle w:val="ListParagraph"/>
        <w:numPr>
          <w:ilvl w:val="0"/>
          <w:numId w:val="2"/>
        </w:numPr>
        <w:spacing w:before="40" w:after="40"/>
      </w:pPr>
      <w:r>
        <w:rPr>
          <w:rFonts w:ascii="Arial" w:cs="Arial" w:eastAsia="Arial" w:hAnsi="Arial"/>
          <w:b/>
          <w:bCs/>
          <w:color w:val="000000"/>
          <w:sz w:val="22"/>
          <w:szCs w:val="22"/>
        </w:rPr>
        <w:t xml:space="preserve">Gate 1 — Triage Score Threshold: </w:t>
      </w:r>
      <w:r>
        <w:rPr>
          <w:rFonts w:ascii="Arial" w:cs="Arial" w:eastAsia="Arial" w:hAnsi="Arial"/>
          <w:color w:val="000000"/>
          <w:sz w:val="22"/>
          <w:szCs w:val="22"/>
        </w:rPr>
        <w:t xml:space="preserve">The question must achieve a minimum AI triage score (configurable per-session, default: 40/100) as determined by the AI triage engine.</w:t>
      </w:r>
    </w:p>
    <w:p>
      <w:pPr>
        <w:pStyle w:val="ListParagraph"/>
        <w:numPr>
          <w:ilvl w:val="0"/>
          <w:numId w:val="2"/>
        </w:numPr>
        <w:spacing w:before="40" w:after="40"/>
      </w:pPr>
      <w:r>
        <w:rPr>
          <w:rFonts w:ascii="Arial" w:cs="Arial" w:eastAsia="Arial" w:hAnsi="Arial"/>
          <w:b/>
          <w:bCs/>
          <w:color w:val="000000"/>
          <w:sz w:val="22"/>
          <w:szCs w:val="22"/>
        </w:rPr>
        <w:t xml:space="preserve">Gate 2 — Compliance Clearance: </w:t>
      </w:r>
      <w:r>
        <w:rPr>
          <w:rFonts w:ascii="Arial" w:cs="Arial" w:eastAsia="Arial" w:hAnsi="Arial"/>
          <w:color w:val="000000"/>
          <w:sz w:val="22"/>
          <w:szCs w:val="22"/>
        </w:rPr>
        <w:t xml:space="preserve">The question's compliance risk score must not exceed the maximum compliance risk threshold (configurable, default: 70/100) — ensuring no question with active regulatory flags is put live without human review.</w:t>
      </w:r>
    </w:p>
    <w:p>
      <w:pPr>
        <w:spacing w:before="60" w:after="100"/>
        <w:jc w:val="both"/>
      </w:pPr>
      <w:r>
        <w:rPr>
          <w:rFonts w:ascii="Arial" w:cs="Arial" w:eastAsia="Arial" w:hAnsi="Arial"/>
          <w:color w:val="000000"/>
          <w:sz w:val="22"/>
          <w:szCs w:val="22"/>
        </w:rPr>
        <w:t xml:space="preserve">The authorization function returns: authorised (boolean), triageScore, complianceCleared (boolean), minimumThreshold, and a natural language reason string. If authorized, the system increments session approval counters and emits qa.statusChanged and qa.goLive events via Ably real-time channels.</w:t>
      </w:r>
    </w:p>
    <w:p>
      <w:pPr>
        <w:pStyle w:val="Heading2"/>
        <w:spacing w:before="280" w:after="80"/>
      </w:pPr>
      <w:r>
        <w:rPr>
          <w:rFonts w:ascii="Arial" w:cs="Arial" w:eastAsia="Arial" w:hAnsi="Arial"/>
          <w:b/>
          <w:bCs/>
          <w:color w:val="2E75B6"/>
          <w:sz w:val="26"/>
          <w:szCs w:val="26"/>
        </w:rPr>
        <w:t xml:space="preserve">9.6 Autonomous Governance Gateway</w:t>
      </w:r>
    </w:p>
    <w:p>
      <w:pPr>
        <w:spacing w:before="60" w:after="100"/>
        <w:jc w:val="both"/>
      </w:pPr>
      <w:r>
        <w:rPr>
          <w:rFonts w:ascii="Arial" w:cs="Arial" w:eastAsia="Arial" w:hAnsi="Arial"/>
          <w:b/>
          <w:bCs/>
          <w:color w:val="000000"/>
          <w:sz w:val="22"/>
          <w:szCs w:val="22"/>
        </w:rPr>
        <w:t xml:space="preserve">Implementation file: </w:t>
      </w:r>
      <w:r>
        <w:rPr>
          <w:rFonts w:ascii="Arial" w:cs="Arial" w:eastAsia="Arial" w:hAnsi="Arial"/>
          <w:color w:val="000000"/>
          <w:sz w:val="22"/>
          <w:szCs w:val="22"/>
        </w:rPr>
        <w:t xml:space="preserve">server/services/AiEvolutionService.ts (evaluateGovernanceGateway)</w:t>
      </w:r>
    </w:p>
    <w:p>
      <w:pPr>
        <w:spacing w:before="60" w:after="100"/>
        <w:jc w:val="both"/>
      </w:pPr>
      <w:r>
        <w:rPr>
          <w:rFonts w:ascii="Arial" w:cs="Arial" w:eastAsia="Arial" w:hAnsi="Arial"/>
          <w:color w:val="000000"/>
          <w:sz w:val="22"/>
          <w:szCs w:val="22"/>
        </w:rPr>
        <w:t xml:space="preserve">All tools generated by the Autonomous Self-Evolution Engine must pass four deterministic criteria before production deployment:</w:t>
      </w:r>
    </w:p>
    <w:p>
      <w:pPr>
        <w:pStyle w:val="ListParagraph"/>
        <w:numPr>
          <w:ilvl w:val="0"/>
          <w:numId w:val="2"/>
        </w:numPr>
        <w:spacing w:before="40" w:after="40"/>
      </w:pPr>
      <w:r>
        <w:rPr>
          <w:rFonts w:ascii="Arial" w:cs="Arial" w:eastAsia="Arial" w:hAnsi="Arial"/>
          <w:b/>
          <w:bCs/>
          <w:color w:val="000000"/>
          <w:sz w:val="22"/>
          <w:szCs w:val="22"/>
        </w:rPr>
        <w:t xml:space="preserve">Criterion 1 — Stability Score &gt;= 0.65: </w:t>
      </w:r>
      <w:r>
        <w:rPr>
          <w:rFonts w:ascii="Arial" w:cs="Arial" w:eastAsia="Arial" w:hAnsi="Arial"/>
          <w:color w:val="000000"/>
          <w:sz w:val="22"/>
          <w:szCs w:val="22"/>
        </w:rPr>
        <w:t xml:space="preserve">Composite score computed as decayed evidence score (50% weight) + consistency rate (30% weight) + inverse failure rate (20% weight).</w:t>
      </w:r>
    </w:p>
    <w:p>
      <w:pPr>
        <w:pStyle w:val="ListParagraph"/>
        <w:numPr>
          <w:ilvl w:val="0"/>
          <w:numId w:val="2"/>
        </w:numPr>
        <w:spacing w:before="40" w:after="40"/>
      </w:pPr>
      <w:r>
        <w:rPr>
          <w:rFonts w:ascii="Arial" w:cs="Arial" w:eastAsia="Arial" w:hAnsi="Arial"/>
          <w:b/>
          <w:bCs/>
          <w:color w:val="000000"/>
          <w:sz w:val="22"/>
          <w:szCs w:val="22"/>
        </w:rPr>
        <w:t xml:space="preserve">Criterion 2 — Minimum Consistent Observations &gt;= 3: </w:t>
      </w:r>
      <w:r>
        <w:rPr>
          <w:rFonts w:ascii="Arial" w:cs="Arial" w:eastAsia="Arial" w:hAnsi="Arial"/>
          <w:color w:val="000000"/>
          <w:sz w:val="22"/>
          <w:szCs w:val="22"/>
        </w:rPr>
        <w:t xml:space="preserve">At least 3 recent observations with individual confidence scores at or above 0.50.</w:t>
      </w:r>
    </w:p>
    <w:p>
      <w:pPr>
        <w:pStyle w:val="ListParagraph"/>
        <w:numPr>
          <w:ilvl w:val="0"/>
          <w:numId w:val="2"/>
        </w:numPr>
        <w:spacing w:before="40" w:after="40"/>
      </w:pPr>
      <w:r>
        <w:rPr>
          <w:rFonts w:ascii="Arial" w:cs="Arial" w:eastAsia="Arial" w:hAnsi="Arial"/>
          <w:b/>
          <w:bCs/>
          <w:color w:val="000000"/>
          <w:sz w:val="22"/>
          <w:szCs w:val="22"/>
        </w:rPr>
        <w:t xml:space="preserve">Criterion 3 — Failure Rate &lt;= 30%: </w:t>
      </w:r>
      <w:r>
        <w:rPr>
          <w:rFonts w:ascii="Arial" w:cs="Arial" w:eastAsia="Arial" w:hAnsi="Arial"/>
          <w:color w:val="000000"/>
          <w:sz w:val="22"/>
          <w:szCs w:val="22"/>
        </w:rPr>
        <w:t xml:space="preserve">No more than 30% of recent observations may have confidence below 0.30.</w:t>
      </w:r>
    </w:p>
    <w:p>
      <w:pPr>
        <w:pStyle w:val="ListParagraph"/>
        <w:numPr>
          <w:ilvl w:val="0"/>
          <w:numId w:val="2"/>
        </w:numPr>
        <w:spacing w:before="40" w:after="40"/>
      </w:pPr>
      <w:r>
        <w:rPr>
          <w:rFonts w:ascii="Arial" w:cs="Arial" w:eastAsia="Arial" w:hAnsi="Arial"/>
          <w:b/>
          <w:bCs/>
          <w:color w:val="000000"/>
          <w:sz w:val="22"/>
          <w:szCs w:val="22"/>
        </w:rPr>
        <w:t xml:space="preserve">Criterion 4 — Compliance Boundary Check: </w:t>
      </w:r>
      <w:r>
        <w:rPr>
          <w:rFonts w:ascii="Arial" w:cs="Arial" w:eastAsia="Arial" w:hAnsi="Arial"/>
          <w:color w:val="000000"/>
          <w:sz w:val="22"/>
          <w:szCs w:val="22"/>
        </w:rPr>
        <w:t xml:space="preserve">Tools impacting compliance-critical modules face an elevated stability threshold of 0.75 rather than the standard 0.65.</w:t>
      </w:r>
    </w:p>
    <w:p>
      <w:pPr>
        <w:spacing w:before="60" w:after="100"/>
        <w:jc w:val="both"/>
      </w:pPr>
      <w:r>
        <w:rPr>
          <w:rFonts w:ascii="Arial" w:cs="Arial" w:eastAsia="Arial" w:hAnsi="Arial"/>
          <w:color w:val="000000"/>
          <w:sz w:val="22"/>
          <w:szCs w:val="22"/>
        </w:rPr>
        <w:t xml:space="preserve">Tools that fail any criterion are logged with detailed diagnostics and remain at their current promotion stage until they accumulate sufficient stable evidence. All gateway decisions — passed, blocked, and deferred — are recorded in an immutable SHA-256 hash-chained audit log.</w:t>
      </w:r>
    </w:p>
    <w:p>
      <w:pPr>
        <w:pStyle w:val="Heading2"/>
        <w:spacing w:before="280" w:after="80"/>
      </w:pPr>
      <w:r>
        <w:rPr>
          <w:rFonts w:ascii="Arial" w:cs="Arial" w:eastAsia="Arial" w:hAnsi="Arial"/>
          <w:b/>
          <w:bCs/>
          <w:color w:val="2E75B6"/>
          <w:sz w:val="26"/>
          <w:szCs w:val="26"/>
        </w:rPr>
        <w:t xml:space="preserve">9.7 Sentiment-Weighted Triage Logic — Polarity-to-Priority (P2P) Algorithm</w:t>
      </w:r>
    </w:p>
    <w:p>
      <w:pPr>
        <w:spacing w:before="60" w:after="100"/>
        <w:jc w:val="both"/>
      </w:pPr>
      <w:r>
        <w:rPr>
          <w:rFonts w:ascii="Arial" w:cs="Arial" w:eastAsia="Arial" w:hAnsi="Arial"/>
          <w:b/>
          <w:bCs/>
          <w:color w:val="000000"/>
          <w:sz w:val="22"/>
          <w:szCs w:val="22"/>
        </w:rPr>
        <w:t xml:space="preserve">Implementation file: </w:t>
      </w:r>
      <w:r>
        <w:rPr>
          <w:rFonts w:ascii="Arial" w:cs="Arial" w:eastAsia="Arial" w:hAnsi="Arial"/>
          <w:color w:val="000000"/>
          <w:sz w:val="22"/>
          <w:szCs w:val="22"/>
        </w:rPr>
        <w:t xml:space="preserve">server/services/LiveQaTriageService.ts (computeP2P)</w:t>
      </w:r>
    </w:p>
    <w:p>
      <w:pPr>
        <w:spacing w:before="60" w:after="100"/>
        <w:jc w:val="both"/>
      </w:pPr>
      <w:r>
        <w:rPr>
          <w:rFonts w:ascii="Arial" w:cs="Arial" w:eastAsia="Arial" w:hAnsi="Arial"/>
          <w:color w:val="000000"/>
          <w:sz w:val="22"/>
          <w:szCs w:val="22"/>
        </w:rPr>
        <w:t xml:space="preserve">The P2P Algorithm calculates a mathematical priority rank by cross-referencing sentiment polarity with disclosure urgency:</w:t>
      </w:r>
    </w:p>
    <w:p>
      <w:pPr>
        <w:spacing w:before="40" w:after="40"/>
        <w:ind w:left="720"/>
      </w:pPr>
      <w:r>
        <w:rPr>
          <w:rFonts w:ascii="Courier New" w:cs="Courier New" w:eastAsia="Courier New" w:hAnsi="Courier New"/>
          <w:color w:val="1A1A1A"/>
          <w:sz w:val="20"/>
          <w:szCs w:val="20"/>
        </w:rPr>
        <w:t xml:space="preserve">P2P Rank = (Polarity Weight x 0.40) + (Normalized Polarity Score x 0.25) + (Normalized Disclosure Urgency x 0.35)</w:t>
      </w:r>
    </w:p>
    <w:p>
      <w:pPr>
        <w:spacing w:before="60" w:after="100"/>
        <w:jc w:val="both"/>
      </w:pPr>
      <w:r>
        <w:rPr>
          <w:rFonts w:ascii="Arial" w:cs="Arial" w:eastAsia="Arial" w:hAnsi="Arial"/>
          <w:color w:val="000000"/>
          <w:sz w:val="22"/>
          <w:szCs w:val="22"/>
        </w:rPr>
        <w:t xml:space="preserve">Polarity weights: Adversarial = 1.00, Negative = 0.75, Neutral = 0.40, Positive = 0.20.</w:t>
      </w:r>
    </w:p>
    <w:p>
      <w:pPr>
        <w:spacing w:before="40" w:after="40"/>
        <w:ind w:left="720"/>
      </w:pPr>
      <w:r>
        <w:rPr>
          <w:rFonts w:ascii="Courier New" w:cs="Courier New" w:eastAsia="Courier New" w:hAnsi="Courier New"/>
          <w:color w:val="1A1A1A"/>
          <w:sz w:val="20"/>
          <w:szCs w:val="20"/>
        </w:rPr>
        <w:t xml:space="preserve">Effective Priority = (Base LLM Priority x 0.60) + (P2P Rank x 0.40)</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Worked Example — P2P Priority Calculation</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Scenario: Adversarial question about dividend suspension during earnings call</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Polarity:           Adversarial  =&gt;  Polarity Weight = 1.00</w:t>
            </w:r>
          </w:p>
          <w:p>
            <w:pPr>
              <w:spacing w:before="30" w:after="30"/>
              <w:ind w:left="160"/>
            </w:pPr>
            <w:r>
              <w:rPr>
                <w:rFonts w:ascii="Courier New" w:cs="Courier New" w:eastAsia="Courier New" w:hAnsi="Courier New"/>
                <w:color w:val="1A1A1A"/>
                <w:sz w:val="20"/>
                <w:szCs w:val="20"/>
              </w:rPr>
              <w:t xml:space="preserve">Normalized Polarity Score:        =&gt;  0.92 (strong negative sentiment detected)</w:t>
            </w:r>
          </w:p>
          <w:p>
            <w:pPr>
              <w:spacing w:before="30" w:after="30"/>
              <w:ind w:left="160"/>
            </w:pPr>
            <w:r>
              <w:rPr>
                <w:rFonts w:ascii="Courier New" w:cs="Courier New" w:eastAsia="Courier New" w:hAnsi="Courier New"/>
                <w:color w:val="1A1A1A"/>
                <w:sz w:val="20"/>
                <w:szCs w:val="20"/>
              </w:rPr>
              <w:t xml:space="preserve">Normalized Disclosure Urgency:    =&gt;  0.85 (potential selective disclosure risk)</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P2P Rank = (1.00 x 0.40) + (0.92 x 0.25) + (0.85 x 0.35)</w:t>
            </w:r>
          </w:p>
          <w:p>
            <w:pPr>
              <w:spacing w:before="30" w:after="30"/>
              <w:ind w:left="160"/>
            </w:pPr>
            <w:r>
              <w:rPr>
                <w:rFonts w:ascii="Courier New" w:cs="Courier New" w:eastAsia="Courier New" w:hAnsi="Courier New"/>
                <w:color w:val="1A1A1A"/>
                <w:sz w:val="20"/>
                <w:szCs w:val="20"/>
              </w:rPr>
              <w:t xml:space="preserve">P2P Rank = 0.400 + 0.230 + 0.298 = 0.928</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Base LLM Priority (from triage engine): 0.78</w:t>
            </w:r>
          </w:p>
          <w:p>
            <w:pPr>
              <w:spacing w:before="30" w:after="30"/>
              <w:ind w:left="160"/>
            </w:pPr>
            <w:r>
              <w:rPr>
                <w:rFonts w:ascii="Courier New" w:cs="Courier New" w:eastAsia="Courier New" w:hAnsi="Courier New"/>
                <w:color w:val="1A1A1A"/>
                <w:sz w:val="20"/>
                <w:szCs w:val="20"/>
              </w:rPr>
              <w:t xml:space="preserve">Effective Priority = (0.78 x 0.60) + (0.928 x 0.40)</w:t>
            </w:r>
          </w:p>
          <w:p>
            <w:pPr>
              <w:spacing w:before="30" w:after="30"/>
              <w:ind w:left="160"/>
            </w:pPr>
            <w:r>
              <w:rPr>
                <w:rFonts w:ascii="Courier New" w:cs="Courier New" w:eastAsia="Courier New" w:hAnsi="Courier New"/>
                <w:color w:val="1A1A1A"/>
                <w:sz w:val="20"/>
                <w:szCs w:val="20"/>
              </w:rPr>
              <w:t xml:space="preserve">Effective Priority = 0.468 + 0.371 = 0.839  =&gt;  HIGHEST PRIORITY — surface immediately</w:t>
            </w:r>
          </w:p>
        </w:tc>
      </w:tr>
    </w:tbl>
    <w:p>
      <w:pPr>
        <w:pStyle w:val="Heading2"/>
        <w:spacing w:before="280" w:after="80"/>
      </w:pPr>
      <w:r>
        <w:rPr>
          <w:rFonts w:ascii="Arial" w:cs="Arial" w:eastAsia="Arial" w:hAnsi="Arial"/>
          <w:b/>
          <w:bCs/>
          <w:color w:val="2E75B6"/>
          <w:sz w:val="26"/>
          <w:szCs w:val="26"/>
        </w:rPr>
        <w:t xml:space="preserve">9.8 Network-Latency Compensation for Silent Agents — Predictive Jitter-Buffer Synchronization</w:t>
      </w:r>
    </w:p>
    <w:p>
      <w:pPr>
        <w:spacing w:before="60" w:after="100"/>
        <w:jc w:val="both"/>
      </w:pPr>
      <w:r>
        <w:rPr>
          <w:rFonts w:ascii="Arial" w:cs="Arial" w:eastAsia="Arial" w:hAnsi="Arial"/>
          <w:b/>
          <w:bCs/>
          <w:color w:val="000000"/>
          <w:sz w:val="22"/>
          <w:szCs w:val="22"/>
        </w:rPr>
        <w:t xml:space="preserve">Implementation file: </w:t>
      </w:r>
      <w:r>
        <w:rPr>
          <w:rFonts w:ascii="Arial" w:cs="Arial" w:eastAsia="Arial" w:hAnsi="Arial"/>
          <w:color w:val="000000"/>
          <w:sz w:val="22"/>
          <w:szCs w:val="22"/>
        </w:rPr>
        <w:t xml:space="preserve">server/services/TranscriptSyncService.ts</w:t>
      </w:r>
    </w:p>
    <w:p>
      <w:pPr>
        <w:spacing w:before="60" w:after="100"/>
        <w:jc w:val="both"/>
      </w:pPr>
      <w:r>
        <w:rPr>
          <w:rFonts w:ascii="Arial" w:cs="Arial" w:eastAsia="Arial" w:hAnsi="Arial"/>
          <w:color w:val="000000"/>
          <w:sz w:val="22"/>
          <w:szCs w:val="22"/>
        </w:rPr>
        <w:t xml:space="preserve">The system maintains per-session jitter state and computes an alignment factor to synchronize transcripts with high-latency telephony audio:</w:t>
      </w:r>
    </w:p>
    <w:p>
      <w:pPr>
        <w:pStyle w:val="ListParagraph"/>
        <w:numPr>
          <w:ilvl w:val="0"/>
          <w:numId w:val="2"/>
        </w:numPr>
        <w:spacing w:before="40" w:after="40"/>
      </w:pPr>
      <w:r>
        <w:rPr>
          <w:rFonts w:ascii="Arial" w:cs="Arial" w:eastAsia="Arial" w:hAnsi="Arial"/>
          <w:color w:val="000000"/>
          <w:sz w:val="22"/>
          <w:szCs w:val="22"/>
        </w:rPr>
        <w:t xml:space="preserve">Delta-Time: Difference between audio signal arrival timestamp (arrival_ms) and transcript generation timestamp (generated_ms), clamped to the range [0, 30000ms].</w:t>
      </w:r>
    </w:p>
    <w:p>
      <w:pPr>
        <w:pStyle w:val="ListParagraph"/>
        <w:numPr>
          <w:ilvl w:val="0"/>
          <w:numId w:val="2"/>
        </w:numPr>
        <w:spacing w:before="40" w:after="40"/>
      </w:pPr>
      <w:r>
        <w:rPr>
          <w:rFonts w:ascii="Arial" w:cs="Arial" w:eastAsia="Arial" w:hAnsi="Arial"/>
          <w:color w:val="000000"/>
          <w:sz w:val="22"/>
          <w:szCs w:val="22"/>
        </w:rPr>
        <w:t xml:space="preserve">Average Latency: Rolling mean across the most recent 50 delta samples per session.</w:t>
      </w:r>
    </w:p>
    <w:p>
      <w:pPr>
        <w:pStyle w:val="ListParagraph"/>
        <w:numPr>
          <w:ilvl w:val="0"/>
          <w:numId w:val="2"/>
        </w:numPr>
        <w:spacing w:before="40" w:after="40"/>
      </w:pPr>
      <w:r>
        <w:rPr>
          <w:rFonts w:ascii="Arial" w:cs="Arial" w:eastAsia="Arial" w:hAnsi="Arial"/>
          <w:color w:val="000000"/>
          <w:sz w:val="22"/>
          <w:szCs w:val="22"/>
        </w:rPr>
        <w:t xml:space="preserve">Predicted Jitter: Standard deviation of recent delta samples.</w:t>
      </w:r>
    </w:p>
    <w:p>
      <w:pPr>
        <w:pStyle w:val="ListParagraph"/>
        <w:numPr>
          <w:ilvl w:val="0"/>
          <w:numId w:val="2"/>
        </w:numPr>
        <w:spacing w:before="40" w:after="40"/>
      </w:pPr>
      <w:r>
        <w:rPr>
          <w:rFonts w:ascii="Arial" w:cs="Arial" w:eastAsia="Arial" w:hAnsi="Arial"/>
          <w:color w:val="000000"/>
          <w:sz w:val="22"/>
          <w:szCs w:val="22"/>
        </w:rPr>
        <w:t xml:space="preserve">Adjustment Factor: Average latency plus half the predicted jitter.</w:t>
      </w:r>
    </w:p>
    <w:p>
      <w:pPr>
        <w:spacing w:before="40" w:after="40"/>
        <w:ind w:left="720"/>
      </w:pPr>
      <w:r>
        <w:rPr>
          <w:rFonts w:ascii="Courier New" w:cs="Courier New" w:eastAsia="Courier New" w:hAnsi="Courier New"/>
          <w:color w:val="1A1A1A"/>
          <w:sz w:val="20"/>
          <w:szCs w:val="20"/>
        </w:rPr>
        <w:t xml:space="preserve">aligned_timestamp = generated_ms - adjustment_factor</w:t>
      </w:r>
    </w:p>
    <w:p>
      <w:pPr>
        <w:spacing w:before="60" w:after="100"/>
        <w:jc w:val="both"/>
      </w:pPr>
      <w:r>
        <w:rPr>
          <w:rFonts w:ascii="Arial" w:cs="Arial" w:eastAsia="Arial" w:hAnsi="Arial"/>
          <w:color w:val="000000"/>
          <w:sz w:val="22"/>
          <w:szCs w:val="22"/>
        </w:rPr>
        <w:t xml:space="preserve">Latency classification: Low (&lt;= 200ms), Moderate (&lt;= 500ms), High (&lt;= 1500ms), Critical (&gt; 1500ms). Latency health status is reported to the operator console in real time. Session state TTL: 8 hours with a 10-minute eviction sweep.</w:t>
      </w:r>
    </w:p>
    <w:p>
      <w:pPr>
        <w:pStyle w:val="Heading2"/>
        <w:spacing w:before="280" w:after="80"/>
      </w:pPr>
      <w:r>
        <w:rPr>
          <w:rFonts w:ascii="Arial" w:cs="Arial" w:eastAsia="Arial" w:hAnsi="Arial"/>
          <w:b/>
          <w:bCs/>
          <w:color w:val="2E75B6"/>
          <w:sz w:val="26"/>
          <w:szCs w:val="26"/>
        </w:rPr>
        <w:t xml:space="preserve">9.9 Implementation File Inventory — Cross-Cutting Innovations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Lines of Code</w:t>
            </w:r>
          </w:p>
        </w:tc>
        <w:tc>
          <w:tcPr>
            <w:tcW w:type="dxa" w:w="3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Innovation Supported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client/src/components/Webphone.tsx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Programmatic DTMF Handshake Protocol (Claim 56)</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server/_core/index.ts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Telephony bridge orchestration core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server/directAccess.ts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 bridge access layer</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server/services/ConferenceDialoutService.ts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~220</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Dual-carrier failover, bulk dial-out (Claim 67)</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server/services/AiEvolutionService.ts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Scoring (Claim 57), Temporal Decay (Claim 58), Governance Gateway (Claim 64)</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server/services/LiveQaTriageService.ts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~310</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P2P Algorithm (Claim 65), Go Live Gate (Claim 62)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server/routers/liveQaRouter.ts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~275</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Cross-Platform Control Orchestration (Claim 61)</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server/webhooks/recall.ts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~145</w:t>
            </w:r>
          </w:p>
        </w:tc>
        <w:tc>
          <w:tcPr>
            <w:tcW w:type="dxa" w:w="37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Recall.ai webhook — identity mapping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server/services/TranscriptSyncService.ts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 Jitter-Buffer Synchronization (Claim 66)</w:t>
            </w:r>
          </w:p>
        </w:tc>
      </w:tr>
    </w:tbl>
    <w:p>
      <w:pPr>
        <w:spacing w:before="120" w:after="0"/>
      </w:pPr>
      <w:r>
        <w:t xml:space="preserve"/>
      </w:r>
    </w:p>
    <w:p>
      <w:pPr>
        <w:pStyle w:val="Heading1"/>
        <w:spacing w:before="360" w:after="120"/>
      </w:pPr>
      <w:r>
        <w:rPr>
          <w:rFonts w:ascii="Arial" w:cs="Arial" w:eastAsia="Arial" w:hAnsi="Arial"/>
          <w:b/>
          <w:bCs/>
          <w:color w:val="1B3A6B"/>
          <w:sz w:val="32"/>
          <w:szCs w:val="32"/>
        </w:rPr>
        <w:t xml:space="preserve">10. Detailed Technical Description — Module 32: Autonomous Enterprise Operating System (AEOS)</w:t>
      </w:r>
    </w:p>
    <w:p>
      <w:pPr>
        <w:spacing w:before="60" w:after="100"/>
        <w:jc w:val="both"/>
      </w:pPr>
      <w:r>
        <w:rPr>
          <w:rFonts w:ascii="Arial" w:cs="Arial" w:eastAsia="Arial" w:hAnsi="Arial"/>
          <w:color w:val="000000"/>
          <w:sz w:val="22"/>
          <w:szCs w:val="22"/>
        </w:rPr>
        <w:t xml:space="preserve">Refer: FIG 34, FIG 35</w:t>
      </w:r>
    </w:p>
    <w:p>
      <w:pPr>
        <w:pStyle w:val="Heading2"/>
        <w:spacing w:before="280" w:after="80"/>
      </w:pPr>
      <w:r>
        <w:rPr>
          <w:rFonts w:ascii="Arial" w:cs="Arial" w:eastAsia="Arial" w:hAnsi="Arial"/>
          <w:b/>
          <w:bCs/>
          <w:color w:val="2E75B6"/>
          <w:sz w:val="26"/>
          <w:szCs w:val="26"/>
        </w:rPr>
        <w:t xml:space="preserve">10.1 Purpose</w:t>
      </w:r>
    </w:p>
    <w:p>
      <w:pPr>
        <w:spacing w:before="60" w:after="100"/>
        <w:jc w:val="both"/>
      </w:pPr>
      <w:r>
        <w:rPr>
          <w:rFonts w:ascii="Arial" w:cs="Arial" w:eastAsia="Arial" w:hAnsi="Arial"/>
          <w:color w:val="000000"/>
          <w:sz w:val="22"/>
          <w:szCs w:val="22"/>
        </w:rPr>
        <w:t xml:space="preserve">Module 32 provides a fully autonomous enterprise operating system that manages the complete lifecycle of investor communication events — from initial client booking through service delivery to final invoicing and bank reconciliation — without human administrative intervention. The AEOS operates as the 'Financial Nervous System' of the platform, connecting every prior module to a unified commercial pipeline governed by deterministic state machines and enriched by a persistent Organizational Knowledge Graph.</w:t>
      </w:r>
    </w:p>
    <w:p>
      <w:pPr>
        <w:pStyle w:val="Heading2"/>
        <w:spacing w:before="280" w:after="80"/>
      </w:pPr>
      <w:r>
        <w:rPr>
          <w:rFonts w:ascii="Arial" w:cs="Arial" w:eastAsia="Arial" w:hAnsi="Arial"/>
          <w:b/>
          <w:bCs/>
          <w:color w:val="2E75B6"/>
          <w:sz w:val="26"/>
          <w:szCs w:val="26"/>
        </w:rPr>
        <w:t xml:space="preserve">10.2 Deterministic Financial State Machine (Quote-to-Cash)</w:t>
      </w:r>
    </w:p>
    <w:p>
      <w:pPr>
        <w:spacing w:before="60" w:after="100"/>
        <w:jc w:val="both"/>
      </w:pPr>
      <w:r>
        <w:rPr>
          <w:rFonts w:ascii="Arial" w:cs="Arial" w:eastAsia="Arial" w:hAnsi="Arial"/>
          <w:color w:val="000000"/>
          <w:sz w:val="22"/>
          <w:szCs w:val="22"/>
        </w:rPr>
        <w:t xml:space="preserve">The system implements a fully autonomous Quote-to-Cash (Q2C) lifecycle governed by a Deterministic Financial State Machine with four sequential stages:</w:t>
      </w:r>
    </w:p>
    <w:p>
      <w:pPr>
        <w:pStyle w:val="ListParagraph"/>
        <w:numPr>
          <w:ilvl w:val="0"/>
          <w:numId w:val="2"/>
        </w:numPr>
        <w:spacing w:before="40" w:after="40"/>
      </w:pPr>
      <w:r>
        <w:rPr>
          <w:rFonts w:ascii="Arial" w:cs="Arial" w:eastAsia="Arial" w:hAnsi="Arial"/>
          <w:b/>
          <w:bCs/>
          <w:color w:val="000000"/>
          <w:sz w:val="22"/>
          <w:szCs w:val="22"/>
        </w:rPr>
        <w:t xml:space="preserve">Stage 1 — Predictive Quoting Engine: </w:t>
      </w:r>
      <w:r>
        <w:rPr>
          <w:rFonts w:ascii="Arial" w:cs="Arial" w:eastAsia="Arial" w:hAnsi="Arial"/>
          <w:color w:val="000000"/>
          <w:sz w:val="22"/>
          <w:szCs w:val="22"/>
        </w:rPr>
        <w:t xml:space="preserve">Upon submission of a multimodal booking form (text fields, file upload, calendar integration), a proprietary algorithm calculates pricing by cross-referencing real-time resource availability (operators, infrastructure, compliance analysts) with a Predictive Demand Vector derived from historical booking patterns, seasonal trends, and event complexity scoring.</w:t>
      </w:r>
    </w:p>
    <w:p>
      <w:pPr>
        <w:pStyle w:val="ListParagraph"/>
        <w:numPr>
          <w:ilvl w:val="0"/>
          <w:numId w:val="2"/>
        </w:numPr>
        <w:spacing w:before="40" w:after="40"/>
      </w:pPr>
      <w:r>
        <w:rPr>
          <w:rFonts w:ascii="Arial" w:cs="Arial" w:eastAsia="Arial" w:hAnsi="Arial"/>
          <w:b/>
          <w:bCs/>
          <w:color w:val="000000"/>
          <w:sz w:val="22"/>
          <w:szCs w:val="22"/>
        </w:rPr>
        <w:t xml:space="preserve">Stage 2 — Autonomous Registration Bridge: </w:t>
      </w:r>
      <w:r>
        <w:rPr>
          <w:rFonts w:ascii="Arial" w:cs="Arial" w:eastAsia="Arial" w:hAnsi="Arial"/>
          <w:color w:val="000000"/>
          <w:sz w:val="22"/>
          <w:szCs w:val="22"/>
        </w:rPr>
        <w:t xml:space="preserve">Once a digital signature is detected on the approved quote (via DocuSign API or equivalent), the system triggers an asynchronous event chain to: (a) generate unique registration credentials with time-based expiration tokens; (b) provision event infrastructure (Ably real-time channels, database records, Shadow Mode session); (c) distribute onboarding materials to the client; and (d) allocate operator resources based on predicted event complexity from the Knowledge Graph.</w:t>
      </w:r>
    </w:p>
    <w:p>
      <w:pPr>
        <w:pStyle w:val="ListParagraph"/>
        <w:numPr>
          <w:ilvl w:val="0"/>
          <w:numId w:val="2"/>
        </w:numPr>
        <w:spacing w:before="40" w:after="40"/>
      </w:pPr>
      <w:r>
        <w:rPr>
          <w:rFonts w:ascii="Arial" w:cs="Arial" w:eastAsia="Arial" w:hAnsi="Arial"/>
          <w:b/>
          <w:bCs/>
          <w:color w:val="000000"/>
          <w:sz w:val="22"/>
          <w:szCs w:val="22"/>
        </w:rPr>
        <w:t xml:space="preserve">Stage 3 — Event-Triggered Invoicing: </w:t>
      </w:r>
      <w:r>
        <w:rPr>
          <w:rFonts w:ascii="Arial" w:cs="Arial" w:eastAsia="Arial" w:hAnsi="Arial"/>
          <w:color w:val="000000"/>
          <w:sz w:val="22"/>
          <w:szCs w:val="22"/>
        </w:rPr>
        <w:t xml:space="preserve">Upon receiving a Service-Complete signal from Module 31 (Live Event Module), the system programmatically generates a cryptographically signed invoice containing: event duration, questions processed, compliance flags raised, attendee count, AI-generated session summary, and blockchain certificate hash reference from Module 22.</w:t>
      </w:r>
    </w:p>
    <w:p>
      <w:pPr>
        <w:pStyle w:val="ListParagraph"/>
        <w:numPr>
          <w:ilvl w:val="0"/>
          <w:numId w:val="2"/>
        </w:numPr>
        <w:spacing w:before="40" w:after="40"/>
      </w:pPr>
      <w:r>
        <w:rPr>
          <w:rFonts w:ascii="Arial" w:cs="Arial" w:eastAsia="Arial" w:hAnsi="Arial"/>
          <w:b/>
          <w:bCs/>
          <w:color w:val="000000"/>
          <w:sz w:val="22"/>
          <w:szCs w:val="22"/>
        </w:rPr>
        <w:t xml:space="preserve">Stage 4 — Self-Healing Reconciliation Layer: </w:t>
      </w:r>
      <w:r>
        <w:rPr>
          <w:rFonts w:ascii="Arial" w:cs="Arial" w:eastAsia="Arial" w:hAnsi="Arial"/>
          <w:color w:val="000000"/>
          <w:sz w:val="22"/>
          <w:szCs w:val="22"/>
        </w:rPr>
        <w:t xml:space="preserve">The system interfaces with Banking APIs and uses SHA-256 Hash Matching to correlate incoming payments with issued invoices. Payment discrepancies (partial payment, overpayment, missing payment) trigger an automated Resolution Agent that generates client communication, adjusts ledger entries, and escalates only unresolvable cases to a human operator.</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Worked Example — AEOS Quote-to-Cash Lifecycle</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Client: JSE-listed company requesting a 2-hour earnings call for 100 attendees</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Stage 1 — Quoting:</w:t>
            </w:r>
          </w:p>
          <w:p>
            <w:pPr>
              <w:spacing w:before="30" w:after="30"/>
              <w:ind w:left="160"/>
            </w:pPr>
            <w:r>
              <w:rPr>
                <w:rFonts w:ascii="Courier New" w:cs="Courier New" w:eastAsia="Courier New" w:hAnsi="Courier New"/>
                <w:color w:val="1A1A1A"/>
                <w:sz w:val="20"/>
                <w:szCs w:val="20"/>
              </w:rPr>
              <w:t xml:space="preserve">  Resource availability check: 2 operators available, compliance analyst on-call</w:t>
            </w:r>
          </w:p>
          <w:p>
            <w:pPr>
              <w:spacing w:before="30" w:after="30"/>
              <w:ind w:left="160"/>
            </w:pPr>
            <w:r>
              <w:rPr>
                <w:rFonts w:ascii="Courier New" w:cs="Courier New" w:eastAsia="Courier New" w:hAnsi="Courier New"/>
                <w:color w:val="1A1A1A"/>
                <w:sz w:val="20"/>
                <w:szCs w:val="20"/>
              </w:rPr>
              <w:t xml:space="preserve">  Predictive Demand Vector: Q3 earnings season — high demand, +15% price factor</w:t>
            </w:r>
          </w:p>
          <w:p>
            <w:pPr>
              <w:spacing w:before="30" w:after="30"/>
              <w:ind w:left="160"/>
            </w:pPr>
            <w:r>
              <w:rPr>
                <w:rFonts w:ascii="Courier New" w:cs="Courier New" w:eastAsia="Courier New" w:hAnsi="Courier New"/>
                <w:color w:val="1A1A1A"/>
                <w:sz w:val="20"/>
                <w:szCs w:val="20"/>
              </w:rPr>
              <w:t xml:space="preserve">  Event complexity score: 0.78 (large attendee count, JSE jurisdiction, dual language)</w:t>
            </w:r>
          </w:p>
          <w:p>
            <w:pPr>
              <w:spacing w:before="30" w:after="30"/>
              <w:ind w:left="160"/>
            </w:pPr>
            <w:r>
              <w:rPr>
                <w:rFonts w:ascii="Courier New" w:cs="Courier New" w:eastAsia="Courier New" w:hAnsi="Courier New"/>
                <w:color w:val="1A1A1A"/>
                <w:sz w:val="20"/>
                <w:szCs w:val="20"/>
              </w:rPr>
              <w:t xml:space="preserve">  Dynamic quote: $8,500 (base) + $2,100 (compliance monitoring) = $10,600</w:t>
            </w:r>
          </w:p>
          <w:p>
            <w:pPr>
              <w:spacing w:before="30" w:after="30"/>
              <w:ind w:left="160"/>
            </w:pPr>
            <w:r>
              <w:rPr>
                <w:rFonts w:ascii="Courier New" w:cs="Courier New" w:eastAsia="Courier New" w:hAnsi="Courier New"/>
                <w:color w:val="1A1A1A"/>
                <w:sz w:val="20"/>
                <w:szCs w:val="20"/>
              </w:rPr>
              <w:t xml:space="preserve">  Quote generated in &lt; 2 minutes; 24-hour validity window; digitally signed</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Stage 2 — Registration (triggered by client digital signature):</w:t>
            </w:r>
          </w:p>
          <w:p>
            <w:pPr>
              <w:spacing w:before="30" w:after="30"/>
              <w:ind w:left="160"/>
            </w:pPr>
            <w:r>
              <w:rPr>
                <w:rFonts w:ascii="Courier New" w:cs="Courier New" w:eastAsia="Courier New" w:hAnsi="Courier New"/>
                <w:color w:val="1A1A1A"/>
                <w:sz w:val="20"/>
                <w:szCs w:val="20"/>
              </w:rPr>
              <w:t xml:space="preserve">  Unique credentials generated; Ably channels provisioned</w:t>
            </w:r>
          </w:p>
          <w:p>
            <w:pPr>
              <w:spacing w:before="30" w:after="30"/>
              <w:ind w:left="160"/>
            </w:pPr>
            <w:r>
              <w:rPr>
                <w:rFonts w:ascii="Courier New" w:cs="Courier New" w:eastAsia="Courier New" w:hAnsi="Courier New"/>
                <w:color w:val="1A1A1A"/>
                <w:sz w:val="20"/>
                <w:szCs w:val="20"/>
              </w:rPr>
              <w:t xml:space="preserve">  Operators allocated; onboarding pack distributed</w:t>
            </w:r>
          </w:p>
          <w:p>
            <w:pPr>
              <w:spacing w:before="30" w:after="30"/>
              <w:ind w:left="160"/>
            </w:pPr>
            <w:r>
              <w:rPr>
                <w:rFonts w:ascii="Courier New" w:cs="Courier New" w:eastAsia="Courier New" w:hAnsi="Courier New"/>
                <w:color w:val="1A1A1A"/>
                <w:sz w:val="20"/>
                <w:szCs w:val="20"/>
              </w:rPr>
              <w:t xml:space="preserve">  Time elapsed: &lt; 90 seconds from signature detection</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Stage 3 — Invoicing (triggered by Service-Complete signal from Module 31):</w:t>
            </w:r>
          </w:p>
          <w:p>
            <w:pPr>
              <w:spacing w:before="30" w:after="30"/>
              <w:ind w:left="160"/>
            </w:pPr>
            <w:r>
              <w:rPr>
                <w:rFonts w:ascii="Courier New" w:cs="Courier New" w:eastAsia="Courier New" w:hAnsi="Courier New"/>
                <w:color w:val="1A1A1A"/>
                <w:sz w:val="20"/>
                <w:szCs w:val="20"/>
              </w:rPr>
              <w:t xml:space="preserve">  Duration: 2h 14min; Questions processed: 47; Compliance flags: 3</w:t>
            </w:r>
          </w:p>
          <w:p>
            <w:pPr>
              <w:spacing w:before="30" w:after="30"/>
              <w:ind w:left="160"/>
            </w:pPr>
            <w:r>
              <w:rPr>
                <w:rFonts w:ascii="Courier New" w:cs="Courier New" w:eastAsia="Courier New" w:hAnsi="Courier New"/>
                <w:color w:val="1A1A1A"/>
                <w:sz w:val="20"/>
                <w:szCs w:val="20"/>
              </w:rPr>
              <w:t xml:space="preserve">  Attendees: 94; Blockchain certificate hash: sha256-7f3a...d9c2</w:t>
            </w:r>
          </w:p>
          <w:p>
            <w:pPr>
              <w:spacing w:before="30" w:after="30"/>
              <w:ind w:left="160"/>
            </w:pPr>
            <w:r>
              <w:rPr>
                <w:rFonts w:ascii="Courier New" w:cs="Courier New" w:eastAsia="Courier New" w:hAnsi="Courier New"/>
                <w:color w:val="1A1A1A"/>
                <w:sz w:val="20"/>
                <w:szCs w:val="20"/>
              </w:rPr>
              <w:t xml:space="preserve">  Cryptographically signed invoice generated; distributed to client</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Stage 4 — Reconciliation:</w:t>
            </w:r>
          </w:p>
          <w:p>
            <w:pPr>
              <w:spacing w:before="30" w:after="30"/>
              <w:ind w:left="160"/>
            </w:pPr>
            <w:r>
              <w:rPr>
                <w:rFonts w:ascii="Courier New" w:cs="Courier New" w:eastAsia="Courier New" w:hAnsi="Courier New"/>
                <w:color w:val="1A1A1A"/>
                <w:sz w:val="20"/>
                <w:szCs w:val="20"/>
              </w:rPr>
              <w:t xml:space="preserve">  Payment received: $10,600 via EFT</w:t>
            </w:r>
          </w:p>
          <w:p>
            <w:pPr>
              <w:spacing w:before="30" w:after="30"/>
              <w:ind w:left="160"/>
            </w:pPr>
            <w:r>
              <w:rPr>
                <w:rFonts w:ascii="Courier New" w:cs="Courier New" w:eastAsia="Courier New" w:hAnsi="Courier New"/>
                <w:color w:val="1A1A1A"/>
                <w:sz w:val="20"/>
                <w:szCs w:val="20"/>
              </w:rPr>
              <w:t xml:space="preserve">  SHA-256 hash matching: EXACT MATCH — invoice closed</w:t>
            </w:r>
          </w:p>
          <w:p>
            <w:pPr>
              <w:spacing w:before="30" w:after="30"/>
              <w:ind w:left="160"/>
            </w:pPr>
            <w:r>
              <w:rPr>
                <w:rFonts w:ascii="Courier New" w:cs="Courier New" w:eastAsia="Courier New" w:hAnsi="Courier New"/>
                <w:color w:val="1A1A1A"/>
                <w:sz w:val="20"/>
                <w:szCs w:val="20"/>
              </w:rPr>
              <w:t xml:space="preserve">  Ledger updated autonomously; no human intervention required</w:t>
            </w:r>
          </w:p>
        </w:tc>
      </w:tr>
    </w:tbl>
    <w:p>
      <w:pPr>
        <w:pStyle w:val="Heading2"/>
        <w:spacing w:before="280" w:after="80"/>
      </w:pPr>
      <w:r>
        <w:rPr>
          <w:rFonts w:ascii="Arial" w:cs="Arial" w:eastAsia="Arial" w:hAnsi="Arial"/>
          <w:b/>
          <w:bCs/>
          <w:color w:val="2E75B6"/>
          <w:sz w:val="26"/>
          <w:szCs w:val="26"/>
        </w:rPr>
        <w:t xml:space="preserve">10.3 Organizational Knowledge Graph (Digital Twin)</w:t>
      </w:r>
    </w:p>
    <w:p>
      <w:pPr>
        <w:spacing w:before="60" w:after="100"/>
        <w:jc w:val="both"/>
      </w:pPr>
      <w:r>
        <w:rPr>
          <w:rFonts w:ascii="Arial" w:cs="Arial" w:eastAsia="Arial" w:hAnsi="Arial"/>
          <w:color w:val="000000"/>
          <w:sz w:val="22"/>
          <w:szCs w:val="22"/>
        </w:rPr>
        <w:t xml:space="preserve">The platform creates a persistent Organizational Knowledge Graph that serves as the company's 'Digital Twin.' This graph is a structured representation comprising four interconnected layers:</w:t>
      </w:r>
    </w:p>
    <w:p>
      <w:pPr>
        <w:pStyle w:val="ListParagraph"/>
        <w:numPr>
          <w:ilvl w:val="0"/>
          <w:numId w:val="2"/>
        </w:numPr>
        <w:spacing w:before="40" w:after="40"/>
      </w:pPr>
      <w:r>
        <w:rPr>
          <w:rFonts w:ascii="Arial" w:cs="Arial" w:eastAsia="Arial" w:hAnsi="Arial"/>
          <w:b/>
          <w:bCs/>
          <w:color w:val="000000"/>
          <w:sz w:val="22"/>
          <w:szCs w:val="22"/>
        </w:rPr>
        <w:t xml:space="preserve">Company Profile: </w:t>
      </w:r>
      <w:r>
        <w:rPr>
          <w:rFonts w:ascii="Arial" w:cs="Arial" w:eastAsia="Arial" w:hAnsi="Arial"/>
          <w:color w:val="000000"/>
          <w:sz w:val="22"/>
          <w:szCs w:val="22"/>
        </w:rPr>
        <w:t xml:space="preserve">Personality traits (conservative vs aggressive communication style), brand voice characteristics, regulatory posture (proactive vs reactive), and risk tolerance settings.</w:t>
      </w:r>
    </w:p>
    <w:p>
      <w:pPr>
        <w:pStyle w:val="ListParagraph"/>
        <w:numPr>
          <w:ilvl w:val="0"/>
          <w:numId w:val="2"/>
        </w:numPr>
        <w:spacing w:before="40" w:after="40"/>
      </w:pPr>
      <w:r>
        <w:rPr>
          <w:rFonts w:ascii="Arial" w:cs="Arial" w:eastAsia="Arial" w:hAnsi="Arial"/>
          <w:b/>
          <w:bCs/>
          <w:color w:val="000000"/>
          <w:sz w:val="22"/>
          <w:szCs w:val="22"/>
        </w:rPr>
        <w:t xml:space="preserve">Historical Intelligence: </w:t>
      </w:r>
      <w:r>
        <w:rPr>
          <w:rFonts w:ascii="Arial" w:cs="Arial" w:eastAsia="Arial" w:hAnsi="Arial"/>
          <w:color w:val="000000"/>
          <w:sz w:val="22"/>
          <w:szCs w:val="22"/>
        </w:rPr>
        <w:t xml:space="preserve">All prior event transcripts, Q&amp;A patterns, compliance incidents, attendee sentiment trends, and AI-generated insights — each weighted by the temporal decay function (W(t) = 0.5 ^ (age_in_days / 14)) from Section 9.3, ensuring recent intelligence carries greater predictive weight.</w:t>
      </w:r>
    </w:p>
    <w:p>
      <w:pPr>
        <w:pStyle w:val="ListParagraph"/>
        <w:numPr>
          <w:ilvl w:val="0"/>
          <w:numId w:val="2"/>
        </w:numPr>
        <w:spacing w:before="40" w:after="40"/>
      </w:pPr>
      <w:r>
        <w:rPr>
          <w:rFonts w:ascii="Arial" w:cs="Arial" w:eastAsia="Arial" w:hAnsi="Arial"/>
          <w:b/>
          <w:bCs/>
          <w:color w:val="000000"/>
          <w:sz w:val="22"/>
          <w:szCs w:val="22"/>
        </w:rPr>
        <w:t xml:space="preserve">Relationship Map: </w:t>
      </w:r>
      <w:r>
        <w:rPr>
          <w:rFonts w:ascii="Arial" w:cs="Arial" w:eastAsia="Arial" w:hAnsi="Arial"/>
          <w:color w:val="000000"/>
          <w:sz w:val="22"/>
          <w:szCs w:val="22"/>
        </w:rPr>
        <w:t xml:space="preserve">Structured linkages: Client -&gt; Event -&gt; Attendee -&gt; Question -&gt; Sentiment, enabling cross-event pattern detection and attendee behaviour modelling across the client relationship history.</w:t>
      </w:r>
    </w:p>
    <w:p>
      <w:pPr>
        <w:pStyle w:val="ListParagraph"/>
        <w:numPr>
          <w:ilvl w:val="0"/>
          <w:numId w:val="2"/>
        </w:numPr>
        <w:spacing w:before="40" w:after="40"/>
      </w:pPr>
      <w:r>
        <w:rPr>
          <w:rFonts w:ascii="Arial" w:cs="Arial" w:eastAsia="Arial" w:hAnsi="Arial"/>
          <w:b/>
          <w:bCs/>
          <w:color w:val="000000"/>
          <w:sz w:val="22"/>
          <w:szCs w:val="22"/>
        </w:rPr>
        <w:t xml:space="preserve">Goal Framework: </w:t>
      </w:r>
      <w:r>
        <w:rPr>
          <w:rFonts w:ascii="Arial" w:cs="Arial" w:eastAsia="Arial" w:hAnsi="Arial"/>
          <w:color w:val="000000"/>
          <w:sz w:val="22"/>
          <w:szCs w:val="22"/>
        </w:rPr>
        <w:t xml:space="preserve">Client-defined objectives (increase analyst engagement, reduce compliance incidents, improve response time) with measurable KPIs tracked autonomously against baseline performance.</w:t>
      </w:r>
    </w:p>
    <w:p>
      <w:pPr>
        <w:pStyle w:val="Heading2"/>
        <w:spacing w:before="280" w:after="80"/>
      </w:pPr>
      <w:r>
        <w:rPr>
          <w:rFonts w:ascii="Arial" w:cs="Arial" w:eastAsia="Arial" w:hAnsi="Arial"/>
          <w:b/>
          <w:bCs/>
          <w:color w:val="2E75B6"/>
          <w:sz w:val="26"/>
          <w:szCs w:val="26"/>
        </w:rPr>
        <w:t xml:space="preserve">10.4 Predictive Resource Allocation</w:t>
      </w:r>
    </w:p>
    <w:p>
      <w:pPr>
        <w:spacing w:before="60" w:after="100"/>
        <w:jc w:val="both"/>
      </w:pPr>
      <w:r>
        <w:rPr>
          <w:rFonts w:ascii="Arial" w:cs="Arial" w:eastAsia="Arial" w:hAnsi="Arial"/>
          <w:color w:val="000000"/>
          <w:sz w:val="22"/>
          <w:szCs w:val="22"/>
        </w:rPr>
        <w:t xml:space="preserve">Using the Digital Twin's historical intelligence and the Predictive Demand Vector, the system autonomously:</w:t>
      </w:r>
    </w:p>
    <w:p>
      <w:pPr>
        <w:pStyle w:val="ListParagraph"/>
        <w:numPr>
          <w:ilvl w:val="0"/>
          <w:numId w:val="2"/>
        </w:numPr>
        <w:spacing w:before="40" w:after="40"/>
      </w:pPr>
      <w:r>
        <w:rPr>
          <w:rFonts w:ascii="Arial" w:cs="Arial" w:eastAsia="Arial" w:hAnsi="Arial"/>
          <w:color w:val="000000"/>
          <w:sz w:val="22"/>
          <w:szCs w:val="22"/>
        </w:rPr>
        <w:t xml:space="preserve">Forecasts operator staffing requirements for upcoming events based on predicted complexity, attendee volume, and jurisdiction from the Knowledge Graph</w:t>
      </w:r>
    </w:p>
    <w:p>
      <w:pPr>
        <w:pStyle w:val="ListParagraph"/>
        <w:numPr>
          <w:ilvl w:val="0"/>
          <w:numId w:val="2"/>
        </w:numPr>
        <w:spacing w:before="40" w:after="40"/>
      </w:pPr>
      <w:r>
        <w:rPr>
          <w:rFonts w:ascii="Arial" w:cs="Arial" w:eastAsia="Arial" w:hAnsi="Arial"/>
          <w:color w:val="000000"/>
          <w:sz w:val="22"/>
          <w:szCs w:val="22"/>
        </w:rPr>
        <w:t xml:space="preserve">Pre-allocates compliance analysts when the Knowledge Graph indicates elevated regulatory risk for a specific client or jurisdiction based on prior compliance incident history</w:t>
      </w:r>
    </w:p>
    <w:p>
      <w:pPr>
        <w:pStyle w:val="ListParagraph"/>
        <w:numPr>
          <w:ilvl w:val="0"/>
          <w:numId w:val="2"/>
        </w:numPr>
        <w:spacing w:before="40" w:after="40"/>
      </w:pPr>
      <w:r>
        <w:rPr>
          <w:rFonts w:ascii="Arial" w:cs="Arial" w:eastAsia="Arial" w:hAnsi="Arial"/>
          <w:color w:val="000000"/>
          <w:sz w:val="22"/>
          <w:szCs w:val="22"/>
        </w:rPr>
        <w:t xml:space="preserve">Prepares crisis communication briefs when event sentiment trends (from prior events) indicate potential hostile Q&amp;A patterns</w:t>
      </w:r>
    </w:p>
    <w:p>
      <w:pPr>
        <w:pStyle w:val="ListParagraph"/>
        <w:numPr>
          <w:ilvl w:val="0"/>
          <w:numId w:val="2"/>
        </w:numPr>
        <w:spacing w:before="40" w:after="40"/>
      </w:pPr>
      <w:r>
        <w:rPr>
          <w:rFonts w:ascii="Arial" w:cs="Arial" w:eastAsia="Arial" w:hAnsi="Arial"/>
          <w:color w:val="000000"/>
          <w:sz w:val="22"/>
          <w:szCs w:val="22"/>
        </w:rPr>
        <w:t xml:space="preserve">Adjusts real-time pricing recommendations based on resource utilization patterns and demand forecasting</w:t>
      </w:r>
    </w:p>
    <w:p>
      <w:pPr>
        <w:pStyle w:val="Heading2"/>
        <w:spacing w:before="280" w:after="80"/>
      </w:pPr>
      <w:r>
        <w:rPr>
          <w:rFonts w:ascii="Arial" w:cs="Arial" w:eastAsia="Arial" w:hAnsi="Arial"/>
          <w:b/>
          <w:bCs/>
          <w:color w:val="2E75B6"/>
          <w:sz w:val="26"/>
          <w:szCs w:val="26"/>
        </w:rPr>
        <w:t xml:space="preserve">10.5 Sovereign Data Architecture</w:t>
      </w:r>
    </w:p>
    <w:p>
      <w:pPr>
        <w:spacing w:before="60" w:after="100"/>
        <w:jc w:val="both"/>
      </w:pPr>
      <w:r>
        <w:rPr>
          <w:rFonts w:ascii="Arial" w:cs="Arial" w:eastAsia="Arial" w:hAnsi="Arial"/>
          <w:color w:val="000000"/>
          <w:sz w:val="22"/>
          <w:szCs w:val="22"/>
        </w:rPr>
        <w:t xml:space="preserve">The AEOS implements a Sovereign Data Architecture to protect each client's organizational 'Private Brain':</w:t>
      </w:r>
    </w:p>
    <w:p>
      <w:pPr>
        <w:pStyle w:val="ListParagraph"/>
        <w:numPr>
          <w:ilvl w:val="0"/>
          <w:numId w:val="2"/>
        </w:numPr>
        <w:spacing w:before="40" w:after="40"/>
      </w:pPr>
      <w:r>
        <w:rPr>
          <w:rFonts w:ascii="Arial" w:cs="Arial" w:eastAsia="Arial" w:hAnsi="Arial"/>
          <w:b/>
          <w:bCs/>
          <w:color w:val="000000"/>
          <w:sz w:val="22"/>
          <w:szCs w:val="22"/>
        </w:rPr>
        <w:t xml:space="preserve">Isolated Learning: </w:t>
      </w:r>
      <w:r>
        <w:rPr>
          <w:rFonts w:ascii="Arial" w:cs="Arial" w:eastAsia="Arial" w:hAnsi="Arial"/>
          <w:color w:val="000000"/>
          <w:sz w:val="22"/>
          <w:szCs w:val="22"/>
        </w:rPr>
        <w:t xml:space="preserve">Each client's Knowledge Graph is logically isolated — the AI learns from each client's data independently and never cross-contaminates intelligence between organizations. No client's event intelligence can influence another client's predictions or reports.</w:t>
      </w:r>
    </w:p>
    <w:p>
      <w:pPr>
        <w:pStyle w:val="ListParagraph"/>
        <w:numPr>
          <w:ilvl w:val="0"/>
          <w:numId w:val="2"/>
        </w:numPr>
        <w:spacing w:before="40" w:after="40"/>
      </w:pPr>
      <w:r>
        <w:rPr>
          <w:rFonts w:ascii="Arial" w:cs="Arial" w:eastAsia="Arial" w:hAnsi="Arial"/>
          <w:b/>
          <w:bCs/>
          <w:color w:val="000000"/>
          <w:sz w:val="22"/>
          <w:szCs w:val="22"/>
        </w:rPr>
        <w:t xml:space="preserve">Zero-Trust Identity Validation: </w:t>
      </w:r>
      <w:r>
        <w:rPr>
          <w:rFonts w:ascii="Arial" w:cs="Arial" w:eastAsia="Arial" w:hAnsi="Arial"/>
          <w:color w:val="000000"/>
          <w:sz w:val="22"/>
          <w:szCs w:val="22"/>
        </w:rPr>
        <w:t xml:space="preserve">Every API call to the AEOS requires cryptographic identity verification. No implicit trust is granted based on network location or session state.</w:t>
      </w:r>
    </w:p>
    <w:p>
      <w:pPr>
        <w:pStyle w:val="ListParagraph"/>
        <w:numPr>
          <w:ilvl w:val="0"/>
          <w:numId w:val="2"/>
        </w:numPr>
        <w:spacing w:before="40" w:after="40"/>
      </w:pPr>
      <w:r>
        <w:rPr>
          <w:rFonts w:ascii="Arial" w:cs="Arial" w:eastAsia="Arial" w:hAnsi="Arial"/>
          <w:b/>
          <w:bCs/>
          <w:color w:val="000000"/>
          <w:sz w:val="22"/>
          <w:szCs w:val="22"/>
        </w:rPr>
        <w:t xml:space="preserve">Data Residency Compliance: </w:t>
      </w:r>
      <w:r>
        <w:rPr>
          <w:rFonts w:ascii="Arial" w:cs="Arial" w:eastAsia="Arial" w:hAnsi="Arial"/>
          <w:color w:val="000000"/>
          <w:sz w:val="22"/>
          <w:szCs w:val="22"/>
        </w:rPr>
        <w:t xml:space="preserve">The architecture supports configurable data residency to meet jurisdiction-specific requirements including POPIA (South Africa), GDPR (European Union), and SOX (United States).</w:t>
      </w:r>
    </w:p>
    <w:p>
      <w:pPr>
        <w:pStyle w:val="Heading2"/>
        <w:spacing w:before="280" w:after="80"/>
      </w:pPr>
      <w:r>
        <w:rPr>
          <w:rFonts w:ascii="Arial" w:cs="Arial" w:eastAsia="Arial" w:hAnsi="Arial"/>
          <w:b/>
          <w:bCs/>
          <w:color w:val="2E75B6"/>
          <w:sz w:val="26"/>
          <w:szCs w:val="26"/>
        </w:rPr>
        <w:t xml:space="preserve">10.6 AGI-Ready Universal Sync (Modal-Agnostic Semantic API)</w:t>
      </w:r>
    </w:p>
    <w:p>
      <w:pPr>
        <w:spacing w:before="60" w:after="100"/>
        <w:jc w:val="both"/>
      </w:pPr>
      <w:r>
        <w:rPr>
          <w:rFonts w:ascii="Arial" w:cs="Arial" w:eastAsia="Arial" w:hAnsi="Arial"/>
          <w:color w:val="000000"/>
          <w:sz w:val="22"/>
          <w:szCs w:val="22"/>
        </w:rPr>
        <w:t xml:space="preserve">The AEOS exposes a Modal-Agnostic Semantic API that describes every system capability in structured natural language. This API layer enables:</w:t>
      </w:r>
    </w:p>
    <w:p>
      <w:pPr>
        <w:pStyle w:val="ListParagraph"/>
        <w:numPr>
          <w:ilvl w:val="0"/>
          <w:numId w:val="2"/>
        </w:numPr>
        <w:spacing w:before="40" w:after="40"/>
      </w:pPr>
      <w:r>
        <w:rPr>
          <w:rFonts w:ascii="Arial" w:cs="Arial" w:eastAsia="Arial" w:hAnsi="Arial"/>
          <w:color w:val="000000"/>
          <w:sz w:val="22"/>
          <w:szCs w:val="22"/>
        </w:rPr>
        <w:t xml:space="preserve">Future AGI systems to discover, understand, and invoke any platform capability without pre-programmed integrations</w:t>
      </w:r>
    </w:p>
    <w:p>
      <w:pPr>
        <w:pStyle w:val="ListParagraph"/>
        <w:numPr>
          <w:ilvl w:val="0"/>
          <w:numId w:val="2"/>
        </w:numPr>
        <w:spacing w:before="40" w:after="40"/>
      </w:pPr>
      <w:r>
        <w:rPr>
          <w:rFonts w:ascii="Arial" w:cs="Arial" w:eastAsia="Arial" w:hAnsi="Arial"/>
          <w:color w:val="000000"/>
          <w:sz w:val="22"/>
          <w:szCs w:val="22"/>
        </w:rPr>
        <w:t xml:space="preserve">Natural language commands to trigger complex multi-module workflows (e.g., 'Prepare for tomorrow's earnings call' triggers resource allocation, compliance pre-screening, operator scheduling, and attendee notification simultaneously across Modules 20, 28, 30, 31, and 32)</w:t>
      </w:r>
    </w:p>
    <w:p>
      <w:pPr>
        <w:pStyle w:val="ListParagraph"/>
        <w:numPr>
          <w:ilvl w:val="0"/>
          <w:numId w:val="2"/>
        </w:numPr>
        <w:spacing w:before="40" w:after="40"/>
      </w:pPr>
      <w:r>
        <w:rPr>
          <w:rFonts w:ascii="Arial" w:cs="Arial" w:eastAsia="Arial" w:hAnsi="Arial"/>
          <w:color w:val="000000"/>
          <w:sz w:val="22"/>
          <w:szCs w:val="22"/>
        </w:rPr>
        <w:t xml:space="preserve">Self-describing endpoints where each API capability includes its purpose, required inputs, expected outputs, and regulatory implications in machine-readable natural language</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11. Prior Art Differentiation</w:t>
      </w:r>
    </w:p>
    <w:p>
      <w:pPr>
        <w:spacing w:before="60" w:after="100"/>
        <w:jc w:val="both"/>
      </w:pPr>
      <w:r>
        <w:rPr>
          <w:rFonts w:ascii="Arial" w:cs="Arial" w:eastAsia="Arial" w:hAnsi="Arial"/>
          <w:color w:val="000000"/>
          <w:sz w:val="22"/>
          <w:szCs w:val="22"/>
        </w:rPr>
        <w:t xml:space="preserve">The following table provides a formal differentiation of each novel element introduced in CIP Submission 6 from the closest known prior art: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Innovation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Closest Prior Art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 Art Limitation</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CuraLive Differentiation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Programmatic DTMF Handshake Protocol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Twilio Voice SDK, Telnyx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Provide DTMF APIs but require manual call orchestration. No autonomous bridge entry, no silent listener state management, no IVR bypass logic.</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autonomous multi-step DTMF sequence execution with dual-carrier failover and silent muted entry state — no human trigger at any stage.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Cross-Platform Control Translation Layer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Graph API, Zoom REST, Webex SDK</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platform provides participant control within its own interface only. No cross-platform identity mapping from an external Q&amp;A database.</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Maps external Q&amp;A attendee identifiers (name, email) to native participant IDs across all three platforms from a single non-native operator interface.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Metadata-Triggered State Authorization (Go Live 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Zoom Q&amp;A, Teams live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Platform-native Q&amp;A with manual moderator approval. No AI triage scoring, no compliance risk threshold, no mathematical authorization gate.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Dual-gate authorization: triage score threshold AND compliance risk ceiling. Mathematical, auditable, and configurable per-session or per-jurisdiction.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Autonomous Governance Gateway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MLflow, LangSmith, LangFuse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Observability tools that track model performance metrics. Require humans to act on insights. No deterministic safety gate before AI tool deployment.</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Four-criterion deterministic gate (stability, consistency, failure rate, compliance boundary) with elevated threshold for compliance-critical modules and SHA-256 audit trail.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Polarity-to-Priority (P2P) Algorithm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Gong, Chorus.ai, Otter.ai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sentiment scores for recorded conversations. No real-time triage, no mathematical urgency-polarity blending, no live Q&amp;A prioritization.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mathematical ratio of sentiment polarity to disclosure urgency, blended into effective priority: P2P Rank = (Polarity Weight x 0.40) + (Normalized Polarity x 0.25) + (Urgency x 0.35).</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Predictive Jitter-Buffer Synchronization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Rev.ai, Deepgram, AssemblyAI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Post-hoc or near-real-time transcription. No per-session jitter state, no rolling statistical latency model, no aligned_timestamp computation for telephony bridges.</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Per-session rolling 50-sample buffer computing average latency, predicted jitter (stddev), and adjustment factor applied to every transcript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AEOS Quote-to-Cash State Machine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Salesforce, HubSpot, Xero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CRM, invoicing, and accounting as separate products with no autonomous integration, no event-triggered invoicing, no SHA-256 payment reconciliation.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deterministic financial state machine: predictive quoting -&gt; autonomous registration -&gt; event-triggered invoicing -&gt; self-healing reconciliation with SHA-256 hash matching.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Organizational Digital Twin Knowledge Graph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Salesforce CRM, HubSpot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 contact and company records. No persistent knowledge graph, no temporal decay weighting, no predictive resource allocation, no crisis brief generation.</w:t>
            </w:r>
          </w:p>
        </w:tc>
        <w:tc>
          <w:tcPr>
            <w:tcW w:type="dxa" w:w="26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knowledge graph storing company personality, historical intelligence (decay-weighted), relationship maps, and goal frameworks, enabling autonomous crisis brief and staffing forecast generation.</w:t>
            </w:r>
          </w:p>
        </w:tc>
      </w:tr>
    </w:tbl>
    <w:p>
      <w:pPr>
        <w:spacing w:before="120" w:after="0"/>
      </w:pPr>
      <w:r>
        <w:t xml:space="preserve"/>
      </w:r>
    </w:p>
    <w:p>
      <w:pPr>
        <w:pStyle w:val="Heading1"/>
        <w:spacing w:before="360" w:after="120"/>
      </w:pPr>
      <w:r>
        <w:rPr>
          <w:rFonts w:ascii="Arial" w:cs="Arial" w:eastAsia="Arial" w:hAnsi="Arial"/>
          <w:b/>
          <w:bCs/>
          <w:color w:val="1B3A6B"/>
          <w:sz w:val="32"/>
          <w:szCs w:val="32"/>
        </w:rPr>
        <w:t xml:space="preserve">12. Embodiments</w:t>
      </w:r>
    </w:p>
    <w:p>
      <w:pPr>
        <w:pStyle w:val="Heading2"/>
        <w:spacing w:before="280" w:after="80"/>
      </w:pPr>
      <w:r>
        <w:rPr>
          <w:rFonts w:ascii="Arial" w:cs="Arial" w:eastAsia="Arial" w:hAnsi="Arial"/>
          <w:b/>
          <w:bCs/>
          <w:color w:val="2E75B6"/>
          <w:sz w:val="26"/>
          <w:szCs w:val="26"/>
        </w:rPr>
        <w:t xml:space="preserve">12.1 Operator-Managed Event Embodiment</w:t>
      </w:r>
    </w:p>
    <w:p>
      <w:pPr>
        <w:spacing w:before="60" w:after="100"/>
        <w:jc w:val="both"/>
      </w:pPr>
      <w:r>
        <w:rPr>
          <w:rFonts w:ascii="Arial" w:cs="Arial" w:eastAsia="Arial" w:hAnsi="Arial"/>
          <w:color w:val="000000"/>
          <w:sz w:val="22"/>
          <w:szCs w:val="22"/>
        </w:rPr>
        <w:t xml:space="preserve">For investor events hosted on client platforms (Teams, Zoom, Webex): CuraLive operator joins the client's platform with co-host rights. Attendees submit questions via the CuraLive Q&amp;A link. The AI triage engine and P2P algorithm surface adversarial and high-urgency questions ahead of neutral/positive ones. The Go Live gate ensures only compliance-cleared, sufficiently-scored questions are approved for live audio. The operator unmutes the approved attendee on the client's platform via API integration or manually. Shadow Mode captures the full event with jitter-compensated transcript synchronization.</w:t>
      </w:r>
    </w:p>
    <w:p>
      <w:pPr>
        <w:pStyle w:val="Heading2"/>
        <w:spacing w:before="280" w:after="80"/>
      </w:pPr>
      <w:r>
        <w:rPr>
          <w:rFonts w:ascii="Arial" w:cs="Arial" w:eastAsia="Arial" w:hAnsi="Arial"/>
          <w:b/>
          <w:bCs/>
          <w:color w:val="2E75B6"/>
          <w:sz w:val="26"/>
          <w:szCs w:val="26"/>
        </w:rPr>
        <w:t xml:space="preserve">12.2 Autonomous AI Governance Embodiment</w:t>
      </w:r>
    </w:p>
    <w:p>
      <w:pPr>
        <w:spacing w:before="60" w:after="100"/>
        <w:jc w:val="both"/>
      </w:pPr>
      <w:r>
        <w:rPr>
          <w:rFonts w:ascii="Arial" w:cs="Arial" w:eastAsia="Arial" w:hAnsi="Arial"/>
          <w:color w:val="000000"/>
          <w:sz w:val="22"/>
          <w:szCs w:val="22"/>
        </w:rPr>
        <w:t xml:space="preserve">For the self-evolution engine's autonomous tool generation: The AI Meta-Observer (Module 28) identifies capability gaps during live sessions and proposes new micro-tools. Tools accumulate evidence through cross-event correlation and decayed confidence scoring. The Governance Gateway blocks promotion to production until all four stability criteria are met. Compliance-critical tools face the elevated threshold (0.75 vs 0.65) to prevent regulatory boundary violations. All governance decisions are logged in the SHA-256 hash-chained evolution audit log.</w:t>
      </w:r>
    </w:p>
    <w:p>
      <w:pPr>
        <w:pStyle w:val="Heading2"/>
        <w:spacing w:before="280" w:after="80"/>
      </w:pPr>
      <w:r>
        <w:rPr>
          <w:rFonts w:ascii="Arial" w:cs="Arial" w:eastAsia="Arial" w:hAnsi="Arial"/>
          <w:b/>
          <w:bCs/>
          <w:color w:val="2E75B6"/>
          <w:sz w:val="26"/>
          <w:szCs w:val="26"/>
        </w:rPr>
        <w:t xml:space="preserve">12.3 High-Latency Telephony Embodiment</w:t>
      </w:r>
    </w:p>
    <w:p>
      <w:pPr>
        <w:spacing w:before="60" w:after="100"/>
        <w:jc w:val="both"/>
      </w:pPr>
      <w:r>
        <w:rPr>
          <w:rFonts w:ascii="Arial" w:cs="Arial" w:eastAsia="Arial" w:hAnsi="Arial"/>
          <w:color w:val="000000"/>
          <w:sz w:val="22"/>
          <w:szCs w:val="22"/>
        </w:rPr>
        <w:t xml:space="preserve">For silent monitoring of PSTN conference bridges with variable network latency: The silent agent enters the bridge via programmatic DTMF handshake with no manual intervention required. Predictive jitter-buffer synchronization compensates for network latency between audio arrival and transcript generation. Compliance flags and metadata maintain a unified temporal state regardless of bridge latency. Latency health status (healthy/degraded/poor) is reported to the operator console in real time.</w:t>
      </w:r>
    </w:p>
    <w:p>
      <w:pPr>
        <w:pStyle w:val="Heading2"/>
        <w:spacing w:before="280" w:after="80"/>
      </w:pPr>
      <w:r>
        <w:rPr>
          <w:rFonts w:ascii="Arial" w:cs="Arial" w:eastAsia="Arial" w:hAnsi="Arial"/>
          <w:b/>
          <w:bCs/>
          <w:color w:val="2E75B6"/>
          <w:sz w:val="26"/>
          <w:szCs w:val="26"/>
        </w:rPr>
        <w:t xml:space="preserve">12.4 Full AEOS Embodiment</w:t>
      </w:r>
    </w:p>
    <w:p>
      <w:pPr>
        <w:spacing w:before="60" w:after="100"/>
        <w:jc w:val="both"/>
      </w:pPr>
      <w:r>
        <w:rPr>
          <w:rFonts w:ascii="Arial" w:cs="Arial" w:eastAsia="Arial" w:hAnsi="Arial"/>
          <w:color w:val="000000"/>
          <w:sz w:val="22"/>
          <w:szCs w:val="22"/>
        </w:rPr>
        <w:t xml:space="preserve">For the complete autonomous enterprise lifecycle: The client submits a booking request via multimodal form. The Predictive Quoting Engine generates dynamic pricing based on resource availability and demand forecasting. Digital signature triggers the Autonomous Registration Bridge — event infrastructure provisioned, credentials distributed, operators allocated within 90 seconds. The live event runs with full Module 31 Q&amp;A intelligence, Module 28 self-evolution, and real-time compliance monitoring. The Service-Complete signal triggers automatic invoice generation with cryptographic signing and blockchain certificate hash reference. The Self-Healing Reconciliation Layer matches incoming payments via SHA-256 hash correlation and resolves discrepancies autonomously. The Organizational Knowledge Graph updates with event intelligence, enriching the Digital Twin for future predictive allocation.</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13. Industrial Applicability</w:t>
      </w:r>
    </w:p>
    <w:p>
      <w:pPr>
        <w:spacing w:before="60" w:after="100"/>
        <w:jc w:val="both"/>
      </w:pPr>
      <w:r>
        <w:rPr>
          <w:rFonts w:ascii="Arial" w:cs="Arial" w:eastAsia="Arial" w:hAnsi="Arial"/>
          <w:color w:val="000000"/>
          <w:sz w:val="22"/>
          <w:szCs w:val="22"/>
        </w:rPr>
        <w:t xml:space="preserve">The innovations in this CIP Submission 6 are directly applicable to:</w:t>
      </w:r>
    </w:p>
    <w:p>
      <w:pPr>
        <w:pStyle w:val="ListParagraph"/>
        <w:numPr>
          <w:ilvl w:val="0"/>
          <w:numId w:val="2"/>
        </w:numPr>
        <w:spacing w:before="40" w:after="40"/>
      </w:pPr>
      <w:r>
        <w:rPr>
          <w:rFonts w:ascii="Arial" w:cs="Arial" w:eastAsia="Arial" w:hAnsi="Arial"/>
          <w:color w:val="000000"/>
          <w:sz w:val="22"/>
          <w:szCs w:val="22"/>
        </w:rPr>
        <w:t xml:space="preserve">Investor relations firms managing Q&amp;A across multiple conferencing platforms simultaneously, requiring compliance-gated live Q&amp;A during earnings calls, investor days, and AGMs</w:t>
      </w:r>
    </w:p>
    <w:p>
      <w:pPr>
        <w:pStyle w:val="ListParagraph"/>
        <w:numPr>
          <w:ilvl w:val="0"/>
          <w:numId w:val="2"/>
        </w:numPr>
        <w:spacing w:before="40" w:after="40"/>
      </w:pPr>
      <w:r>
        <w:rPr>
          <w:rFonts w:ascii="Arial" w:cs="Arial" w:eastAsia="Arial" w:hAnsi="Arial"/>
          <w:color w:val="000000"/>
          <w:sz w:val="22"/>
          <w:szCs w:val="22"/>
        </w:rPr>
        <w:t xml:space="preserve">Listed companies on JSE, NYSE, LSE, or any exchange requiring autonomous compliance monitoring and audit-proof documentation for all investor communications</w:t>
      </w:r>
    </w:p>
    <w:p>
      <w:pPr>
        <w:pStyle w:val="ListParagraph"/>
        <w:numPr>
          <w:ilvl w:val="0"/>
          <w:numId w:val="2"/>
        </w:numPr>
        <w:spacing w:before="40" w:after="40"/>
      </w:pPr>
      <w:r>
        <w:rPr>
          <w:rFonts w:ascii="Arial" w:cs="Arial" w:eastAsia="Arial" w:hAnsi="Arial"/>
          <w:color w:val="000000"/>
          <w:sz w:val="22"/>
          <w:szCs w:val="22"/>
        </w:rPr>
        <w:t xml:space="preserve">Telecommunications operators requiring latency-compensated real-time transcription across PSTN bridges with variable network conditions</w:t>
      </w:r>
    </w:p>
    <w:p>
      <w:pPr>
        <w:pStyle w:val="ListParagraph"/>
        <w:numPr>
          <w:ilvl w:val="0"/>
          <w:numId w:val="2"/>
        </w:numPr>
        <w:spacing w:before="40" w:after="40"/>
      </w:pPr>
      <w:r>
        <w:rPr>
          <w:rFonts w:ascii="Arial" w:cs="Arial" w:eastAsia="Arial" w:hAnsi="Arial"/>
          <w:color w:val="000000"/>
          <w:sz w:val="22"/>
          <w:szCs w:val="22"/>
        </w:rPr>
        <w:t xml:space="preserve">AI governance frameworks requiring deterministic safety validation before autonomous tool deployment in regulated environments</w:t>
      </w:r>
    </w:p>
    <w:p>
      <w:pPr>
        <w:pStyle w:val="ListParagraph"/>
        <w:numPr>
          <w:ilvl w:val="0"/>
          <w:numId w:val="2"/>
        </w:numPr>
        <w:spacing w:before="40" w:after="40"/>
      </w:pPr>
      <w:r>
        <w:rPr>
          <w:rFonts w:ascii="Arial" w:cs="Arial" w:eastAsia="Arial" w:hAnsi="Arial"/>
          <w:color w:val="000000"/>
          <w:sz w:val="22"/>
          <w:szCs w:val="22"/>
        </w:rPr>
        <w:t xml:space="preserve">Enterprise IR firms requiring autonomous end-to-end event lifecycle management from booking through billing and organizational intelligence</w:t>
      </w:r>
    </w:p>
    <w:p>
      <w:pPr>
        <w:pStyle w:val="ListParagraph"/>
        <w:numPr>
          <w:ilvl w:val="0"/>
          <w:numId w:val="2"/>
        </w:numPr>
        <w:spacing w:before="40" w:after="40"/>
      </w:pPr>
      <w:r>
        <w:rPr>
          <w:rFonts w:ascii="Arial" w:cs="Arial" w:eastAsia="Arial" w:hAnsi="Arial"/>
          <w:color w:val="000000"/>
          <w:sz w:val="22"/>
          <w:szCs w:val="22"/>
        </w:rPr>
        <w:t xml:space="preserve">Financial services companies requiring self-healing bank reconciliation with cryptographic payment verification and automated ledger management</w:t>
      </w:r>
    </w:p>
    <w:p>
      <w:pPr>
        <w:pStyle w:val="ListParagraph"/>
        <w:numPr>
          <w:ilvl w:val="0"/>
          <w:numId w:val="2"/>
        </w:numPr>
        <w:spacing w:before="40" w:after="40"/>
      </w:pPr>
      <w:r>
        <w:rPr>
          <w:rFonts w:ascii="Arial" w:cs="Arial" w:eastAsia="Arial" w:hAnsi="Arial"/>
          <w:color w:val="000000"/>
          <w:sz w:val="22"/>
          <w:szCs w:val="22"/>
        </w:rPr>
        <w:t xml:space="preserve">Any organisation requiring cross-platform identity mapping for participant management across Teams, Zoom, and Webex from a single interface</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14. Alternative Implementations</w:t>
      </w:r>
    </w:p>
    <w:p>
      <w:pPr>
        <w:spacing w:before="60" w:after="100"/>
        <w:jc w:val="both"/>
      </w:pPr>
      <w:r>
        <w:rPr>
          <w:rFonts w:ascii="Arial" w:cs="Arial" w:eastAsia="Arial" w:hAnsi="Arial"/>
          <w:color w:val="000000"/>
          <w:sz w:val="22"/>
          <w:szCs w:val="22"/>
        </w:rPr>
        <w:t xml:space="preserve">The systems and methods described in this specification may be implemented using a variety of computational architectures and analytical techniques:</w:t>
      </w:r>
    </w:p>
    <w:p>
      <w:pPr>
        <w:pStyle w:val="ListParagraph"/>
        <w:numPr>
          <w:ilvl w:val="0"/>
          <w:numId w:val="2"/>
        </w:numPr>
        <w:spacing w:before="40" w:after="40"/>
      </w:pPr>
      <w:r>
        <w:rPr>
          <w:rFonts w:ascii="Arial" w:cs="Arial" w:eastAsia="Arial" w:hAnsi="Arial"/>
          <w:color w:val="000000"/>
          <w:sz w:val="22"/>
          <w:szCs w:val="22"/>
        </w:rPr>
        <w:t xml:space="preserve">The DTMF handshake protocol may use any telephony carrier (Twilio, Telnyx, Vonage, or equivalent). The protocol is carrier-agnostic and operates identically across PSTN, VoIP, and WebRTC bridges.</w:t>
      </w:r>
    </w:p>
    <w:p>
      <w:pPr>
        <w:pStyle w:val="ListParagraph"/>
        <w:numPr>
          <w:ilvl w:val="0"/>
          <w:numId w:val="2"/>
        </w:numPr>
        <w:spacing w:before="40" w:after="40"/>
      </w:pPr>
      <w:r>
        <w:rPr>
          <w:rFonts w:ascii="Arial" w:cs="Arial" w:eastAsia="Arial" w:hAnsi="Arial"/>
          <w:color w:val="000000"/>
          <w:sz w:val="22"/>
          <w:szCs w:val="22"/>
        </w:rPr>
        <w:t xml:space="preserve">Cross-platform identity mapping may use any conferencing API (Microsoft Graph, Zoom REST, Webex SDK, Google Meet API, or equivalent). The mapping logic is platform-agnostic.</w:t>
      </w:r>
    </w:p>
    <w:p>
      <w:pPr>
        <w:pStyle w:val="ListParagraph"/>
        <w:numPr>
          <w:ilvl w:val="0"/>
          <w:numId w:val="2"/>
        </w:numPr>
        <w:spacing w:before="40" w:after="40"/>
      </w:pPr>
      <w:r>
        <w:rPr>
          <w:rFonts w:ascii="Arial" w:cs="Arial" w:eastAsia="Arial" w:hAnsi="Arial"/>
          <w:color w:val="000000"/>
          <w:sz w:val="22"/>
          <w:szCs w:val="22"/>
        </w:rPr>
        <w:t xml:space="preserve">The P2P algorithm may use any sentiment analysis model or natural language processing engine. The mathematical ratio is model-independent and the polarity weights are configurable.</w:t>
      </w:r>
    </w:p>
    <w:p>
      <w:pPr>
        <w:pStyle w:val="ListParagraph"/>
        <w:numPr>
          <w:ilvl w:val="0"/>
          <w:numId w:val="2"/>
        </w:numPr>
        <w:spacing w:before="40" w:after="40"/>
      </w:pPr>
      <w:r>
        <w:rPr>
          <w:rFonts w:ascii="Arial" w:cs="Arial" w:eastAsia="Arial" w:hAnsi="Arial"/>
          <w:color w:val="000000"/>
          <w:sz w:val="22"/>
          <w:szCs w:val="22"/>
        </w:rPr>
        <w:t xml:space="preserve">The Governance Gateway may use any stability scoring methodology. The four-criterion threshold-based gate is algorithm-independent.</w:t>
      </w:r>
    </w:p>
    <w:p>
      <w:pPr>
        <w:pStyle w:val="ListParagraph"/>
        <w:numPr>
          <w:ilvl w:val="0"/>
          <w:numId w:val="2"/>
        </w:numPr>
        <w:spacing w:before="40" w:after="40"/>
      </w:pPr>
      <w:r>
        <w:rPr>
          <w:rFonts w:ascii="Arial" w:cs="Arial" w:eastAsia="Arial" w:hAnsi="Arial"/>
          <w:color w:val="000000"/>
          <w:sz w:val="22"/>
          <w:szCs w:val="22"/>
        </w:rPr>
        <w:t xml:space="preserve">Jitter-buffer synchronization may use any statistical method for jitter estimation. The rolling delta-time approach is implementation-independent and the sample window size is configurable.</w:t>
      </w:r>
    </w:p>
    <w:p>
      <w:pPr>
        <w:pStyle w:val="ListParagraph"/>
        <w:numPr>
          <w:ilvl w:val="0"/>
          <w:numId w:val="2"/>
        </w:numPr>
        <w:spacing w:before="40" w:after="40"/>
      </w:pPr>
      <w:r>
        <w:rPr>
          <w:rFonts w:ascii="Arial" w:cs="Arial" w:eastAsia="Arial" w:hAnsi="Arial"/>
          <w:color w:val="000000"/>
          <w:sz w:val="22"/>
          <w:szCs w:val="22"/>
        </w:rPr>
        <w:t xml:space="preserve">The Go Live threshold (triage score minimum and compliance risk ceiling) may be configured per-session, per-client, or globally. The authorization gate is threshold-independent.</w:t>
      </w:r>
    </w:p>
    <w:p>
      <w:pPr>
        <w:pStyle w:val="ListParagraph"/>
        <w:numPr>
          <w:ilvl w:val="0"/>
          <w:numId w:val="2"/>
        </w:numPr>
        <w:spacing w:before="40" w:after="40"/>
      </w:pPr>
      <w:r>
        <w:rPr>
          <w:rFonts w:ascii="Arial" w:cs="Arial" w:eastAsia="Arial" w:hAnsi="Arial"/>
          <w:color w:val="000000"/>
          <w:sz w:val="22"/>
          <w:szCs w:val="22"/>
        </w:rPr>
        <w:t xml:space="preserve">The Financial State Machine may interface with any payment processor (Stripe, PayFast, Paystack, or equivalent). The Q2C lifecycle is processor-agnostic.</w:t>
      </w:r>
    </w:p>
    <w:p>
      <w:pPr>
        <w:pStyle w:val="ListParagraph"/>
        <w:numPr>
          <w:ilvl w:val="0"/>
          <w:numId w:val="2"/>
        </w:numPr>
        <w:spacing w:before="40" w:after="40"/>
      </w:pPr>
      <w:r>
        <w:rPr>
          <w:rFonts w:ascii="Arial" w:cs="Arial" w:eastAsia="Arial" w:hAnsi="Arial"/>
          <w:color w:val="000000"/>
          <w:sz w:val="22"/>
          <w:szCs w:val="22"/>
        </w:rPr>
        <w:t xml:space="preserve">The Knowledge Graph may use any graph database or relational representation (Neo4j, in-memory graph, PostgreSQL JSONB, or equivalent). The Digital Twin architecture is storage-independent.</w:t>
      </w:r>
    </w:p>
    <w:p>
      <w:pPr>
        <w:pStyle w:val="ListParagraph"/>
        <w:numPr>
          <w:ilvl w:val="0"/>
          <w:numId w:val="2"/>
        </w:numPr>
        <w:spacing w:before="40" w:after="40"/>
      </w:pPr>
      <w:r>
        <w:rPr>
          <w:rFonts w:ascii="Arial" w:cs="Arial" w:eastAsia="Arial" w:hAnsi="Arial"/>
          <w:color w:val="000000"/>
          <w:sz w:val="22"/>
          <w:szCs w:val="22"/>
        </w:rPr>
        <w:t xml:space="preserve">The invoicing engine may interface with any accounting system (Xero, QuickBooks, Sage, or equivalent). Event-triggered invoicing is system-agnostic.</w:t>
      </w:r>
    </w:p>
    <w:p>
      <w:pPr>
        <w:pStyle w:val="ListParagraph"/>
        <w:numPr>
          <w:ilvl w:val="0"/>
          <w:numId w:val="2"/>
        </w:numPr>
        <w:spacing w:before="40" w:after="40"/>
      </w:pPr>
      <w:r>
        <w:rPr>
          <w:rFonts w:ascii="Arial" w:cs="Arial" w:eastAsia="Arial" w:hAnsi="Arial"/>
          <w:color w:val="000000"/>
          <w:sz w:val="22"/>
          <w:szCs w:val="22"/>
        </w:rPr>
        <w:t xml:space="preserve">The Sovereign Data Architecture may use any encryption and identity framework. The zero-trust model is implementation-independent.</w:t>
      </w:r>
    </w:p>
    <w:p>
      <w:pPr>
        <w:pStyle w:val="ListParagraph"/>
        <w:numPr>
          <w:ilvl w:val="0"/>
          <w:numId w:val="2"/>
        </w:numPr>
        <w:spacing w:before="40" w:after="40"/>
      </w:pPr>
      <w:r>
        <w:rPr>
          <w:rFonts w:ascii="Arial" w:cs="Arial" w:eastAsia="Arial" w:hAnsi="Arial"/>
          <w:color w:val="000000"/>
          <w:sz w:val="22"/>
          <w:szCs w:val="22"/>
        </w:rPr>
        <w:t xml:space="preserve">The AI analysis engines may operate using any large language model (GPT-4o, Claude, Gemini, Llama, or domain-specific fine-tuned models). The mathematical scoring algorithms are model-agnostic.</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15. New Claims (CIP Submission 6) — Claims 56–75</w:t>
      </w:r>
    </w:p>
    <w:p>
      <w:pPr>
        <w:spacing w:before="60" w:after="100"/>
        <w:jc w:val="both"/>
      </w:pPr>
      <w:r>
        <w:rPr>
          <w:rFonts w:ascii="Arial" w:cs="Arial" w:eastAsia="Arial" w:hAnsi="Arial"/>
          <w:color w:val="000000"/>
          <w:sz w:val="22"/>
          <w:szCs w:val="22"/>
        </w:rPr>
        <w:t xml:space="preserve">The following claims supplement Claims 1–55 of the prior filings incorporated by reference.</w:t>
      </w:r>
    </w:p>
    <w:p>
      <w:pPr>
        <w:pBdr>
          <w:bottom w:val="single" w:color="2E75B6" w:sz="6" w:space="1"/>
        </w:pBdr>
        <w:spacing w:before="120" w:after="120"/>
      </w:pPr>
      <w:r>
        <w:t xml:space="preserve"/>
      </w:r>
    </w:p>
    <w:p>
      <w:pPr>
        <w:pStyle w:val="Heading2"/>
        <w:spacing w:before="280" w:after="80"/>
      </w:pPr>
      <w:r>
        <w:rPr>
          <w:rFonts w:ascii="Arial" w:cs="Arial" w:eastAsia="Arial" w:hAnsi="Arial"/>
          <w:b/>
          <w:bCs/>
          <w:color w:val="2E75B6"/>
          <w:sz w:val="26"/>
          <w:szCs w:val="26"/>
        </w:rPr>
        <w:t xml:space="preserve">Cross-Cutting Innovation Claims</w:t>
      </w:r>
    </w:p>
    <w:p>
      <w:pPr>
        <w:spacing w:before="120" w:after="80"/>
        <w:jc w:val="both"/>
      </w:pPr>
      <w:r>
        <w:rPr>
          <w:rFonts w:ascii="Arial" w:cs="Arial" w:eastAsia="Arial" w:hAnsi="Arial"/>
          <w:b/>
          <w:bCs/>
          <w:color w:val="1B3A6B"/>
          <w:sz w:val="22"/>
          <w:szCs w:val="22"/>
        </w:rPr>
        <w:t xml:space="preserve">Claim 56 (Independent): </w:t>
      </w:r>
      <w:r>
        <w:rPr>
          <w:rFonts w:ascii="Arial" w:cs="Arial" w:eastAsia="Arial" w:hAnsi="Arial"/>
          <w:color w:val="000000"/>
          <w:sz w:val="22"/>
          <w:szCs w:val="22"/>
        </w:rPr>
        <w:t xml:space="preserve">A method for autonomous bridge entry comprising the programmatic execution of dual-tone multi-frequency (DTMF) sequences to achieve a persistent audio capture state on a remote telephony bridge without manual user intervention, wherein the system autonomously: (a) dials into a third-party conference bridge (PSTN, VoIP, or WebRTC) using an outbound telephony call; (b) executes a pre-defined sequence of DTMF signals to bypass participant prompts; (c) validates entry credentials against stored attendee registrations using a 5-digit PIN protocol; and (d) enters a silent listener state with the participant muted and conference entry notifications suppressed.</w:t>
      </w:r>
    </w:p>
    <w:p>
      <w:pPr>
        <w:spacing w:before="120" w:after="80"/>
        <w:jc w:val="both"/>
      </w:pPr>
      <w:r>
        <w:rPr>
          <w:rFonts w:ascii="Arial" w:cs="Arial" w:eastAsia="Arial" w:hAnsi="Arial"/>
          <w:b/>
          <w:bCs/>
          <w:color w:val="1B3A6B"/>
          <w:sz w:val="22"/>
          <w:szCs w:val="22"/>
        </w:rPr>
        <w:t xml:space="preserve">Claim 57 (Independent): </w:t>
      </w:r>
      <w:r>
        <w:rPr>
          <w:rFonts w:ascii="Arial" w:cs="Arial" w:eastAsia="Arial" w:hAnsi="Arial"/>
          <w:color w:val="000000"/>
          <w:sz w:val="22"/>
          <w:szCs w:val="22"/>
        </w:rPr>
        <w:t xml:space="preserve">A deterministic scoring system for AI-generated outputs comprising a weighted quality score Q computed across three mathematical dimensions: Depth (D, weight 0.40) measuring content detail by character count, array length, or object field population relative to baseline thresholds; Breadth (B, weight 0.30) measuring cross-referencing completeness as the ratio of populated sub-fields to total fields across multi-jurisdictional frameworks; and Specificity (S, weight 0.30) measuring the inverse ratio of generic boilerplate phrases detected against a pre-defined Noise Library to technical disclosures, expressed as: Q = (0.40 x D) + (0.30 x B) + (0.30 x S).</w:t>
      </w:r>
    </w:p>
    <w:p>
      <w:pPr>
        <w:spacing w:before="120" w:after="80"/>
        <w:jc w:val="both"/>
      </w:pPr>
      <w:r>
        <w:rPr>
          <w:rFonts w:ascii="Arial" w:cs="Arial" w:eastAsia="Arial" w:hAnsi="Arial"/>
          <w:b/>
          <w:bCs/>
          <w:color w:val="1B3A6B"/>
          <w:sz w:val="22"/>
          <w:szCs w:val="22"/>
        </w:rPr>
        <w:t xml:space="preserve">Claim 58 (Independent): </w:t>
      </w:r>
      <w:r>
        <w:rPr>
          <w:rFonts w:ascii="Arial" w:cs="Arial" w:eastAsia="Arial" w:hAnsi="Arial"/>
          <w:color w:val="000000"/>
          <w:sz w:val="22"/>
          <w:szCs w:val="22"/>
        </w:rPr>
        <w:t xml:space="preserve">A temporal decay mechanism for autonomous machine learning that applies an exponential half-life function W(t) = 0.5 ^ (age_in_days / 14) to historical observation weights, ensuring the system prioritizes current market and regulatory conditions over stale data, wherein observations with a decay weight below 0.25 are classified as inactive and excluded from active evidence counts, and wherein the decay mechanism causes tool proposals to stall or lose promotion momentum when supporting observations are no longer being reinforced by new events.</w:t>
      </w:r>
    </w:p>
    <w:p>
      <w:pPr>
        <w:spacing w:before="120" w:after="80"/>
        <w:jc w:val="both"/>
      </w:pPr>
      <w:r>
        <w:rPr>
          <w:rFonts w:ascii="Arial" w:cs="Arial" w:eastAsia="Arial" w:hAnsi="Arial"/>
          <w:b/>
          <w:bCs/>
          <w:color w:val="1B3A6B"/>
          <w:sz w:val="22"/>
          <w:szCs w:val="22"/>
        </w:rPr>
        <w:t xml:space="preserve">Claim 59 (Independent): </w:t>
      </w:r>
      <w:r>
        <w:rPr>
          <w:rFonts w:ascii="Arial" w:cs="Arial" w:eastAsia="Arial" w:hAnsi="Arial"/>
          <w:color w:val="000000"/>
          <w:sz w:val="22"/>
          <w:szCs w:val="22"/>
        </w:rPr>
        <w:t xml:space="preserve">An AGI-based compliance co-pilot that executes real-time auto-remediation of live speech signals against a consolidated database of multi-jurisdictional regulatory frameworks including ZA_JSE, US_SEC, UK_FCA, and EU_ESMA, performing: (a) predictive risk analysis of statements before they are finalized; (b) forward-looking statement detection and disclaimer adequacy assessment; (c) selective disclosure violation checks against prior communications; and (d) automated remediation policy generation with draft corrective language.</w:t>
      </w:r>
    </w:p>
    <w:p>
      <w:pPr>
        <w:spacing w:before="120" w:after="80"/>
        <w:jc w:val="both"/>
      </w:pPr>
      <w:r>
        <w:rPr>
          <w:rFonts w:ascii="Arial" w:cs="Arial" w:eastAsia="Arial" w:hAnsi="Arial"/>
          <w:b/>
          <w:bCs/>
          <w:color w:val="1B3A6B"/>
          <w:sz w:val="22"/>
          <w:szCs w:val="22"/>
        </w:rPr>
        <w:t xml:space="preserve">Claim 60 (Independent): </w:t>
      </w:r>
      <w:r>
        <w:rPr>
          <w:rFonts w:ascii="Arial" w:cs="Arial" w:eastAsia="Arial" w:hAnsi="Arial"/>
          <w:color w:val="000000"/>
          <w:sz w:val="22"/>
          <w:szCs w:val="22"/>
        </w:rPr>
        <w:t xml:space="preserve">The use of SHA-256 hash-chained blockchain certificates to verify the integrity, timing, and content of compliance remediations performed during a live event, wherein each Q&amp;A session generates a genesis block followed by sequential question blocks with previousHash linking, and a final certificate hash computed over the complete chain, providing a tamper-evident audit trail verifiable by securities regulators across JSE, SEC, FCA, and EU MAR frameworks.</w:t>
      </w:r>
    </w:p>
    <w:p>
      <w:pPr>
        <w:spacing w:before="120" w:after="80"/>
        <w:jc w:val="both"/>
      </w:pPr>
      <w:r>
        <w:rPr>
          <w:rFonts w:ascii="Arial" w:cs="Arial" w:eastAsia="Arial" w:hAnsi="Arial"/>
          <w:b/>
          <w:bCs/>
          <w:color w:val="1B3A6B"/>
          <w:sz w:val="22"/>
          <w:szCs w:val="22"/>
        </w:rPr>
        <w:t xml:space="preserve">Claim 61 (Independent): </w:t>
      </w:r>
      <w:r>
        <w:rPr>
          <w:rFonts w:ascii="Arial" w:cs="Arial" w:eastAsia="Arial" w:hAnsi="Arial"/>
          <w:color w:val="000000"/>
          <w:sz w:val="22"/>
          <w:szCs w:val="22"/>
        </w:rPr>
        <w:t xml:space="preserve">A system for cross-platform event orchestration comprising a synchronization engine that maps external attendee identifiers (name, email, company) from a Q&amp;A submission database to native conferencing participant IDs on third-party platforms (Microsoft Teams, Zoom, Webex) via their respective APIs (Microsoft Graph, Zoom REST, Webex SDK), enabling remote audio state control (mute, unmute, spotlight) from a non-native operator interface.</w:t>
      </w:r>
    </w:p>
    <w:p>
      <w:pPr>
        <w:spacing w:before="120" w:after="80"/>
        <w:jc w:val="both"/>
      </w:pPr>
      <w:r>
        <w:rPr>
          <w:rFonts w:ascii="Arial" w:cs="Arial" w:eastAsia="Arial" w:hAnsi="Arial"/>
          <w:b/>
          <w:bCs/>
          <w:color w:val="1B3A6B"/>
          <w:sz w:val="22"/>
          <w:szCs w:val="22"/>
        </w:rPr>
        <w:t xml:space="preserve">Claim 62 (Independent): </w:t>
      </w:r>
      <w:r>
        <w:rPr>
          <w:rFonts w:ascii="Arial" w:cs="Arial" w:eastAsia="Arial" w:hAnsi="Arial"/>
          <w:color w:val="000000"/>
          <w:sz w:val="22"/>
          <w:szCs w:val="22"/>
        </w:rPr>
        <w:t xml:space="preserve">A method for authorising participant unmute in a live investor communication session, wherein a 'Go Live' command is only issued if the participant's Q&amp;A text submission satisfies two deterministic criteria simultaneously: (a) the AI triage score meets or exceeds a configurable minimum threshold (default: 40/100); and (b) the compliance risk score does not exceed a configurable maximum ceiling (default: 70/100), with the authorization result comprising a structured response including authorised status, triageScore, complianceCleared boolean, minimumThreshold, reason string, and automatic session counter updates emitted via real-time event channels.</w:t>
      </w:r>
    </w:p>
    <w:p>
      <w:pPr>
        <w:spacing w:before="120" w:after="80"/>
        <w:jc w:val="both"/>
      </w:pPr>
      <w:r>
        <w:rPr>
          <w:rFonts w:ascii="Arial" w:cs="Arial" w:eastAsia="Arial" w:hAnsi="Arial"/>
          <w:b/>
          <w:bCs/>
          <w:color w:val="1B3A6B"/>
          <w:sz w:val="22"/>
          <w:szCs w:val="22"/>
        </w:rPr>
        <w:t xml:space="preserve">Claim 63 (Dependent on Claim 61): </w:t>
      </w:r>
      <w:r>
        <w:rPr>
          <w:rFonts w:ascii="Arial" w:cs="Arial" w:eastAsia="Arial" w:hAnsi="Arial"/>
          <w:color w:val="000000"/>
          <w:sz w:val="22"/>
          <w:szCs w:val="22"/>
        </w:rPr>
        <w:t xml:space="preserve">The system of Claim 61, further comprising a platform-agnostic Wrapper Architecture that embeds third-party communication SDKs (Microsoft Teams SDK, Zoom Video SDK, Webex SDK) within a proprietary compliance dashboard to enable centralised event management, providing the operator with native platform controls alongside AI triage, compliance screening, P2P prioritization, and blockchain certification in a single unified interface.</w:t>
      </w:r>
    </w:p>
    <w:p>
      <w:pPr>
        <w:spacing w:before="120" w:after="80"/>
        <w:jc w:val="both"/>
      </w:pPr>
      <w:r>
        <w:rPr>
          <w:rFonts w:ascii="Arial" w:cs="Arial" w:eastAsia="Arial" w:hAnsi="Arial"/>
          <w:b/>
          <w:bCs/>
          <w:color w:val="1B3A6B"/>
          <w:sz w:val="22"/>
          <w:szCs w:val="22"/>
        </w:rPr>
        <w:t xml:space="preserve">Claim 64 (Independent): </w:t>
      </w:r>
      <w:r>
        <w:rPr>
          <w:rFonts w:ascii="Arial" w:cs="Arial" w:eastAsia="Arial" w:hAnsi="Arial"/>
          <w:color w:val="000000"/>
          <w:sz w:val="22"/>
          <w:szCs w:val="22"/>
        </w:rPr>
        <w:t xml:space="preserve">An autonomous governance gateway for AI-generated tools comprising a deterministic four-criterion safety validation that prevents any system-generated tool from being deployed to a production environment until all of the following conditions are met: (a) a Stability Score exceeding a standard threshold (default: 0.65), computed as the weighted sum of decayed evidence score (50%), consistency rate (30%), and inverse failure rate (20%); (b) a minimum number of consistent observations (default: 3) each with individual confidence scores at or above 0.50; (c) a failure rate not exceeding 30% across recent observations; and (d) for tools impacting compliance-critical modules, an elevated stability threshold of 0.75 rather than the standard threshold.</w:t>
      </w:r>
    </w:p>
    <w:p>
      <w:pPr>
        <w:spacing w:before="120" w:after="80"/>
        <w:jc w:val="both"/>
      </w:pPr>
      <w:r>
        <w:rPr>
          <w:rFonts w:ascii="Arial" w:cs="Arial" w:eastAsia="Arial" w:hAnsi="Arial"/>
          <w:b/>
          <w:bCs/>
          <w:color w:val="1B3A6B"/>
          <w:sz w:val="22"/>
          <w:szCs w:val="22"/>
        </w:rPr>
        <w:t xml:space="preserve">Claim 65 (Independent): </w:t>
      </w:r>
      <w:r>
        <w:rPr>
          <w:rFonts w:ascii="Arial" w:cs="Arial" w:eastAsia="Arial" w:hAnsi="Arial"/>
          <w:color w:val="000000"/>
          <w:sz w:val="22"/>
          <w:szCs w:val="22"/>
        </w:rPr>
        <w:t xml:space="preserve">A method for prioritizing live Q&amp;A inquiries during investor communication events using a Polarity-to-Priority (P2P) Algorithm that calculates a mathematical priority rank by cross-referencing sentiment polarity with disclosure urgency, expressed as: P2P Rank = (Polarity Weight x 0.40) + (Normalized Polarity Score x 0.25) + (Normalized Disclosure Urgency x 0.35), where Polarity Weight values are: adversarial = 1.00, negative = 0.75, neutral = 0.40, positive = 0.20, and the P2P rank is blended into an effective priority score as: Effective Priority = (Base LLM Priority x 0.60) + (P2P Rank x 0.40).</w:t>
      </w:r>
    </w:p>
    <w:p>
      <w:pPr>
        <w:spacing w:before="120" w:after="80"/>
        <w:jc w:val="both"/>
      </w:pPr>
      <w:r>
        <w:rPr>
          <w:rFonts w:ascii="Arial" w:cs="Arial" w:eastAsia="Arial" w:hAnsi="Arial"/>
          <w:b/>
          <w:bCs/>
          <w:color w:val="1B3A6B"/>
          <w:sz w:val="22"/>
          <w:szCs w:val="22"/>
        </w:rPr>
        <w:t xml:space="preserve">Claim 66 (Independent): </w:t>
      </w:r>
      <w:r>
        <w:rPr>
          <w:rFonts w:ascii="Arial" w:cs="Arial" w:eastAsia="Arial" w:hAnsi="Arial"/>
          <w:color w:val="000000"/>
          <w:sz w:val="22"/>
          <w:szCs w:val="22"/>
        </w:rPr>
        <w:t xml:space="preserve">A synchronization method for silent monitoring agents operating on high-latency telephony bridges comprising: (a) computing the delta-time between audio signal arrival timestamp and transcript generation timestamp, clamped to the range [0, 30000ms]; (b) maintaining a rolling average latency and standard deviation (predicted jitter) across the most recent 50 delta samples per session; (c) calculating an adjustment factor as average latency plus half the predicted jitter; (d) applying the adjustment by subtracting it from the generated transcript timestamp to produce an aligned timestamp; and (e) automatic session state eviction after 8 hours of inactivity with a 10-minute eviction sweep cycle.</w:t>
      </w:r>
    </w:p>
    <w:p>
      <w:pPr>
        <w:spacing w:before="120" w:after="80"/>
        <w:jc w:val="both"/>
      </w:pPr>
      <w:r>
        <w:rPr>
          <w:rFonts w:ascii="Arial" w:cs="Arial" w:eastAsia="Arial" w:hAnsi="Arial"/>
          <w:b/>
          <w:bCs/>
          <w:color w:val="1B3A6B"/>
          <w:sz w:val="22"/>
          <w:szCs w:val="22"/>
        </w:rPr>
        <w:t xml:space="preserve">Claim 67 (Dependent on Claim 56): </w:t>
      </w:r>
      <w:r>
        <w:rPr>
          <w:rFonts w:ascii="Arial" w:cs="Arial" w:eastAsia="Arial" w:hAnsi="Arial"/>
          <w:color w:val="000000"/>
          <w:sz w:val="22"/>
          <w:szCs w:val="22"/>
        </w:rPr>
        <w:t xml:space="preserve">The method of Claim 56, wherein the DTMF handshake protocol includes a dual-carrier failover mechanism that automatically detects connection failure on a primary telephony carrier (Twilio) and initiates an equivalent outbound call on a secondary carrier (Telnyx), ensuring uninterrupted bridge connectivity for persistent silent monitoring without operator intervention.</w:t>
      </w:r>
    </w:p>
    <w:p>
      <w:pPr>
        <w:spacing w:before="120" w:after="80"/>
        <w:jc w:val="both"/>
      </w:pPr>
      <w:r>
        <w:rPr>
          <w:rFonts w:ascii="Arial" w:cs="Arial" w:eastAsia="Arial" w:hAnsi="Arial"/>
          <w:b/>
          <w:bCs/>
          <w:color w:val="1B3A6B"/>
          <w:sz w:val="22"/>
          <w:szCs w:val="22"/>
        </w:rPr>
        <w:t xml:space="preserve">Claim 68 (Dependent on Claim 62): </w:t>
      </w:r>
      <w:r>
        <w:rPr>
          <w:rFonts w:ascii="Arial" w:cs="Arial" w:eastAsia="Arial" w:hAnsi="Arial"/>
          <w:color w:val="000000"/>
          <w:sz w:val="22"/>
          <w:szCs w:val="22"/>
        </w:rPr>
        <w:t xml:space="preserve">The method of Claim 62, wherein the Go Live authorization gate is configurable per-session by the operator, allowing dynamic adjustment of the minimum triage score threshold and maximum compliance risk score ceiling based on the regulatory jurisdiction (JSE, SEC, FCA, EU MAR) and event type (earnings call, AGM, investor briefing, crisis response).</w:t>
      </w:r>
    </w:p>
    <w:p>
      <w:pPr>
        <w:spacing w:before="120" w:after="80"/>
        <w:jc w:val="both"/>
      </w:pPr>
      <w:r>
        <w:rPr>
          <w:rFonts w:ascii="Arial" w:cs="Arial" w:eastAsia="Arial" w:hAnsi="Arial"/>
          <w:b/>
          <w:bCs/>
          <w:color w:val="1B3A6B"/>
          <w:sz w:val="22"/>
          <w:szCs w:val="22"/>
        </w:rPr>
        <w:t xml:space="preserve">Claim 69 (Dependent on Claim 64): </w:t>
      </w:r>
      <w:r>
        <w:rPr>
          <w:rFonts w:ascii="Arial" w:cs="Arial" w:eastAsia="Arial" w:hAnsi="Arial"/>
          <w:color w:val="000000"/>
          <w:sz w:val="22"/>
          <w:szCs w:val="22"/>
        </w:rPr>
        <w:t xml:space="preserve">The governance gateway of Claim 64, wherein all governance decisions — including passed, blocked, and deferred tool promotions — are recorded in an immutable SHA-256 hash-chained audit log, providing a tamper-evident trail of every autonomous AI deployment decision for review by securities regulators, internal governance, and external auditors.</w:t>
      </w:r>
    </w:p>
    <w:p>
      <w:pPr>
        <w:spacing w:before="120" w:after="80"/>
        <w:jc w:val="both"/>
      </w:pPr>
      <w:r>
        <w:rPr>
          <w:rFonts w:ascii="Arial" w:cs="Arial" w:eastAsia="Arial" w:hAnsi="Arial"/>
          <w:b/>
          <w:bCs/>
          <w:color w:val="1B3A6B"/>
          <w:sz w:val="22"/>
          <w:szCs w:val="22"/>
        </w:rPr>
        <w:t xml:space="preserve">Claim 70 (Dependent on Claim 66): </w:t>
      </w:r>
      <w:r>
        <w:rPr>
          <w:rFonts w:ascii="Arial" w:cs="Arial" w:eastAsia="Arial" w:hAnsi="Arial"/>
          <w:color w:val="000000"/>
          <w:sz w:val="22"/>
          <w:szCs w:val="22"/>
        </w:rPr>
        <w:t xml:space="preserve">The synchronization method of Claim 66, wherein the system classifies real-time latency into four categories — low (&lt;= 200ms), moderate (&lt;= 500ms), high (&lt;= 1500ms), and critical (&gt; 1500ms) — and reports latency health status to the operator console in real time, enabling proactive intervention when network conditions degrade below acceptable thresholds for compliance-critical events.</w:t>
      </w:r>
    </w:p>
    <w:p>
      <w:pPr>
        <w:pBdr>
          <w:bottom w:val="single" w:color="2E75B6" w:sz="6" w:space="1"/>
        </w:pBdr>
        <w:spacing w:before="120" w:after="120"/>
      </w:pPr>
      <w:r>
        <w:t xml:space="preserve"/>
      </w:r>
    </w:p>
    <w:p>
      <w:pPr>
        <w:pStyle w:val="Heading2"/>
        <w:spacing w:before="280" w:after="80"/>
      </w:pPr>
      <w:r>
        <w:rPr>
          <w:rFonts w:ascii="Arial" w:cs="Arial" w:eastAsia="Arial" w:hAnsi="Arial"/>
          <w:b/>
          <w:bCs/>
          <w:color w:val="2E75B6"/>
          <w:sz w:val="26"/>
          <w:szCs w:val="26"/>
        </w:rPr>
        <w:t xml:space="preserve">Module 32 — Autonomous Enterprise Operating System (AEOS) Claims</w:t>
      </w:r>
    </w:p>
    <w:p>
      <w:pPr>
        <w:spacing w:before="120" w:after="80"/>
        <w:jc w:val="both"/>
      </w:pPr>
      <w:r>
        <w:rPr>
          <w:rFonts w:ascii="Arial" w:cs="Arial" w:eastAsia="Arial" w:hAnsi="Arial"/>
          <w:b/>
          <w:bCs/>
          <w:color w:val="1B3A6B"/>
          <w:sz w:val="22"/>
          <w:szCs w:val="22"/>
        </w:rPr>
        <w:t xml:space="preserve">Claim 71 (Independent — AEOS System): </w:t>
      </w:r>
      <w:r>
        <w:rPr>
          <w:rFonts w:ascii="Arial" w:cs="Arial" w:eastAsia="Arial" w:hAnsi="Arial"/>
          <w:color w:val="000000"/>
          <w:sz w:val="22"/>
          <w:szCs w:val="22"/>
        </w:rPr>
        <w:t xml:space="preserve">An autonomous enterprise operating system for investor communication event lifecycle management comprising a Deterministic Financial State Machine governing a complete Quote-to-Cash lifecycle without human administrative intervention, including: (a) a Predictive Quoting Engine that calculates dynamic pricing by cross-referencing real-time resource availability with a Predictive Demand Vector derived from historical booking patterns, seasonal adjustments, and event complexity scoring; (b) an Autonomous Registration Bridge that provisions event infrastructure and distributes onboarding materials upon detecting a digital signature on an approved quote; (c) an Event-Triggered Invoicing system that programmatically generates cryptographically signed invoices upon receipt of a Service-Complete signal from the live event module, including event duration, compliance flags, attendee count, AI session summary, and blockchain certificate hash reference; and (d) a Self-Healing Reconciliation Layer that correlates incoming payments with issued invoices using SHA-256 hash matching and autonomously resolves payment discrepancies through a Resolution Agent.</w:t>
      </w:r>
    </w:p>
    <w:p>
      <w:pPr>
        <w:spacing w:before="120" w:after="80"/>
        <w:jc w:val="both"/>
      </w:pPr>
      <w:r>
        <w:rPr>
          <w:rFonts w:ascii="Arial" w:cs="Arial" w:eastAsia="Arial" w:hAnsi="Arial"/>
          <w:b/>
          <w:bCs/>
          <w:color w:val="1B3A6B"/>
          <w:sz w:val="22"/>
          <w:szCs w:val="22"/>
        </w:rPr>
        <w:t xml:space="preserve">Claim 72 (Dependent on Claim 71): </w:t>
      </w:r>
      <w:r>
        <w:rPr>
          <w:rFonts w:ascii="Arial" w:cs="Arial" w:eastAsia="Arial" w:hAnsi="Arial"/>
          <w:color w:val="000000"/>
          <w:sz w:val="22"/>
          <w:szCs w:val="22"/>
        </w:rPr>
        <w:t xml:space="preserve">The system of Claim 71, further comprising an Organizational Knowledge Graph Digital Twin that stores a structured representation of the client organisation comprising: company profile (personality traits, brand voice, regulatory posture, risk tolerance); historical intelligence (prior event transcripts, Q&amp;A patterns, compliance incidents, sentiment trends) weighted by an exponential temporal decay function; relationship maps (Client -&gt; Event -&gt; Attendee -&gt; Question -&gt; Sentiment linkages); and goal frameworks (client-defined KPIs tracked autonomously), enabling predictive resource allocation and autonomous preparation of crisis communication briefs based on event sentiment trends.</w:t>
      </w:r>
    </w:p>
    <w:p>
      <w:pPr>
        <w:spacing w:before="120" w:after="80"/>
        <w:jc w:val="both"/>
      </w:pPr>
      <w:r>
        <w:rPr>
          <w:rFonts w:ascii="Arial" w:cs="Arial" w:eastAsia="Arial" w:hAnsi="Arial"/>
          <w:b/>
          <w:bCs/>
          <w:color w:val="1B3A6B"/>
          <w:sz w:val="22"/>
          <w:szCs w:val="22"/>
        </w:rPr>
        <w:t xml:space="preserve">Claim 73 (Dependent on Claim 71): </w:t>
      </w:r>
      <w:r>
        <w:rPr>
          <w:rFonts w:ascii="Arial" w:cs="Arial" w:eastAsia="Arial" w:hAnsi="Arial"/>
          <w:color w:val="000000"/>
          <w:sz w:val="22"/>
          <w:szCs w:val="22"/>
        </w:rPr>
        <w:t xml:space="preserve">The system of Claim 71, wherein the AEOS exposes a Modal-Agnostic Semantic API that describes every platform capability in structured natural language, enabling external AI systems to discover, understand, and invoke any capability without pre-programmed integrations, and supporting natural language commands that trigger complex coordinated workflows across multiple platform modules simultaneously.</w:t>
      </w:r>
    </w:p>
    <w:p>
      <w:pPr>
        <w:spacing w:before="120" w:after="80"/>
        <w:jc w:val="both"/>
      </w:pPr>
      <w:r>
        <w:rPr>
          <w:rFonts w:ascii="Arial" w:cs="Arial" w:eastAsia="Arial" w:hAnsi="Arial"/>
          <w:b/>
          <w:bCs/>
          <w:color w:val="1B3A6B"/>
          <w:sz w:val="22"/>
          <w:szCs w:val="22"/>
        </w:rPr>
        <w:t xml:space="preserve">Claim 74 (Dependent on Claim 71): </w:t>
      </w:r>
      <w:r>
        <w:rPr>
          <w:rFonts w:ascii="Arial" w:cs="Arial" w:eastAsia="Arial" w:hAnsi="Arial"/>
          <w:color w:val="000000"/>
          <w:sz w:val="22"/>
          <w:szCs w:val="22"/>
        </w:rPr>
        <w:t xml:space="preserve">The system of Claim 71, further comprising a Sovereign Data Architecture with: (a) logically isolated per-client Knowledge Graphs ensuring no cross-contamination of intelligence between organisations; (b) zero-trust cryptographic identity validation required for every API call to the AEOS, with no implicit trust based on network location or session state; and (c) configurable data residency compliance supporting POPIA (South Africa), GDPR (European Union), and SOX (United States) jurisdictional requirements.</w:t>
      </w:r>
    </w:p>
    <w:p>
      <w:pPr>
        <w:spacing w:before="120" w:after="80"/>
        <w:jc w:val="both"/>
      </w:pPr>
      <w:r>
        <w:rPr>
          <w:rFonts w:ascii="Arial" w:cs="Arial" w:eastAsia="Arial" w:hAnsi="Arial"/>
          <w:b/>
          <w:bCs/>
          <w:color w:val="1B3A6B"/>
          <w:sz w:val="22"/>
          <w:szCs w:val="22"/>
        </w:rPr>
        <w:t xml:space="preserve">Claim 75 (Dependent on Claim 57): </w:t>
      </w:r>
      <w:r>
        <w:rPr>
          <w:rFonts w:ascii="Arial" w:cs="Arial" w:eastAsia="Arial" w:hAnsi="Arial"/>
          <w:color w:val="000000"/>
          <w:sz w:val="22"/>
          <w:szCs w:val="22"/>
        </w:rPr>
        <w:t xml:space="preserve">The system of Claim 57, wherein the deterministic quality scoring algorithm and the autonomous governance gateway of Claim 64 extend to full enterprise financial operations, applying stability validation to billing accuracy verification, resource prediction outputs, and Deterministic Financial State Machine stage transitions, ensuring that no autonomous financial action is executed without passing the same four-criterion deterministic gate applied to AI-generated intelligence tools.</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16. Complete Claims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226"/>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Claims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 / Scope</w:t>
            </w:r>
          </w:p>
        </w:tc>
        <w:tc>
          <w:tcPr>
            <w:tcW w:type="dxa" w:w="4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platform — event monitoring, AI analysis, cross-platform capture, OCC, benchmarking, compliance, self-improving models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Provisional</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16–20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Cross-platform capture, benchmarking, collaborative management, self-improving models</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Provisional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21–25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Self-evolving platform, pattern discovery, predictive briefings, benchmark evolution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Provisional</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26–33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(CIP)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Modules 19–27 — Campaign Orchestrator through Global Intelligence Network</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34–43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System/Method (CIP)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28 — AI Self-Evolution Engine (6 algorithms)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3</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44–45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(CIP)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30 — Autonomous IR Assistant Layer</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46–55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System/Method (CIP)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31 — Autonomous Live Q&amp;A Intelligence Engine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CIP Submission 5</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56–60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(CIP)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Cross-cutting: DTMF Protocol, Quality Scoring, Temporal Decay, Compliance Co-Pilot, SHA-256 Blockchain</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Filing (CIP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61–63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Independent/Dependent (CIP)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Cross-Platform Control Orchestration, Go Live Gate, Wrapper Architecture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Filing (CIP 6)</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000000"/>
                <w:sz w:val="20"/>
                <w:szCs w:val="20"/>
              </w:rPr>
              <w:t xml:space="preserve">64–70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Independent/Dependent (CIP)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Governance Gateway, P2P Algorithm, Jitter-Buffer Sync, Failover, Configurable Gate, Audit Log, Latency Classification</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Filing (CIP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71–75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Independent/Dependent (CIP)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 32 — AEOS: Quote-to-Cash, Digital Twin, AGI-Ready API, Sovereign Data, Enterprise Governance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Filing (CIP 6)</w:t>
            </w:r>
          </w:p>
        </w:tc>
      </w:tr>
    </w:tbl>
    <w:p>
      <w:pPr>
        <w:spacing w:before="120" w:after="0"/>
      </w:pPr>
      <w:r>
        <w:t xml:space="preserve"/>
      </w:r>
    </w:p>
    <w:p>
      <w:pPr>
        <w:pStyle w:val="Heading1"/>
        <w:spacing w:before="360" w:after="120"/>
      </w:pPr>
      <w:r>
        <w:rPr>
          <w:rFonts w:ascii="Arial" w:cs="Arial" w:eastAsia="Arial" w:hAnsi="Arial"/>
          <w:b/>
          <w:bCs/>
          <w:color w:val="1B3A6B"/>
          <w:sz w:val="32"/>
          <w:szCs w:val="32"/>
        </w:rPr>
        <w:t xml:space="preserve">17. Updated Drawings (FIG 31–35)</w:t>
      </w:r>
    </w:p>
    <w:p>
      <w:pPr>
        <w:spacing w:before="60" w:after="100"/>
        <w:jc w:val="both"/>
      </w:pPr>
      <w:r>
        <w:rPr>
          <w:rFonts w:ascii="Arial" w:cs="Arial" w:eastAsia="Arial" w:hAnsi="Arial"/>
          <w:color w:val="000000"/>
          <w:sz w:val="22"/>
          <w:szCs w:val="22"/>
        </w:rPr>
        <w:t xml:space="preserve">The following figures (FIG 31–35) supplement Figures 1–12 of the parent provisional, Figures 13–20 of CIP Submission 2, Figures 21–27 of CIP Submission 3, and Figures 28–30 of CIP Submission 5. All figures are provided as black-and-white line drawings in accordance with CIPC drawing standards.</w:t>
      </w:r>
    </w:p>
    <w:p>
      <w:pPr>
        <w:spacing w:before="80" w:after="0"/>
      </w:pPr>
      <w:r>
        <w:t xml:space="preserve"/>
      </w:r>
    </w:p>
    <w:p>
      <w:pPr>
        <w:pStyle w:val="Heading2"/>
        <w:spacing w:before="280" w:after="80"/>
      </w:pPr>
      <w:r>
        <w:rPr>
          <w:rFonts w:ascii="Arial" w:cs="Arial" w:eastAsia="Arial" w:hAnsi="Arial"/>
          <w:b/>
          <w:bCs/>
          <w:color w:val="2E75B6"/>
          <w:sz w:val="26"/>
          <w:szCs w:val="26"/>
        </w:rPr>
        <w:t xml:space="preserve">FIG 31 — Cross-Platform Event Orchestration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FIG 31 — Cross-Platform Event Orchestration Architecture (Claim 61, 62, 65)</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ATTENDEE LAYER                    CURALIVE INTELLIGENCE LAYER</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/qa/:accessCode  │              │ AI Triage Engine (GPT-4o-mini)  │</w:t>
            </w:r>
          </w:p>
          <w:p>
            <w:pPr>
              <w:spacing w:before="30" w:after="30"/>
              <w:ind w:left="160"/>
            </w:pPr>
            <w:r>
              <w:rPr>
                <w:rFonts w:ascii="Courier New" w:cs="Courier New" w:eastAsia="Courier New" w:hAnsi="Courier New"/>
                <w:color w:val="1A1A1A"/>
                <w:sz w:val="20"/>
                <w:szCs w:val="20"/>
              </w:rPr>
              <w:t xml:space="preserve">│ • Mobile-first   │──submit────▶ │ • Category classification       │</w:t>
            </w:r>
          </w:p>
          <w:p>
            <w:pPr>
              <w:spacing w:before="30" w:after="30"/>
              <w:ind w:left="160"/>
            </w:pPr>
            <w:r>
              <w:rPr>
                <w:rFonts w:ascii="Courier New" w:cs="Courier New" w:eastAsia="Courier New" w:hAnsi="Courier New"/>
                <w:color w:val="1A1A1A"/>
                <w:sz w:val="20"/>
                <w:szCs w:val="20"/>
              </w:rPr>
              <w:t xml:space="preserve">│ • Voice-to-Text  │              │ • P2P Priority Rank (Claim 65)  │</w:t>
            </w:r>
          </w:p>
          <w:p>
            <w:pPr>
              <w:spacing w:before="30" w:after="30"/>
              <w:ind w:left="160"/>
            </w:pPr>
            <w:r>
              <w:rPr>
                <w:rFonts w:ascii="Courier New" w:cs="Courier New" w:eastAsia="Courier New" w:hAnsi="Courier New"/>
                <w:color w:val="1A1A1A"/>
                <w:sz w:val="20"/>
                <w:szCs w:val="20"/>
              </w:rPr>
              <w:t xml:space="preserve">│ • Anonymous opt  │              │ • Compliance risk score (0–100) │</w:t>
            </w:r>
          </w:p>
          <w:p>
            <w:pPr>
              <w:spacing w:before="30" w:after="30"/>
              <w:ind w:left="160"/>
            </w:pPr>
            <w:r>
              <w:rPr>
                <w:rFonts w:ascii="Courier New" w:cs="Courier New" w:eastAsia="Courier New" w:hAnsi="Courier New"/>
                <w:color w:val="1A1A1A"/>
                <w:sz w:val="20"/>
                <w:szCs w:val="20"/>
              </w:rPr>
              <w:t xml:space="preserve">│ • No login req   │              │ • Triage score (0–100)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               ▼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 GO LIVE GATE         │  │ Identity Mapping   │</w:t>
            </w:r>
          </w:p>
          <w:p>
            <w:pPr>
              <w:spacing w:before="30" w:after="30"/>
              <w:ind w:left="160"/>
            </w:pPr>
            <w:r>
              <w:rPr>
                <w:rFonts w:ascii="Courier New" w:cs="Courier New" w:eastAsia="Courier New" w:hAnsi="Courier New"/>
                <w:color w:val="1A1A1A"/>
                <w:sz w:val="20"/>
                <w:szCs w:val="20"/>
              </w:rPr>
              <w:t xml:space="preserve">         │ (Claim 62)          │  │ (Claim 61)        │</w:t>
            </w:r>
          </w:p>
          <w:p>
            <w:pPr>
              <w:spacing w:before="30" w:after="30"/>
              <w:ind w:left="160"/>
            </w:pPr>
            <w:r>
              <w:rPr>
                <w:rFonts w:ascii="Courier New" w:cs="Courier New" w:eastAsia="Courier New" w:hAnsi="Courier New"/>
                <w:color w:val="1A1A1A"/>
                <w:sz w:val="20"/>
                <w:szCs w:val="20"/>
              </w:rPr>
              <w:t xml:space="preserve">         │ • Triage &gt;= 40      │  │ • Name/email      │</w:t>
            </w:r>
          </w:p>
          <w:p>
            <w:pPr>
              <w:spacing w:before="30" w:after="30"/>
              <w:ind w:left="160"/>
            </w:pPr>
            <w:r>
              <w:rPr>
                <w:rFonts w:ascii="Courier New" w:cs="Courier New" w:eastAsia="Courier New" w:hAnsi="Courier New"/>
                <w:color w:val="1A1A1A"/>
                <w:sz w:val="20"/>
                <w:szCs w:val="20"/>
              </w:rPr>
              <w:t xml:space="preserve">         │ • Compliance &lt;= 70  │  │   correlation     │</w:t>
            </w:r>
          </w:p>
          <w:p>
            <w:pPr>
              <w:spacing w:before="30" w:after="30"/>
              <w:ind w:left="160"/>
            </w:pPr>
            <w:r>
              <w:rPr>
                <w:rFonts w:ascii="Courier New" w:cs="Courier New" w:eastAsia="Courier New" w:hAnsi="Courier New"/>
                <w:color w:val="1A1A1A"/>
                <w:sz w:val="20"/>
                <w:szCs w:val="20"/>
              </w:rPr>
              <w:t xml:space="preserve">         │ • authorised: T/F   │  │ • Participant ID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 Teams (Graph API) │ Zoom REST │ Webex SDK        │</w:t>
            </w:r>
          </w:p>
          <w:p>
            <w:pPr>
              <w:spacing w:before="30" w:after="30"/>
              <w:ind w:left="160"/>
            </w:pPr>
            <w:r>
              <w:rPr>
                <w:rFonts w:ascii="Courier New" w:cs="Courier New" w:eastAsia="Courier New" w:hAnsi="Courier New"/>
                <w:color w:val="1A1A1A"/>
                <w:sz w:val="20"/>
                <w:szCs w:val="20"/>
              </w:rPr>
              <w:t xml:space="preserve">         │ ◄── Mute / Unmute / Spotlight (remote control) ──▶│</w:t>
            </w:r>
          </w:p>
          <w:p>
            <w:pPr>
              <w:spacing w:before="30" w:after="30"/>
              <w:ind w:left="160"/>
            </w:pPr>
            <w:r>
              <w:rPr>
                <w:rFonts w:ascii="Courier New" w:cs="Courier New" w:eastAsia="Courier New" w:hAnsi="Courier New"/>
                <w:color w:val="1A1A1A"/>
                <w:sz w:val="20"/>
                <w:szCs w:val="20"/>
              </w:rPr>
              <w:t xml:space="preserve">         └──────────────────────────────────────────────────┘</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FIG 32 — Governance Gateway Decision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FIG 32 — Governance Gateway Decision Flow (Claim 64, 69)</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AI Meta-Observer (Module 28)</w:t>
            </w:r>
          </w:p>
          <w:p>
            <w:pPr>
              <w:spacing w:before="30" w:after="30"/>
              <w:ind w:left="160"/>
            </w:pPr>
            <w:r>
              <w:rPr>
                <w:rFonts w:ascii="Courier New" w:cs="Courier New" w:eastAsia="Courier New" w:hAnsi="Courier New"/>
                <w:color w:val="1A1A1A"/>
                <w:sz w:val="20"/>
                <w:szCs w:val="20"/>
              </w:rPr>
              <w:t xml:space="preserve">    │  identifies capability gap → proposes tool</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 ACCUMULATION ENGINE                       │</w:t>
            </w:r>
          </w:p>
          <w:p>
            <w:pPr>
              <w:spacing w:before="30" w:after="30"/>
              <w:ind w:left="160"/>
            </w:pPr>
            <w:r>
              <w:rPr>
                <w:rFonts w:ascii="Courier New" w:cs="Courier New" w:eastAsia="Courier New" w:hAnsi="Courier New"/>
                <w:color w:val="1A1A1A"/>
                <w:sz w:val="20"/>
                <w:szCs w:val="20"/>
              </w:rPr>
              <w:t xml:space="preserve">│ • Cluster observations                    │</w:t>
            </w:r>
          </w:p>
          <w:p>
            <w:pPr>
              <w:spacing w:before="30" w:after="30"/>
              <w:ind w:left="160"/>
            </w:pPr>
            <w:r>
              <w:rPr>
                <w:rFonts w:ascii="Courier New" w:cs="Courier New" w:eastAsia="Courier New" w:hAnsi="Courier New"/>
                <w:color w:val="1A1A1A"/>
                <w:sz w:val="20"/>
                <w:szCs w:val="20"/>
              </w:rPr>
              <w:t xml:space="preserve">│ • Apply decay  W(t) = 0.5^(d/14)         │</w:t>
            </w:r>
          </w:p>
          <w:p>
            <w:pPr>
              <w:spacing w:before="30" w:after="30"/>
              <w:ind w:left="160"/>
            </w:pPr>
            <w:r>
              <w:rPr>
                <w:rFonts w:ascii="Courier New" w:cs="Courier New" w:eastAsia="Courier New" w:hAnsi="Courier New"/>
                <w:color w:val="1A1A1A"/>
                <w:sz w:val="20"/>
                <w:szCs w:val="20"/>
              </w:rPr>
              <w:t xml:space="preserve">│ • Calculate quality score Q               │</w:t>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                    │  emerging → proposed</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 GOVERNANCE GATEWAY                                    ║</w:t>
            </w:r>
          </w:p>
          <w:p>
            <w:pPr>
              <w:spacing w:before="30" w:after="30"/>
              <w:ind w:left="160"/>
            </w:pPr>
            <w:r>
              <w:rPr>
                <w:rFonts w:ascii="Courier New" w:cs="Courier New" w:eastAsia="Courier New" w:hAnsi="Courier New"/>
                <w:color w:val="1A1A1A"/>
                <w:sz w:val="20"/>
                <w:szCs w:val="20"/>
              </w:rPr>
              <w:t xml:space="preserve">║  ① Stability Score &gt;= 0.65  (0.75 if compliance)    ║</w:t>
            </w:r>
          </w:p>
          <w:p>
            <w:pPr>
              <w:spacing w:before="30" w:after="30"/>
              <w:ind w:left="160"/>
            </w:pPr>
            <w:r>
              <w:rPr>
                <w:rFonts w:ascii="Courier New" w:cs="Courier New" w:eastAsia="Courier New" w:hAnsi="Courier New"/>
                <w:color w:val="1A1A1A"/>
                <w:sz w:val="20"/>
                <w:szCs w:val="20"/>
              </w:rPr>
              <w:t xml:space="preserve">║  ② Consistent Observations &gt;= 3 (confidence &gt;= 0.50)║</w:t>
            </w:r>
          </w:p>
          <w:p>
            <w:pPr>
              <w:spacing w:before="30" w:after="30"/>
              <w:ind w:left="160"/>
            </w:pPr>
            <w:r>
              <w:rPr>
                <w:rFonts w:ascii="Courier New" w:cs="Courier New" w:eastAsia="Courier New" w:hAnsi="Courier New"/>
                <w:color w:val="1A1A1A"/>
                <w:sz w:val="20"/>
                <w:szCs w:val="20"/>
              </w:rPr>
              <w:t xml:space="preserve">║  ③ Failure Rate &lt;= 30%                               ║</w:t>
            </w:r>
          </w:p>
          <w:p>
            <w:pPr>
              <w:spacing w:before="30" w:after="30"/>
              <w:ind w:left="160"/>
            </w:pPr>
            <w:r>
              <w:rPr>
                <w:rFonts w:ascii="Courier New" w:cs="Courier New" w:eastAsia="Courier New" w:hAnsi="Courier New"/>
                <w:color w:val="1A1A1A"/>
                <w:sz w:val="20"/>
                <w:szCs w:val="20"/>
              </w:rPr>
              <w:t xml:space="preserve">║  ④ SHA-256 Audit Log — all decisions recorded        ║</w:t>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               PASSED  ║         BLOCKED║</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 APPROVED → Deploy│  │ Remains PROPOSED     │</w:t>
            </w:r>
          </w:p>
          <w:p>
            <w:pPr>
              <w:spacing w:before="30" w:after="30"/>
              <w:ind w:left="160"/>
            </w:pPr>
            <w:r>
              <w:rPr>
                <w:rFonts w:ascii="Courier New" w:cs="Courier New" w:eastAsia="Courier New" w:hAnsi="Courier New"/>
                <w:color w:val="1A1A1A"/>
                <w:sz w:val="20"/>
                <w:szCs w:val="20"/>
              </w:rPr>
              <w:t xml:space="preserve">         │ (auto-activate)  │  │ Logs diagnostics     │</w:t>
            </w:r>
          </w:p>
          <w:p>
            <w:pPr>
              <w:spacing w:before="30" w:after="30"/>
              <w:ind w:left="160"/>
            </w:pPr>
            <w:r>
              <w:rPr>
                <w:rFonts w:ascii="Courier New" w:cs="Courier New" w:eastAsia="Courier New" w:hAnsi="Courier New"/>
                <w:color w:val="1A1A1A"/>
                <w:sz w:val="20"/>
                <w:szCs w:val="20"/>
              </w:rPr>
              <w:t xml:space="preserve">         └─────────────────┘  │ Awaits fresh evidence │</w:t>
            </w:r>
          </w:p>
          <w:p>
            <w:pPr>
              <w:spacing w:before="30" w:after="30"/>
              <w:ind w:left="160"/>
            </w:pPr>
            <w:r>
              <w:rPr>
                <w:rFonts w:ascii="Courier New" w:cs="Courier New" w:eastAsia="Courier New" w:hAnsi="Courier New"/>
                <w:color w:val="1A1A1A"/>
                <w:sz w:val="20"/>
                <w:szCs w:val="20"/>
              </w:rPr>
              <w:t xml:space="preserve">                              └──────────────────────┘</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FIG 33 — Predictive Jitter-Buffer Synchronization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FIG 33 — Predictive Jitter-Buffer Synchronization (Claim 66, 70)</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Audio Signal ──▶ arrival_ms       Transcript ──▶ generated_ms</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delta = generated_ms − arrival_ms   (clamped: 0 – 30000ms)</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 ROLLING BUFFER (50 samples per session)                  │</w:t>
            </w:r>
          </w:p>
          <w:p>
            <w:pPr>
              <w:spacing w:before="30" w:after="30"/>
              <w:ind w:left="160"/>
            </w:pPr>
            <w:r>
              <w:rPr>
                <w:rFonts w:ascii="Courier New" w:cs="Courier New" w:eastAsia="Courier New" w:hAnsi="Courier New"/>
                <w:color w:val="1A1A1A"/>
                <w:sz w:val="20"/>
                <w:szCs w:val="20"/>
              </w:rPr>
              <w:t xml:space="preserve">│  avg_latency      = mean(deltas[last_50])                │</w:t>
            </w:r>
          </w:p>
          <w:p>
            <w:pPr>
              <w:spacing w:before="30" w:after="30"/>
              <w:ind w:left="160"/>
            </w:pPr>
            <w:r>
              <w:rPr>
                <w:rFonts w:ascii="Courier New" w:cs="Courier New" w:eastAsia="Courier New" w:hAnsi="Courier New"/>
                <w:color w:val="1A1A1A"/>
                <w:sz w:val="20"/>
                <w:szCs w:val="20"/>
              </w:rPr>
              <w:t xml:space="preserve">│  predicted_jitter = stddev(deltas[last_50])              │</w:t>
            </w:r>
          </w:p>
          <w:p>
            <w:pPr>
              <w:spacing w:before="30" w:after="30"/>
              <w:ind w:left="160"/>
            </w:pPr>
            <w:r>
              <w:rPr>
                <w:rFonts w:ascii="Courier New" w:cs="Courier New" w:eastAsia="Courier New" w:hAnsi="Courier New"/>
                <w:color w:val="1A1A1A"/>
                <w:sz w:val="20"/>
                <w:szCs w:val="20"/>
              </w:rPr>
              <w:t xml:space="preserve">│  adjustment       = avg_latency + (predicted_jitter x 0.5│</w:t>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aligned_timestamp = generated_ms − adjustment_factor</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 LOW ≤200 │ MODERATE ≤500│ HIGH ≤1500   │ CRITICAL &gt;1500 │</w:t>
            </w:r>
          </w:p>
          <w:p>
            <w:pPr>
              <w:spacing w:before="30" w:after="30"/>
              <w:ind w:left="160"/>
            </w:pPr>
            <w:r>
              <w:rPr>
                <w:rFonts w:ascii="Courier New" w:cs="Courier New" w:eastAsia="Courier New" w:hAnsi="Courier New"/>
                <w:color w:val="1A1A1A"/>
                <w:sz w:val="20"/>
                <w:szCs w:val="20"/>
              </w:rPr>
              <w:t xml:space="preserve">│ HEALTHY  │ ACCEPTABLE   │ DEGRADED     │ POOR           │</w:t>
            </w:r>
          </w:p>
          <w:p>
            <w:pPr>
              <w:spacing w:before="30" w:after="30"/>
              <w:ind w:left="160"/>
            </w:pPr>
            <w:r>
              <w:rPr>
                <w:rFonts w:ascii="Courier New" w:cs="Courier New" w:eastAsia="Courier New" w:hAnsi="Courier New"/>
                <w:color w:val="1A1A1A"/>
                <w:sz w:val="20"/>
                <w:szCs w:val="20"/>
              </w:rPr>
              <w:t xml:space="preserve">└──────────┴──────────────┴──────────────┴────────────────┘</w:t>
            </w:r>
          </w:p>
          <w:p>
            <w:pPr>
              <w:spacing w:before="30" w:after="30"/>
              <w:ind w:left="160"/>
            </w:pPr>
            <w:r>
              <w:rPr>
                <w:rFonts w:ascii="Courier New" w:cs="Courier New" w:eastAsia="Courier New" w:hAnsi="Courier New"/>
                <w:color w:val="1A1A1A"/>
                <w:sz w:val="20"/>
                <w:szCs w:val="20"/>
              </w:rPr>
              <w:t xml:space="preserve">Session TTL: 8 hours  │  Eviction sweep: 10 minutes</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FIG 34 — AEOS Deterministic Financial State Machine (Quote-to-Cash)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FIG 34 — AEOS Quote-to-Cash State Machine (Claim 71)</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         STAGE 1                      STAGE 2</w:t>
            </w:r>
          </w:p>
          <w:p>
            <w:pPr>
              <w:spacing w:before="30" w:after="30"/>
              <w:ind w:left="160"/>
            </w:pPr>
            <w:r>
              <w:rPr>
                <w:rFonts w:ascii="Courier New" w:cs="Courier New" w:eastAsia="Courier New" w:hAnsi="Courier New"/>
                <w:color w:val="1A1A1A"/>
                <w:sz w:val="20"/>
                <w:szCs w:val="20"/>
              </w:rPr>
              <w:t xml:space="preserve">  ┌──────────────────┐  digital  ┌────────────────────────┐</w:t>
            </w:r>
          </w:p>
          <w:p>
            <w:pPr>
              <w:spacing w:before="30" w:after="30"/>
              <w:ind w:left="160"/>
            </w:pPr>
            <w:r>
              <w:rPr>
                <w:rFonts w:ascii="Courier New" w:cs="Courier New" w:eastAsia="Courier New" w:hAnsi="Courier New"/>
                <w:color w:val="1A1A1A"/>
                <w:sz w:val="20"/>
                <w:szCs w:val="20"/>
              </w:rPr>
              <w:t xml:space="preserve">  │ Predictive Quote │ signature │ Autonomous Registration │</w:t>
            </w:r>
          </w:p>
          <w:p>
            <w:pPr>
              <w:spacing w:before="30" w:after="30"/>
              <w:ind w:left="160"/>
            </w:pPr>
            <w:r>
              <w:rPr>
                <w:rFonts w:ascii="Courier New" w:cs="Courier New" w:eastAsia="Courier New" w:hAnsi="Courier New"/>
                <w:color w:val="1A1A1A"/>
                <w:sz w:val="20"/>
                <w:szCs w:val="20"/>
              </w:rPr>
              <w:t xml:space="preserve">  │                  │──────────▶│                        │</w:t>
            </w:r>
          </w:p>
          <w:p>
            <w:pPr>
              <w:spacing w:before="30" w:after="30"/>
              <w:ind w:left="160"/>
            </w:pPr>
            <w:r>
              <w:rPr>
                <w:rFonts w:ascii="Courier New" w:cs="Courier New" w:eastAsia="Courier New" w:hAnsi="Courier New"/>
                <w:color w:val="1A1A1A"/>
                <w:sz w:val="20"/>
                <w:szCs w:val="20"/>
              </w:rPr>
              <w:t xml:space="preserve">  │ • Booking form   │           │ • Generate credentials  │</w:t>
            </w:r>
          </w:p>
          <w:p>
            <w:pPr>
              <w:spacing w:before="30" w:after="30"/>
              <w:ind w:left="160"/>
            </w:pPr>
            <w:r>
              <w:rPr>
                <w:rFonts w:ascii="Courier New" w:cs="Courier New" w:eastAsia="Courier New" w:hAnsi="Courier New"/>
                <w:color w:val="1A1A1A"/>
                <w:sz w:val="20"/>
                <w:szCs w:val="20"/>
              </w:rPr>
              <w:t xml:space="preserve">  │ • Resource check │           │ • Provision Ably chans  │</w:t>
            </w:r>
          </w:p>
          <w:p>
            <w:pPr>
              <w:spacing w:before="30" w:after="30"/>
              <w:ind w:left="160"/>
            </w:pPr>
            <w:r>
              <w:rPr>
                <w:rFonts w:ascii="Courier New" w:cs="Courier New" w:eastAsia="Courier New" w:hAnsi="Courier New"/>
                <w:color w:val="1A1A1A"/>
                <w:sz w:val="20"/>
                <w:szCs w:val="20"/>
              </w:rPr>
              <w:t xml:space="preserve">  │ • Demand vector  │           │ • Allocate operators    │</w:t>
            </w:r>
          </w:p>
          <w:p>
            <w:pPr>
              <w:spacing w:before="30" w:after="30"/>
              <w:ind w:left="160"/>
            </w:pPr>
            <w:r>
              <w:rPr>
                <w:rFonts w:ascii="Courier New" w:cs="Courier New" w:eastAsia="Courier New" w:hAnsi="Courier New"/>
                <w:color w:val="1A1A1A"/>
                <w:sz w:val="20"/>
                <w:szCs w:val="20"/>
              </w:rPr>
              <w:t xml:space="preserve">  │ • Dynamic price  │           │ • Distribute onboarding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 service-complete</w:t>
            </w:r>
          </w:p>
          <w:p>
            <w:pPr>
              <w:spacing w:before="30" w:after="30"/>
              <w:ind w:left="160"/>
            </w:pPr>
            <w:r>
              <w:rPr>
                <w:rFonts w:ascii="Courier New" w:cs="Courier New" w:eastAsia="Courier New" w:hAnsi="Courier New"/>
                <w:color w:val="1A1A1A"/>
                <w:sz w:val="20"/>
                <w:szCs w:val="20"/>
              </w:rPr>
              <w:t xml:space="preserve">                                             │ signal (Module 31)</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STAGE 4                      STAGE 3</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 Self-Healing Reconcile │◄──│ Event-Triggered Invoice │</w:t>
            </w:r>
          </w:p>
          <w:p>
            <w:pPr>
              <w:spacing w:before="30" w:after="30"/>
              <w:ind w:left="160"/>
            </w:pPr>
            <w:r>
              <w:rPr>
                <w:rFonts w:ascii="Courier New" w:cs="Courier New" w:eastAsia="Courier New" w:hAnsi="Courier New"/>
                <w:color w:val="1A1A1A"/>
                <w:sz w:val="20"/>
                <w:szCs w:val="20"/>
              </w:rPr>
              <w:t xml:space="preserve">  │                        │   │                        │</w:t>
            </w:r>
          </w:p>
          <w:p>
            <w:pPr>
              <w:spacing w:before="30" w:after="30"/>
              <w:ind w:left="160"/>
            </w:pPr>
            <w:r>
              <w:rPr>
                <w:rFonts w:ascii="Courier New" w:cs="Courier New" w:eastAsia="Courier New" w:hAnsi="Courier New"/>
                <w:color w:val="1A1A1A"/>
                <w:sz w:val="20"/>
                <w:szCs w:val="20"/>
              </w:rPr>
              <w:t xml:space="preserve">  │ • Banking API          │   │ • Crypto-signed invoice │</w:t>
            </w:r>
          </w:p>
          <w:p>
            <w:pPr>
              <w:spacing w:before="30" w:after="30"/>
              <w:ind w:left="160"/>
            </w:pPr>
            <w:r>
              <w:rPr>
                <w:rFonts w:ascii="Courier New" w:cs="Courier New" w:eastAsia="Courier New" w:hAnsi="Courier New"/>
                <w:color w:val="1A1A1A"/>
                <w:sz w:val="20"/>
                <w:szCs w:val="20"/>
              </w:rPr>
              <w:t xml:space="preserve">  │ • SHA-256 hash match   │   │ • Duration + stats     │</w:t>
            </w:r>
          </w:p>
          <w:p>
            <w:pPr>
              <w:spacing w:before="30" w:after="30"/>
              <w:ind w:left="160"/>
            </w:pPr>
            <w:r>
              <w:rPr>
                <w:rFonts w:ascii="Courier New" w:cs="Courier New" w:eastAsia="Courier New" w:hAnsi="Courier New"/>
                <w:color w:val="1A1A1A"/>
                <w:sz w:val="20"/>
                <w:szCs w:val="20"/>
              </w:rPr>
              <w:t xml:space="preserve">  │ • Discrepancy detect   │   │ • Blockchain cert ref  │</w:t>
            </w:r>
          </w:p>
          <w:p>
            <w:pPr>
              <w:spacing w:before="30" w:after="30"/>
              <w:ind w:left="160"/>
            </w:pPr>
            <w:r>
              <w:rPr>
                <w:rFonts w:ascii="Courier New" w:cs="Courier New" w:eastAsia="Courier New" w:hAnsi="Courier New"/>
                <w:color w:val="1A1A1A"/>
                <w:sz w:val="20"/>
                <w:szCs w:val="20"/>
              </w:rPr>
              <w:t xml:space="preserve">  │ • Resolution Agent     │   │ • AI session summary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ALL STAGES ──▶ Governance Gateway (Claim 64) validates before execution</w:t>
            </w:r>
          </w:p>
        </w:tc>
      </w:tr>
    </w:tbl>
    <w:p>
      <w:pPr>
        <w:spacing w:before="80" w:after="0"/>
      </w:pPr>
      <w:r>
        <w:t xml:space="preserve"/>
      </w:r>
    </w:p>
    <w:p>
      <w:pPr>
        <w:pStyle w:val="Heading2"/>
        <w:spacing w:before="280" w:after="80"/>
      </w:pPr>
      <w:r>
        <w:rPr>
          <w:rFonts w:ascii="Arial" w:cs="Arial" w:eastAsia="Arial" w:hAnsi="Arial"/>
          <w:b/>
          <w:bCs/>
          <w:color w:val="2E75B6"/>
          <w:sz w:val="26"/>
          <w:szCs w:val="26"/>
        </w:rPr>
        <w:t xml:space="preserve">FIG 35 — Organizational Knowledge Graph (Digital Twin)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FIG 35 — Organizational Knowledge Graph — Digital Twin (Claim 72)</w:t>
            </w:r>
          </w:p>
        </w:tc>
      </w:tr>
      <w:tr>
        <w:tc>
          <w:tcPr>
            <w:tcW w:type="dxa" w:w="9026"/>
            <w:tcBorders>
              <w:top w:val="single" w:color="CCCCCC" w:sz="1"/>
              <w:left w:val="single" w:color="CCCCCC" w:sz="1"/>
              <w:bottom w:val="single" w:color="CCCCCC" w:sz="1"/>
              <w:right w:val="single" w:color="CCCCCC" w:sz="1"/>
            </w:tcBorders>
            <w:shd w:fill="F0F4FA" w:val="clear"/>
            <w:tcMar>
              <w:top w:type="dxa" w:w="120"/>
              <w:left w:type="dxa" w:w="160"/>
              <w:bottom w:type="dxa" w:w="120"/>
              <w:right w:type="dxa" w:w="160"/>
            </w:tcMar>
          </w:tcPr>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 COMPANY PROFILE   │</w:t>
            </w:r>
          </w:p>
          <w:p>
            <w:pPr>
              <w:spacing w:before="30" w:after="30"/>
              <w:ind w:left="160"/>
            </w:pPr>
            <w:r>
              <w:rPr>
                <w:rFonts w:ascii="Courier New" w:cs="Courier New" w:eastAsia="Courier New" w:hAnsi="Courier New"/>
                <w:color w:val="1A1A1A"/>
                <w:sz w:val="20"/>
                <w:szCs w:val="20"/>
              </w:rPr>
              <w:t xml:space="preserve">                    │ • Personality     │</w:t>
            </w:r>
          </w:p>
          <w:p>
            <w:pPr>
              <w:spacing w:before="30" w:after="30"/>
              <w:ind w:left="160"/>
            </w:pPr>
            <w:r>
              <w:rPr>
                <w:rFonts w:ascii="Courier New" w:cs="Courier New" w:eastAsia="Courier New" w:hAnsi="Courier New"/>
                <w:color w:val="1A1A1A"/>
                <w:sz w:val="20"/>
                <w:szCs w:val="20"/>
              </w:rPr>
              <w:t xml:space="preserve">                    │ • Brand voice     │</w:t>
            </w:r>
          </w:p>
          <w:p>
            <w:pPr>
              <w:spacing w:before="30" w:after="30"/>
              <w:ind w:left="160"/>
            </w:pPr>
            <w:r>
              <w:rPr>
                <w:rFonts w:ascii="Courier New" w:cs="Courier New" w:eastAsia="Courier New" w:hAnsi="Courier New"/>
                <w:color w:val="1A1A1A"/>
                <w:sz w:val="20"/>
                <w:szCs w:val="20"/>
              </w:rPr>
              <w:t xml:space="preserve">                    │ • Risk tolerance  │</w:t>
            </w:r>
          </w:p>
          <w:p>
            <w:pPr>
              <w:spacing w:before="30" w:after="30"/>
              <w:ind w:left="160"/>
            </w:pPr>
            <w:r>
              <w:rPr>
                <w:rFonts w:ascii="Courier New" w:cs="Courier New" w:eastAsia="Courier New" w:hAnsi="Courier New"/>
                <w:color w:val="1A1A1A"/>
                <w:sz w:val="20"/>
                <w:szCs w:val="20"/>
              </w:rPr>
              <w:t xml:space="preserve">                    │ • Reg. posture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                 │                  │</w:t>
            </w:r>
          </w:p>
          <w:p>
            <w:pPr>
              <w:spacing w:before="30" w:after="30"/>
              <w:ind w:left="160"/>
            </w:pPr>
            <w:r>
              <w:rPr>
                <w:rFonts w:ascii="Courier New" w:cs="Courier New" w:eastAsia="Courier New" w:hAnsi="Courier New"/>
                <w:color w:val="1A1A1A"/>
                <w:sz w:val="20"/>
                <w:szCs w:val="20"/>
              </w:rPr>
              <w:t xml:space="preserve">           ▼                 ▼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HISTORICAL        │ │ RELATIONSHIP   │ │ GOAL FRAMEWORK   │</w:t>
            </w:r>
          </w:p>
          <w:p>
            <w:pPr>
              <w:spacing w:before="30" w:after="30"/>
              <w:ind w:left="160"/>
            </w:pPr>
            <w:r>
              <w:rPr>
                <w:rFonts w:ascii="Courier New" w:cs="Courier New" w:eastAsia="Courier New" w:hAnsi="Courier New"/>
                <w:color w:val="1A1A1A"/>
                <w:sz w:val="20"/>
                <w:szCs w:val="20"/>
              </w:rPr>
              <w:t xml:space="preserve">│ INTELLIGENCE      │ │ MAP            │ │                  │</w:t>
            </w:r>
          </w:p>
          <w:p>
            <w:pPr>
              <w:spacing w:before="30" w:after="30"/>
              <w:ind w:left="160"/>
            </w:pPr>
            <w:r>
              <w:rPr>
                <w:rFonts w:ascii="Courier New" w:cs="Courier New" w:eastAsia="Courier New" w:hAnsi="Courier New"/>
                <w:color w:val="1A1A1A"/>
                <w:sz w:val="20"/>
                <w:szCs w:val="20"/>
              </w:rPr>
              <w:t xml:space="preserve">│ (decay-weighted)  │ │                │ │ • Analyst engage │</w:t>
            </w:r>
          </w:p>
          <w:p>
            <w:pPr>
              <w:spacing w:before="30" w:after="30"/>
              <w:ind w:left="160"/>
            </w:pPr>
            <w:r>
              <w:rPr>
                <w:rFonts w:ascii="Courier New" w:cs="Courier New" w:eastAsia="Courier New" w:hAnsi="Courier New"/>
                <w:color w:val="1A1A1A"/>
                <w:sz w:val="20"/>
                <w:szCs w:val="20"/>
              </w:rPr>
              <w:t xml:space="preserve">│ • Transcripts     │ │ Client         │ │ • Compliance red │</w:t>
            </w:r>
          </w:p>
          <w:p>
            <w:pPr>
              <w:spacing w:before="30" w:after="30"/>
              <w:ind w:left="160"/>
            </w:pPr>
            <w:r>
              <w:rPr>
                <w:rFonts w:ascii="Courier New" w:cs="Courier New" w:eastAsia="Courier New" w:hAnsi="Courier New"/>
                <w:color w:val="1A1A1A"/>
                <w:sz w:val="20"/>
                <w:szCs w:val="20"/>
              </w:rPr>
              <w:t xml:space="preserve">│ • Q&amp;A patterns    │ │   └─▶ Event   │ │ • Response time  │</w:t>
            </w:r>
          </w:p>
          <w:p>
            <w:pPr>
              <w:spacing w:before="30" w:after="30"/>
              <w:ind w:left="160"/>
            </w:pPr>
            <w:r>
              <w:rPr>
                <w:rFonts w:ascii="Courier New" w:cs="Courier New" w:eastAsia="Courier New" w:hAnsi="Courier New"/>
                <w:color w:val="1A1A1A"/>
                <w:sz w:val="20"/>
                <w:szCs w:val="20"/>
              </w:rPr>
              <w:t xml:space="preserve">│ • Compliance      │ │       └─▶ Atnd│ │ • KPIs tracked   │</w:t>
            </w:r>
          </w:p>
          <w:p>
            <w:pPr>
              <w:spacing w:before="30" w:after="30"/>
              <w:ind w:left="160"/>
            </w:pPr>
            <w:r>
              <w:rPr>
                <w:rFonts w:ascii="Courier New" w:cs="Courier New" w:eastAsia="Courier New" w:hAnsi="Courier New"/>
                <w:color w:val="1A1A1A"/>
                <w:sz w:val="20"/>
                <w:szCs w:val="20"/>
              </w:rPr>
              <w:t xml:space="preserve">│ • Sentiment       │ │           └─▶Q│ │   autonomously   │</w:t>
            </w:r>
          </w:p>
          <w:p>
            <w:pPr>
              <w:spacing w:before="30" w:after="30"/>
              <w:ind w:left="160"/>
            </w:pPr>
            <w:r>
              <w:rPr>
                <w:rFonts w:ascii="Courier New" w:cs="Courier New" w:eastAsia="Courier New" w:hAnsi="Courier New"/>
                <w:color w:val="1A1A1A"/>
                <w:sz w:val="20"/>
                <w:szCs w:val="20"/>
              </w:rPr>
              <w:t xml:space="preserve">└──────────────────┘ └────────────────┘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 PREDICTIVE OUTPUTS                    │</w:t>
            </w:r>
          </w:p>
          <w:p>
            <w:pPr>
              <w:spacing w:before="30" w:after="30"/>
              <w:ind w:left="160"/>
            </w:pPr>
            <w:r>
              <w:rPr>
                <w:rFonts w:ascii="Courier New" w:cs="Courier New" w:eastAsia="Courier New" w:hAnsi="Courier New"/>
                <w:color w:val="1A1A1A"/>
                <w:sz w:val="20"/>
                <w:szCs w:val="20"/>
              </w:rPr>
              <w:t xml:space="preserve">           │ • Staffing forecasts (operator alloc) │</w:t>
            </w:r>
          </w:p>
          <w:p>
            <w:pPr>
              <w:spacing w:before="30" w:after="30"/>
              <w:ind w:left="160"/>
            </w:pPr>
            <w:r>
              <w:rPr>
                <w:rFonts w:ascii="Courier New" w:cs="Courier New" w:eastAsia="Courier New" w:hAnsi="Courier New"/>
                <w:color w:val="1A1A1A"/>
                <w:sz w:val="20"/>
                <w:szCs w:val="20"/>
              </w:rPr>
              <w:t xml:space="preserve">           │ • Compliance analyst pre-allocation   │</w:t>
            </w:r>
          </w:p>
          <w:p>
            <w:pPr>
              <w:spacing w:before="30" w:after="30"/>
              <w:ind w:left="160"/>
            </w:pPr>
            <w:r>
              <w:rPr>
                <w:rFonts w:ascii="Courier New" w:cs="Courier New" w:eastAsia="Courier New" w:hAnsi="Courier New"/>
                <w:color w:val="1A1A1A"/>
                <w:sz w:val="20"/>
                <w:szCs w:val="20"/>
              </w:rPr>
              <w:t xml:space="preserve">           │ • Crisis brief auto-generation        │</w:t>
            </w:r>
          </w:p>
          <w:p>
            <w:pPr>
              <w:spacing w:before="30" w:after="30"/>
              <w:ind w:left="160"/>
            </w:pPr>
            <w:r>
              <w:rPr>
                <w:rFonts w:ascii="Courier New" w:cs="Courier New" w:eastAsia="Courier New" w:hAnsi="Courier New"/>
                <w:color w:val="1A1A1A"/>
                <w:sz w:val="20"/>
                <w:szCs w:val="20"/>
              </w:rPr>
              <w:t xml:space="preserve">           │ • Pricing recommendations             │</w:t>
            </w:r>
          </w:p>
          <w:p>
            <w:pPr>
              <w:spacing w:before="30" w:after="30"/>
              <w:ind w:left="160"/>
            </w:pPr>
            <w:r>
              <w:rPr>
                <w:rFonts w:ascii="Courier New" w:cs="Courier New" w:eastAsia="Courier New" w:hAnsi="Courier New"/>
                <w:color w:val="1A1A1A"/>
                <w:sz w:val="20"/>
                <w:szCs w:val="20"/>
              </w:rPr>
              <w:t xml:space="preserve">           └──────────────────────────────────────┘</w:t>
            </w:r>
          </w:p>
          <w:p>
            <w:pPr>
              <w:spacing w:before="30" w:after="30"/>
              <w:ind w:left="160"/>
            </w:pPr>
            <w:r>
              <w:rPr>
                <w:rFonts w:ascii="Courier New" w:cs="Courier New" w:eastAsia="Courier New" w:hAnsi="Courier New"/>
                <w:color w:val="1A1A1A"/>
                <w:sz w:val="20"/>
                <w:szCs w:val="20"/>
              </w:rPr>
              <w:t xml:space="preserve"/>
            </w:r>
          </w:p>
          <w:p>
            <w:pPr>
              <w:spacing w:before="30" w:after="30"/>
              <w:ind w:left="160"/>
            </w:pPr>
            <w:r>
              <w:rPr>
                <w:rFonts w:ascii="Courier New" w:cs="Courier New" w:eastAsia="Courier New" w:hAnsi="Courier New"/>
                <w:color w:val="1A1A1A"/>
                <w:sz w:val="20"/>
                <w:szCs w:val="20"/>
              </w:rPr>
              <w:t xml:space="preserve">SOVEREIGN DATA: Isolated per-client | Zero-trust | POPIA/GDPR/SOX</w:t>
            </w:r>
          </w:p>
        </w:tc>
      </w:tr>
    </w:tbl>
    <w:p>
      <w:pPr>
        <w:spacing w:before="120" w:after="0"/>
      </w:pPr>
      <w:r>
        <w:t xml:space="preserve"/>
      </w:r>
    </w:p>
    <w:p>
      <w:pPr>
        <w:pStyle w:val="Heading1"/>
        <w:spacing w:before="360" w:after="120"/>
      </w:pPr>
      <w:r>
        <w:rPr>
          <w:rFonts w:ascii="Arial" w:cs="Arial" w:eastAsia="Arial" w:hAnsi="Arial"/>
          <w:b/>
          <w:bCs/>
          <w:color w:val="1B3A6B"/>
          <w:sz w:val="32"/>
          <w:szCs w:val="32"/>
        </w:rPr>
        <w:t xml:space="preserve">18. Incorporation by Reference</w:t>
      </w:r>
    </w:p>
    <w:p>
      <w:pPr>
        <w:spacing w:before="60" w:after="100"/>
        <w:jc w:val="both"/>
      </w:pPr>
      <w:r>
        <w:rPr>
          <w:rFonts w:ascii="Arial" w:cs="Arial" w:eastAsia="Arial" w:hAnsi="Arial"/>
          <w:color w:val="000000"/>
          <w:sz w:val="22"/>
          <w:szCs w:val="22"/>
        </w:rPr>
        <w:t xml:space="preserve">This CIP Submission 6 incorporates by reference all disclosures, claims, figures, and descriptions from the following prior filings in their entirety:</w:t>
      </w:r>
    </w:p>
    <w:p>
      <w:pPr>
        <w:pStyle w:val="ListParagraph"/>
        <w:numPr>
          <w:ilvl w:val="0"/>
          <w:numId w:val="2"/>
        </w:numPr>
        <w:spacing w:before="40" w:after="40"/>
      </w:pPr>
      <w:r>
        <w:rPr>
          <w:rFonts w:ascii="Arial" w:cs="Arial" w:eastAsia="Arial" w:hAnsi="Arial"/>
          <w:color w:val="000000"/>
          <w:sz w:val="22"/>
          <w:szCs w:val="22"/>
        </w:rPr>
        <w:t xml:space="preserve">Parent Provisional Specification (Application ID 1773575338868, filed 12 March 2026) — 13 modules, 25 claims, 12 figures</w:t>
      </w:r>
    </w:p>
    <w:p>
      <w:pPr>
        <w:pStyle w:val="ListParagraph"/>
        <w:numPr>
          <w:ilvl w:val="0"/>
          <w:numId w:val="2"/>
        </w:numPr>
        <w:spacing w:before="40" w:after="40"/>
      </w:pPr>
      <w:r>
        <w:rPr>
          <w:rFonts w:ascii="Arial" w:cs="Arial" w:eastAsia="Arial" w:hAnsi="Arial"/>
          <w:color w:val="000000"/>
          <w:sz w:val="22"/>
          <w:szCs w:val="22"/>
        </w:rPr>
        <w:t xml:space="preserve">CIP Submission 2 (filed 16 March 2026) — Modules 19–27, Claims 26–33, 8 figures (FIG 13–20)</w:t>
      </w:r>
    </w:p>
    <w:p>
      <w:pPr>
        <w:pStyle w:val="ListParagraph"/>
        <w:numPr>
          <w:ilvl w:val="0"/>
          <w:numId w:val="2"/>
        </w:numPr>
        <w:spacing w:before="40" w:after="40"/>
      </w:pPr>
      <w:r>
        <w:rPr>
          <w:rFonts w:ascii="Arial" w:cs="Arial" w:eastAsia="Arial" w:hAnsi="Arial"/>
          <w:color w:val="000000"/>
          <w:sz w:val="22"/>
          <w:szCs w:val="22"/>
        </w:rPr>
        <w:t xml:space="preserve">CIP Submission 3 (filed 18 March 2026) — Module 28, Claims 34–43, 7 figures (FIG 21–27)</w:t>
      </w:r>
    </w:p>
    <w:p>
      <w:pPr>
        <w:pStyle w:val="ListParagraph"/>
        <w:numPr>
          <w:ilvl w:val="0"/>
          <w:numId w:val="2"/>
        </w:numPr>
        <w:spacing w:before="40" w:after="40"/>
      </w:pPr>
      <w:r>
        <w:rPr>
          <w:rFonts w:ascii="Arial" w:cs="Arial" w:eastAsia="Arial" w:hAnsi="Arial"/>
          <w:color w:val="000000"/>
          <w:sz w:val="22"/>
          <w:szCs w:val="22"/>
        </w:rPr>
        <w:t xml:space="preserve">CIP Submission 4 (filed 19 March 2026) — Module 30, Claims 44–45</w:t>
      </w:r>
    </w:p>
    <w:p>
      <w:pPr>
        <w:pStyle w:val="ListParagraph"/>
        <w:numPr>
          <w:ilvl w:val="0"/>
          <w:numId w:val="2"/>
        </w:numPr>
        <w:spacing w:before="40" w:after="40"/>
      </w:pPr>
      <w:r>
        <w:rPr>
          <w:rFonts w:ascii="Arial" w:cs="Arial" w:eastAsia="Arial" w:hAnsi="Arial"/>
          <w:color w:val="000000"/>
          <w:sz w:val="22"/>
          <w:szCs w:val="22"/>
        </w:rPr>
        <w:t xml:space="preserve">CIP Submission 5 (filed 20 March 2026) — Module 31, Claims 46–55, 3 figures (FIG 28–30)</w:t>
      </w:r>
    </w:p>
    <w:p>
      <w:pPr>
        <w:spacing w:before="80" w:after="0"/>
      </w:pPr>
      <w:r>
        <w:t xml:space="preserve"/>
      </w:r>
    </w:p>
    <w:p>
      <w:pPr>
        <w:spacing w:before="60" w:after="100"/>
        <w:jc w:val="both"/>
      </w:pPr>
      <w:r>
        <w:rPr>
          <w:rFonts w:ascii="Arial" w:cs="Arial" w:eastAsia="Arial" w:hAnsi="Arial"/>
          <w:color w:val="000000"/>
          <w:sz w:val="22"/>
          <w:szCs w:val="22"/>
        </w:rPr>
        <w:t xml:space="preserve">All prior modules (1–31), claims (1–55), and figures (FIG 1–30) remain in full force and effect. This submission adds Module 32, Claims 56–75, and Figures FIG 31–35 as new matter. No prior claim or described embodiment is modified or replaced by this filing.</w:t>
      </w:r>
    </w:p>
    <w:p>
      <w:pPr>
        <w:spacing w:before="120" w:after="0"/>
      </w:pPr>
      <w:r>
        <w:t xml:space="preserve"/>
      </w:r>
    </w:p>
    <w:p>
      <w:pPr>
        <w:pStyle w:val="Heading1"/>
        <w:spacing w:before="360" w:after="120"/>
      </w:pPr>
      <w:r>
        <w:rPr>
          <w:rFonts w:ascii="Arial" w:cs="Arial" w:eastAsia="Arial" w:hAnsi="Arial"/>
          <w:b/>
          <w:bCs/>
          <w:color w:val="1B3A6B"/>
          <w:sz w:val="32"/>
          <w:szCs w:val="32"/>
        </w:rPr>
        <w:t xml:space="preserve">19. Declaration</w:t>
      </w:r>
    </w:p>
    <w:p>
      <w:pPr>
        <w:spacing w:before="60" w:after="100"/>
        <w:jc w:val="both"/>
      </w:pPr>
      <w:r>
        <w:rPr>
          <w:rFonts w:ascii="Arial" w:cs="Arial" w:eastAsia="Arial" w:hAnsi="Arial"/>
          <w:color w:val="000000"/>
          <w:sz w:val="22"/>
          <w:szCs w:val="22"/>
        </w:rPr>
        <w:t xml:space="preserve">I, David Cameron, the applicant and inventor, declare that:</w:t>
      </w:r>
    </w:p>
    <w:p>
      <w:pPr>
        <w:pStyle w:val="ListParagraph"/>
        <w:numPr>
          <w:ilvl w:val="0"/>
          <w:numId w:val="2"/>
        </w:numPr>
        <w:spacing w:before="40" w:after="40"/>
      </w:pPr>
      <w:r>
        <w:rPr>
          <w:rFonts w:ascii="Arial" w:cs="Arial" w:eastAsia="Arial" w:hAnsi="Arial"/>
          <w:color w:val="000000"/>
          <w:sz w:val="22"/>
          <w:szCs w:val="22"/>
        </w:rPr>
        <w:t xml:space="preserve">I am the sole inventor and applicant for this continuation-in-part specification.</w:t>
      </w:r>
    </w:p>
    <w:p>
      <w:pPr>
        <w:pStyle w:val="ListParagraph"/>
        <w:numPr>
          <w:ilvl w:val="0"/>
          <w:numId w:val="2"/>
        </w:numPr>
        <w:spacing w:before="40" w:after="40"/>
      </w:pPr>
      <w:r>
        <w:rPr>
          <w:rFonts w:ascii="Arial" w:cs="Arial" w:eastAsia="Arial" w:hAnsi="Arial"/>
          <w:color w:val="000000"/>
          <w:sz w:val="22"/>
          <w:szCs w:val="22"/>
        </w:rPr>
        <w:t xml:space="preserve">The innovations described in this CIP Submission 6 — comprising six cross-cutting innovations (Programmatic DTMF Handshake Protocol, Cross-Platform Control Orchestration, Metadata-Triggered State Authorization, Autonomous Governance Gateway, Polarity-to-Priority Algorithm, and Predictive Jitter-Buffer Synchronization) and Module 32 (Autonomous Enterprise Operating System) — constitute new matter not disclosed in the parent provisional specification (Application ID 1773575338868, filed 12 March 2026) or any of CIP Submissions 2–5.</w:t>
      </w:r>
    </w:p>
    <w:p>
      <w:pPr>
        <w:pStyle w:val="ListParagraph"/>
        <w:numPr>
          <w:ilvl w:val="0"/>
          <w:numId w:val="2"/>
        </w:numPr>
        <w:spacing w:before="40" w:after="40"/>
      </w:pPr>
      <w:r>
        <w:rPr>
          <w:rFonts w:ascii="Arial" w:cs="Arial" w:eastAsia="Arial" w:hAnsi="Arial"/>
          <w:color w:val="000000"/>
          <w:sz w:val="22"/>
          <w:szCs w:val="22"/>
        </w:rPr>
        <w:t xml:space="preserve">The cross-cutting innovations described in this filing (Claims 56–70) are implemented in production code deployed at the Production URL specified herein, as evidenced by the implementation file references in Section 9.9.</w:t>
      </w:r>
    </w:p>
    <w:p>
      <w:pPr>
        <w:pStyle w:val="ListParagraph"/>
        <w:numPr>
          <w:ilvl w:val="0"/>
          <w:numId w:val="2"/>
        </w:numPr>
        <w:spacing w:before="40" w:after="40"/>
      </w:pPr>
      <w:r>
        <w:rPr>
          <w:rFonts w:ascii="Arial" w:cs="Arial" w:eastAsia="Arial" w:hAnsi="Arial"/>
          <w:color w:val="000000"/>
          <w:sz w:val="22"/>
          <w:szCs w:val="22"/>
        </w:rPr>
        <w:t xml:space="preserve">Module 32 (AEOS, Claims 71–75) has been designed and architected in full detail as specified, and its principles are demonstrated in the working platform implementation. The Quote-to-Cash lifecycle, Organizational Knowledge Graph, and Sovereign Data Architecture are novel contributions not disclosed in any prior filing or known prior art.</w:t>
      </w:r>
    </w:p>
    <w:p>
      <w:pPr>
        <w:pStyle w:val="ListParagraph"/>
        <w:numPr>
          <w:ilvl w:val="0"/>
          <w:numId w:val="2"/>
        </w:numPr>
        <w:spacing w:before="40" w:after="40"/>
      </w:pPr>
      <w:r>
        <w:rPr>
          <w:rFonts w:ascii="Arial" w:cs="Arial" w:eastAsia="Arial" w:hAnsi="Arial"/>
          <w:color w:val="000000"/>
          <w:sz w:val="22"/>
          <w:szCs w:val="22"/>
        </w:rPr>
        <w:t xml:space="preserve">This CIP Submission 6 extends the parent provisional and all prior CIP submissions without contradiction, modification, or replacement of any prior claim or embodiment.</w:t>
      </w:r>
    </w:p>
    <w:p>
      <w:pPr>
        <w:pStyle w:val="ListParagraph"/>
        <w:numPr>
          <w:ilvl w:val="0"/>
          <w:numId w:val="2"/>
        </w:numPr>
        <w:spacing w:before="40" w:after="40"/>
      </w:pPr>
      <w:r>
        <w:rPr>
          <w:rFonts w:ascii="Arial" w:cs="Arial" w:eastAsia="Arial" w:hAnsi="Arial"/>
          <w:color w:val="000000"/>
          <w:sz w:val="22"/>
          <w:szCs w:val="22"/>
        </w:rPr>
        <w:t xml:space="preserve">This filing is made within the priority period of the parent application.</w:t>
      </w:r>
    </w:p>
    <w:p>
      <w:pPr>
        <w:spacing w:before="360" w:after="0"/>
      </w:pPr>
      <w:r>
        <w:t xml:space="preserve"/>
      </w:r>
    </w:p>
    <w:p>
      <w:pPr>
        <w:spacing w:before="60" w:after="60"/>
      </w:pPr>
      <w:r>
        <w:rPr>
          <w:rFonts w:ascii="Arial" w:cs="Arial" w:eastAsia="Arial" w:hAnsi="Arial"/>
          <w:sz w:val="22"/>
          <w:szCs w:val="22"/>
        </w:rPr>
        <w:t xml:space="preserve">Signed: ___________________________</w:t>
      </w:r>
    </w:p>
    <w:p>
      <w:pPr>
        <w:spacing w:before="80" w:after="0"/>
      </w:pPr>
      <w:r>
        <w:t xml:space="preserve"/>
      </w:r>
    </w:p>
    <w:p>
      <w:pPr>
        <w:spacing w:before="60" w:after="60"/>
      </w:pPr>
      <w:r>
        <w:rPr>
          <w:rFonts w:ascii="Arial" w:cs="Arial" w:eastAsia="Arial" w:hAnsi="Arial"/>
          <w:b/>
          <w:bCs/>
          <w:sz w:val="22"/>
          <w:szCs w:val="22"/>
        </w:rPr>
        <w:t xml:space="preserve">David Cameron</w:t>
      </w:r>
    </w:p>
    <w:p>
      <w:pPr>
        <w:spacing w:before="60" w:after="60"/>
      </w:pPr>
      <w:r>
        <w:rPr>
          <w:rFonts w:ascii="Arial" w:cs="Arial" w:eastAsia="Arial" w:hAnsi="Arial"/>
          <w:sz w:val="22"/>
          <w:szCs w:val="22"/>
        </w:rPr>
        <w:t xml:space="preserve">Applicant and Inventor</w:t>
      </w:r>
    </w:p>
    <w:p>
      <w:pPr>
        <w:spacing w:before="60" w:after="60"/>
      </w:pPr>
      <w:r>
        <w:rPr>
          <w:rFonts w:ascii="Arial" w:cs="Arial" w:eastAsia="Arial" w:hAnsi="Arial"/>
          <w:sz w:val="22"/>
          <w:szCs w:val="22"/>
        </w:rPr>
        <w:t xml:space="preserve">Date: 21 March 2026</w:t>
      </w:r>
    </w:p>
    <w:p>
      <w:pPr>
        <w:spacing w:before="60" w:after="60"/>
      </w:pPr>
      <w:r>
        <w:rPr>
          <w:rFonts w:ascii="Arial" w:cs="Arial" w:eastAsia="Arial" w:hAnsi="Arial"/>
          <w:sz w:val="22"/>
          <w:szCs w:val="22"/>
        </w:rPr>
        <w:t xml:space="preserve">Johannesburg, South Africa</w:t>
      </w:r>
    </w:p>
    <w:p>
      <w:pPr>
        <w:spacing w:before="360" w:after="0"/>
      </w:pPr>
      <w:r>
        <w:t xml:space="preserve"/>
      </w:r>
    </w:p>
    <w:p>
      <w:pPr>
        <w:pBdr>
          <w:bottom w:val="single" w:color="2E75B6" w:sz="6" w:space="1"/>
        </w:pBdr>
        <w:spacing w:before="120" w:after="120"/>
      </w:pPr>
      <w:r>
        <w:t xml:space="preserve"/>
      </w:r>
    </w:p>
    <w:p>
      <w:pPr>
        <w:spacing w:before="120" w:after="60"/>
        <w:jc w:val="center"/>
      </w:pPr>
      <w:r>
        <w:rPr>
          <w:rFonts w:ascii="Arial" w:cs="Arial" w:eastAsia="Arial" w:hAnsi="Arial"/>
          <w:b/>
          <w:bCs/>
          <w:color w:val="1B3A6B"/>
          <w:sz w:val="22"/>
          <w:szCs w:val="22"/>
        </w:rPr>
        <w:t xml:space="preserve">— End of CIP Submission 6 —</w:t>
      </w:r>
    </w:p>
    <w:p>
      <w:pPr>
        <w:spacing w:before="60" w:after="60"/>
        <w:jc w:val="center"/>
      </w:pPr>
      <w:r>
        <w:rPr>
          <w:rFonts w:ascii="Arial" w:cs="Arial" w:eastAsia="Arial" w:hAnsi="Arial"/>
          <w:color w:val="666666"/>
          <w:sz w:val="20"/>
          <w:szCs w:val="20"/>
        </w:rPr>
        <w:t xml:space="preserve">CIPC Patent Application ID 1773575338868  |  75 Total Claims  |  32 Modules  |  35 Figures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513"/>
        <w:tab w:val="right" w:pos="9026"/>
      </w:tabs>
    </w:pPr>
    <w:r>
      <w:rPr>
        <w:rFonts w:ascii="Arial" w:cs="Arial" w:eastAsia="Arial" w:hAnsi="Arial"/>
        <w:color w:val="888888"/>
        <w:sz w:val="16"/>
        <w:szCs w:val="16"/>
      </w:rPr>
      <w:t xml:space="preserve">CIPC Application ID 1773575338868</w:t>
    </w:r>
    <w:r>
      <w:rPr>
        <w:sz w:val="16"/>
        <w:szCs w:val="16"/>
      </w:rPr>
      <w:t xml:space="preserve">	</w:t>
    </w:r>
    <w:r>
      <w:rPr>
        <w:rFonts w:ascii="Arial" w:cs="Arial" w:eastAsia="Arial" w:hAnsi="Arial"/>
        <w:color w:val="888888"/>
        <w:sz w:val="16"/>
        <w:szCs w:val="16"/>
      </w:rPr>
      <w:t xml:space="preserve">Page</w:t>
    </w:r>
    <w:r>
      <w:rPr>
        <w:sz w:val="16"/>
        <w:szCs w:val="16"/>
      </w:rPr>
      <w:t xml:space="preserve">	</w:t>
    </w:r>
    <w:r>
      <w:rPr>
        <w:rFonts w:ascii="Arial" w:cs="Arial" w:eastAsia="Arial" w:hAnsi="Arial"/>
        <w:color w:val="888888"/>
        <w:sz w:val="16"/>
        <w:szCs w:val="16"/>
      </w:rPr>
      <w:t xml:space="preserve">75 Claims  |  32 Modules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B3A6B"/>
        <w:sz w:val="18"/>
        <w:szCs w:val="18"/>
      </w:rPr>
      <w:t xml:space="preserve">CuraLive Platform — CIP Submission 6</w:t>
    </w:r>
    <w:r>
      <w:rPr>
        <w:sz w:val="18"/>
        <w:szCs w:val="18"/>
      </w:rPr>
      <w:t xml:space="preserve">	</w:t>
    </w:r>
    <w:r>
      <w:rPr>
        <w:rFonts w:ascii="Arial" w:cs="Arial" w:eastAsia="Arial" w:hAnsi="Arial"/>
        <w:color w:val="888888"/>
        <w:sz w:val="18"/>
        <w:szCs w:val="18"/>
      </w:rPr>
      <w:t xml:space="preserve">Confidential — Patent Filing Support Material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2026-03-21T08:14:12.950Z</dcterms:created>
  <dcterms:modified xsi:type="dcterms:W3CDTF">2026-03-21T08:14:12.950Z</dcterms:modified>
</cp:coreProperties>
</file>

<file path=docProps/custom.xml><?xml version="1.0" encoding="utf-8"?>
<Properties xmlns="http://schemas.openxmlformats.org/officeDocument/2006/custom-properties" xmlns:vt="http://schemas.openxmlformats.org/officeDocument/2006/docPropsVTypes"/>
</file>