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D4ED8" w:val="solid"/>
            <w:tcMar>
              <w:top w:type="dxa" w:w="160"/>
              <w:left w:type="dxa" w:w="280"/>
              <w:bottom w:type="dxa" w:w="160"/>
              <w:right w:type="dxa" w:w="280"/>
            </w:tcMar>
            <w:vAlign w:val="center"/>
          </w:tcPr>
          <w:p>
            <w:pPr>
              <w:spacing w:after="0" w:before="0"/>
              <w:jc w:val="center"/>
            </w:pPr>
            <w:r>
              <w:rPr>
                <w:b/>
                <w:bCs/>
                <w:color w:val="FFFFFF"/>
                <w:sz w:val="26"/>
                <w:szCs w:val="26"/>
              </w:rPr>
              <w:t xml:space="preserve">CuraLive</w:t>
            </w:r>
          </w:p>
          <w:p>
            <w:pPr>
              <w:spacing w:after="0" w:before="50"/>
              <w:jc w:val="center"/>
            </w:pPr>
            <w:r>
              <w:rPr>
                <w:b w:val="false"/>
                <w:bCs w:val="false"/>
                <w:color w:val="FFFFFF"/>
                <w:sz w:val="20"/>
                <w:szCs w:val="20"/>
              </w:rPr>
              <w:t xml:space="preserve">Multi-Region Mirroring &amp; Infrastructure Brief</w:t>
            </w:r>
          </w:p>
          <w:p>
            <w:pPr>
              <w:spacing w:after="0" w:before="50"/>
              <w:jc w:val="center"/>
            </w:pPr>
            <w:r>
              <w:rPr>
                <w:b w:val="false"/>
                <w:bCs w:val="false"/>
                <w:color w:val="FFFFFF"/>
                <w:sz w:val="20"/>
                <w:szCs w:val="20"/>
              </w:rPr>
              <w:t xml:space="preserve">Response to Steve’s Comments</w:t>
            </w:r>
          </w:p>
        </w:tc>
      </w:tr>
    </w:tbl>
    <w:p>
      <w:pPr>
        <w:spacing w:after="0" w:before="60"/>
      </w:pPr>
    </w:p>
    <w:p>
      <w:pPr>
        <w:spacing w:after="120" w:before="120"/>
        <w:ind w:left="200"/>
      </w:pPr>
      <w:r>
        <w:rPr>
          <w:color w:val="374151"/>
          <w:sz w:val="20"/>
          <w:szCs w:val="20"/>
        </w:rPr>
        <w:t xml:space="preserve">This document preserves the original brief with Steve’s comments (yellow boxes) and David’s responses (blue boxes) inline. Each of Steve’s four highlighted points is addressed directly.</w:t>
      </w:r>
    </w:p>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60"/>
              <w:left w:type="dxa" w:w="280"/>
              <w:bottom w:type="dxa" w:w="160"/>
              <w:right w:type="dxa" w:w="280"/>
            </w:tcMar>
            <w:vAlign w:val="center"/>
          </w:tcPr>
          <w:p>
            <w:pPr>
              <w:spacing w:after="0" w:before="0"/>
              <w:jc w:val="center"/>
            </w:pPr>
            <w:r>
              <w:rPr>
                <w:b/>
                <w:bCs/>
                <w:color w:val="FFFFFF"/>
                <w:sz w:val="26"/>
                <w:szCs w:val="26"/>
              </w:rPr>
              <w:t xml:space="preserve">1.  Why Multi-Region Mirroring Matters</w:t>
            </w:r>
          </w:p>
        </w:tc>
      </w:tr>
    </w:tbl>
    <w:p>
      <w:pPr>
        <w:spacing w:after="0" w:before="80"/>
      </w:pPr>
    </w:p>
    <w:p>
      <w:pPr>
        <w:spacing w:after="120" w:before="120"/>
        <w:ind w:left="200"/>
      </w:pPr>
      <w:r>
        <w:rPr>
          <w:color w:val="374151"/>
          <w:sz w:val="21"/>
          <w:szCs w:val="21"/>
        </w:rPr>
        <w:t xml:space="preserve">CuraLive is a real-time investor events platform. When an earnings call or investor presentation is live, any interruption — even 30 seconds of downtime — can damage credibility and lose critical intelligence data.</w:t>
      </w:r>
    </w:p>
    <w:p>
      <w:pPr>
        <w:spacing w:after="0" w:before="40"/>
      </w:pPr>
    </w:p>
    <w:p>
      <w:pPr>
        <w:spacing w:after="120" w:before="120"/>
        <w:ind w:left="200"/>
      </w:pPr>
      <w:r>
        <w:rPr>
          <w:color w:val="374151"/>
          <w:sz w:val="21"/>
          <w:szCs w:val="21"/>
        </w:rPr>
        <w:t xml:space="preserve">Mirroring the platform in a second region means:</w:t>
      </w:r>
    </w:p>
    <w:p>
      <w:pPr>
        <w:spacing w:after="0" w:before="80"/>
        <w:ind w:left="360"/>
      </w:pPr>
      <w:r>
        <w:rPr>
          <w:b w:val="false"/>
          <w:bCs w:val="false"/>
          <w:color w:val="1F2937"/>
          <w:sz w:val="21"/>
          <w:szCs w:val="21"/>
        </w:rPr>
        <w:t xml:space="preserve">•  If the primary server goes down, a backup takes over automatically</w:t>
      </w:r>
    </w:p>
    <w:p>
      <w:pPr>
        <w:spacing w:after="0" w:before="80"/>
        <w:ind w:left="360"/>
      </w:pPr>
      <w:r>
        <w:rPr>
          <w:b w:val="false"/>
          <w:bCs w:val="false"/>
          <w:color w:val="1F2937"/>
          <w:sz w:val="21"/>
          <w:szCs w:val="21"/>
        </w:rPr>
        <w:t xml:space="preserve">•  No data is lost — the database is replicated in real time</w:t>
      </w:r>
    </w:p>
    <w:p>
      <w:pPr>
        <w:spacing w:after="0" w:before="80"/>
        <w:ind w:left="360"/>
      </w:pPr>
      <w:r>
        <w:rPr>
          <w:b w:val="false"/>
          <w:bCs w:val="false"/>
          <w:color w:val="1F2937"/>
          <w:sz w:val="21"/>
          <w:szCs w:val="21"/>
        </w:rPr>
        <w:t xml:space="preserve">•  Telephony (phone calls) continues uninterrupted — Twilio already operates globally</w:t>
      </w:r>
    </w:p>
    <w:p>
      <w:pPr>
        <w:spacing w:after="0" w:before="40"/>
      </w:pPr>
    </w:p>
    <w:tbl>
      <w:tblPr>
        <w:tblW w:type="dxa" w:w="9000"/>
        <w:tblBorders>
          <w:top w:val="single" w:color="F59E0B" w:sz="1"/>
          <w:left w:val="single" w:color="F59E0B" w:sz="3"/>
          <w:bottom w:val="single" w:color="F59E0B" w:sz="1"/>
          <w:right w:val="single" w:color="F59E0B"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FEF3C7" w:val="solid"/>
            <w:tcMar>
              <w:top w:type="dxa" w:w="120"/>
              <w:left w:type="dxa" w:w="280"/>
              <w:bottom w:type="dxa" w:w="120"/>
              <w:right w:type="dxa" w:w="280"/>
            </w:tcMar>
          </w:tcPr>
          <w:p>
            <w:pPr>
              <w:spacing w:after="60" w:before="0"/>
            </w:pPr>
            <w:r>
              <w:rPr>
                <w:b/>
                <w:bCs/>
                <w:color w:val="92400E"/>
                <w:sz w:val="18"/>
                <w:szCs w:val="18"/>
              </w:rPr>
              <w:t xml:space="preserve">STEVE’S COMMENT:</w:t>
            </w:r>
          </w:p>
          <w:p>
            <w:pPr>
              <w:spacing w:after="0" w:before="40"/>
            </w:pPr>
            <w:r>
              <w:rPr>
                <w:i/>
                <w:iCs/>
                <w:color w:val="78350F"/>
                <w:sz w:val="20"/>
                <w:szCs w:val="20"/>
              </w:rPr>
              <w:t xml:space="preserve">This is really good and Customers will love it, esp big banks.</w:t>
            </w:r>
          </w:p>
        </w:tc>
      </w:tr>
    </w:tbl>
    <w:p>
      <w:pPr>
        <w:spacing w:after="0" w:before="20"/>
      </w:pPr>
    </w:p>
    <w:tbl>
      <w:tblPr>
        <w:tblW w:type="dxa" w:w="9000"/>
        <w:tblBorders>
          <w:top w:val="single" w:color="3B82F6" w:sz="1"/>
          <w:left w:val="single" w:color="3B82F6" w:sz="3"/>
          <w:bottom w:val="single" w:color="3B82F6" w:sz="1"/>
          <w:right w:val="single" w:color="3B82F6"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EFF6FF" w:val="solid"/>
            <w:tcMar>
              <w:top w:type="dxa" w:w="120"/>
              <w:left w:type="dxa" w:w="280"/>
              <w:bottom w:type="dxa" w:w="120"/>
              <w:right w:type="dxa" w:w="280"/>
            </w:tcMar>
          </w:tcPr>
          <w:p>
            <w:pPr>
              <w:spacing w:after="60" w:before="0"/>
            </w:pPr>
            <w:r>
              <w:rPr>
                <w:b/>
                <w:bCs/>
                <w:color w:val="1E3A8A"/>
                <w:sz w:val="18"/>
                <w:szCs w:val="18"/>
              </w:rPr>
              <w:t xml:space="preserve">DAVID’S RESPONSE:</w:t>
            </w:r>
          </w:p>
          <w:p>
            <w:pPr>
              <w:spacing w:after="0" w:before="40"/>
            </w:pPr>
            <w:r>
              <w:rPr>
                <w:color w:val="1E3A8A"/>
                <w:sz w:val="20"/>
                <w:szCs w:val="20"/>
              </w:rPr>
              <w:t xml:space="preserve">Agreed — this is one of CuraLive’s strongest selling points for enterprise. The key message for sales conversations: active phone calls are managed entirely by Twilio’s global infrastructure and are completely independent of CuraLive’s application servers. A CuraLive server failover does not interrupt any call in progress.</w:t>
            </w:r>
          </w:p>
          <w:p>
            <w:pPr>
              <w:spacing w:after="0" w:before="40"/>
            </w:pPr>
            <w:r>
              <w:rPr>
                <w:color w:val="1E3A8A"/>
                <w:sz w:val="20"/>
                <w:szCs w:val="20"/>
              </w:rPr>
              <w:t xml:space="preserve"/>
            </w:r>
          </w:p>
          <w:p>
            <w:pPr>
              <w:spacing w:after="0" w:before="40"/>
            </w:pPr>
            <w:r>
              <w:rPr>
                <w:color w:val="1E3A8A"/>
                <w:sz w:val="20"/>
                <w:szCs w:val="20"/>
              </w:rPr>
              <w:t xml:space="preserve">Bank IT teams will specifically ask about this during vendor assessment. I’d recommend making this even more prominent in client-facing materials — perhaps a dedicated callout box rather than a bullet point. This is the sentence their procurement team will want to read.</w:t>
            </w:r>
          </w:p>
        </w:tc>
      </w:tr>
    </w:tbl>
    <w:p>
      <w:pPr>
        <w:spacing w:after="0" w:before="40"/>
      </w:pPr>
    </w:p>
    <w:p>
      <w:pPr>
        <w:spacing w:after="0" w:before="80"/>
        <w:ind w:left="360"/>
      </w:pPr>
      <w:r>
        <w:rPr>
          <w:b w:val="false"/>
          <w:bCs w:val="false"/>
          <w:color w:val="1F2937"/>
          <w:sz w:val="21"/>
          <w:szCs w:val="21"/>
        </w:rPr>
        <w:t xml:space="preserve">•  Clients in different geographies get faster, lower-latency connections</w:t>
      </w:r>
    </w:p>
    <w:p>
      <w:pPr>
        <w:spacing w:after="0" w:before="80"/>
        <w:ind w:left="360"/>
      </w:pPr>
      <w:r>
        <w:rPr>
          <w:b w:val="false"/>
          <w:bCs w:val="false"/>
          <w:color w:val="1F2937"/>
          <w:sz w:val="21"/>
          <w:szCs w:val="21"/>
        </w:rPr>
        <w:t xml:space="preserve">•  Regulatory compliance — some jurisdictions require data to stay within their borders</w:t>
      </w:r>
    </w:p>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60"/>
              <w:left w:type="dxa" w:w="280"/>
              <w:bottom w:type="dxa" w:w="160"/>
              <w:right w:type="dxa" w:w="280"/>
            </w:tcMar>
            <w:vAlign w:val="center"/>
          </w:tcPr>
          <w:p>
            <w:pPr>
              <w:spacing w:after="0" w:before="0"/>
              <w:jc w:val="center"/>
            </w:pPr>
            <w:r>
              <w:rPr>
                <w:b/>
                <w:bCs/>
                <w:color w:val="FFFFFF"/>
                <w:sz w:val="26"/>
                <w:szCs w:val="26"/>
              </w:rPr>
              <w:t xml:space="preserve">2.  What CuraLive Runs On</w:t>
            </w:r>
          </w:p>
        </w:tc>
      </w:tr>
    </w:tbl>
    <w:p>
      <w:pPr>
        <w:spacing w:after="0" w:before="80"/>
      </w:pPr>
    </w:p>
    <w:p>
      <w:pPr>
        <w:spacing w:after="120" w:before="120"/>
        <w:ind w:left="200"/>
      </w:pPr>
      <w:r>
        <w:rPr>
          <w:color w:val="374151"/>
          <w:sz w:val="21"/>
          <w:szCs w:val="21"/>
        </w:rPr>
        <w:t xml:space="preserve">CuraLive is a lightweight, modern web application. It does not need heavy infrastructure:</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065F46" w:val="solid"/>
            <w:tcMar>
              <w:top w:type="dxa" w:w="140"/>
              <w:left w:type="dxa" w:w="200"/>
              <w:bottom w:type="dxa" w:w="140"/>
              <w:right w:type="dxa" w:w="200"/>
            </w:tcMar>
            <w:vAlign w:val="center"/>
          </w:tcPr>
          <w:p>
            <w:pPr>
              <w:spacing w:after="30" w:before="0"/>
              <w:jc w:val="center"/>
            </w:pPr>
            <w:r>
              <w:rPr>
                <w:b/>
                <w:bCs/>
                <w:color w:val="FFFFFF"/>
                <w:sz w:val="21"/>
                <w:szCs w:val="21"/>
              </w:rPr>
              <w:t xml:space="preserve">Application Server</w:t>
            </w:r>
          </w:p>
          <w:p>
            <w:pPr>
              <w:spacing w:after="30" w:before="0"/>
              <w:jc w:val="center"/>
            </w:pPr>
            <w:r>
              <w:rPr>
                <w:b w:val="false"/>
                <w:bCs w:val="false"/>
                <w:color w:val="FFFFFF"/>
                <w:sz w:val="17"/>
                <w:szCs w:val="17"/>
              </w:rPr>
              <w:t xml:space="preserve">Node.js + Express + React</w:t>
            </w:r>
          </w:p>
          <w:p>
            <w:pPr>
              <w:spacing w:after="30" w:before="0"/>
              <w:jc w:val="center"/>
            </w:pPr>
            <w:r>
              <w:rPr>
                <w:b w:val="false"/>
                <w:bCs w:val="false"/>
                <w:color w:val="FFFFFF"/>
                <w:sz w:val="17"/>
                <w:szCs w:val="17"/>
              </w:rPr>
              <w:t xml:space="preserve">Runs on any cloud VM or container</w:t>
            </w:r>
          </w:p>
          <w:p>
            <w:pPr>
              <w:spacing w:after="30" w:before="0"/>
              <w:jc w:val="center"/>
            </w:pPr>
            <w:r>
              <w:rPr>
                <w:b w:val="false"/>
                <w:bCs w:val="false"/>
                <w:color w:val="FFFFFF"/>
                <w:sz w:val="17"/>
                <w:szCs w:val="17"/>
              </w:rPr>
              <w:t xml:space="preserve">Small footprint — 1–2 CPU cores, 2–4 GB RAM</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1E40AF" w:val="solid"/>
            <w:tcMar>
              <w:top w:type="dxa" w:w="140"/>
              <w:left w:type="dxa" w:w="200"/>
              <w:bottom w:type="dxa" w:w="140"/>
              <w:right w:type="dxa" w:w="200"/>
            </w:tcMar>
            <w:vAlign w:val="center"/>
          </w:tcPr>
          <w:p>
            <w:pPr>
              <w:spacing w:after="30" w:before="0"/>
              <w:jc w:val="center"/>
            </w:pPr>
            <w:r>
              <w:rPr>
                <w:b/>
                <w:bCs/>
                <w:color w:val="FFFFFF"/>
                <w:sz w:val="21"/>
                <w:szCs w:val="21"/>
              </w:rPr>
              <w:t xml:space="preserve">Database</w:t>
            </w:r>
          </w:p>
          <w:p>
            <w:pPr>
              <w:spacing w:after="30" w:before="0"/>
              <w:jc w:val="center"/>
            </w:pPr>
            <w:r>
              <w:rPr>
                <w:b w:val="false"/>
                <w:bCs w:val="false"/>
                <w:color w:val="FFFFFF"/>
                <w:sz w:val="17"/>
                <w:szCs w:val="17"/>
              </w:rPr>
              <w:t xml:space="preserve">PostgreSQL</w:t>
            </w:r>
          </w:p>
          <w:p>
            <w:pPr>
              <w:spacing w:after="30" w:before="0"/>
              <w:jc w:val="center"/>
            </w:pPr>
            <w:r>
              <w:rPr>
                <w:b w:val="false"/>
                <w:bCs w:val="false"/>
                <w:color w:val="FFFFFF"/>
                <w:sz w:val="17"/>
                <w:szCs w:val="17"/>
              </w:rPr>
              <w:t xml:space="preserve">Managed by cloud provider (RDS, Cloud SQL, etc.)</w:t>
            </w:r>
          </w:p>
          <w:p>
            <w:pPr>
              <w:spacing w:after="30" w:before="0"/>
              <w:jc w:val="center"/>
            </w:pPr>
            <w:r>
              <w:rPr>
                <w:b w:val="false"/>
                <w:bCs w:val="false"/>
                <w:color w:val="FFFFFF"/>
                <w:sz w:val="17"/>
                <w:szCs w:val="17"/>
              </w:rPr>
              <w:t xml:space="preserve">Full replication support built in</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5B21B6" w:val="solid"/>
            <w:tcMar>
              <w:top w:type="dxa" w:w="140"/>
              <w:left w:type="dxa" w:w="200"/>
              <w:bottom w:type="dxa" w:w="140"/>
              <w:right w:type="dxa" w:w="200"/>
            </w:tcMar>
            <w:vAlign w:val="center"/>
          </w:tcPr>
          <w:p>
            <w:pPr>
              <w:spacing w:after="30" w:before="0"/>
              <w:jc w:val="center"/>
            </w:pPr>
            <w:r>
              <w:rPr>
                <w:b/>
                <w:bCs/>
                <w:color w:val="FFFFFF"/>
                <w:sz w:val="21"/>
                <w:szCs w:val="21"/>
              </w:rPr>
              <w:t xml:space="preserve">Telephony</w:t>
            </w:r>
          </w:p>
          <w:p>
            <w:pPr>
              <w:spacing w:after="30" w:before="0"/>
              <w:jc w:val="center"/>
            </w:pPr>
            <w:r>
              <w:rPr>
                <w:b w:val="false"/>
                <w:bCs w:val="false"/>
                <w:color w:val="FFFFFF"/>
                <w:sz w:val="17"/>
                <w:szCs w:val="17"/>
              </w:rPr>
              <w:t xml:space="preserve">Twilio (global by default)</w:t>
            </w:r>
          </w:p>
          <w:p>
            <w:pPr>
              <w:spacing w:after="30" w:before="0"/>
              <w:jc w:val="center"/>
            </w:pPr>
            <w:r>
              <w:rPr>
                <w:b w:val="false"/>
                <w:bCs w:val="false"/>
                <w:color w:val="FFFFFF"/>
                <w:sz w:val="17"/>
                <w:szCs w:val="17"/>
              </w:rPr>
              <w:t xml:space="preserve">No extra setup for multi-region</w:t>
            </w:r>
          </w:p>
          <w:p>
            <w:pPr>
              <w:spacing w:after="30" w:before="0"/>
              <w:jc w:val="center"/>
            </w:pPr>
            <w:r>
              <w:rPr>
                <w:b w:val="false"/>
                <w:bCs w:val="false"/>
                <w:color w:val="FFFFFF"/>
                <w:sz w:val="17"/>
                <w:szCs w:val="17"/>
              </w:rPr>
              <w:t xml:space="preserve">Calls route through Twilio’s global network</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B45309" w:val="solid"/>
            <w:tcMar>
              <w:top w:type="dxa" w:w="140"/>
              <w:left w:type="dxa" w:w="200"/>
              <w:bottom w:type="dxa" w:w="140"/>
              <w:right w:type="dxa" w:w="200"/>
            </w:tcMar>
            <w:vAlign w:val="center"/>
          </w:tcPr>
          <w:p>
            <w:pPr>
              <w:spacing w:after="30" w:before="0"/>
              <w:jc w:val="center"/>
            </w:pPr>
            <w:r>
              <w:rPr>
                <w:b/>
                <w:bCs/>
                <w:color w:val="FFFFFF"/>
                <w:sz w:val="21"/>
                <w:szCs w:val="21"/>
              </w:rPr>
              <w:t xml:space="preserve">AI &amp; Intelligence</w:t>
            </w:r>
          </w:p>
          <w:p>
            <w:pPr>
              <w:spacing w:after="30" w:before="0"/>
              <w:jc w:val="center"/>
            </w:pPr>
            <w:r>
              <w:rPr>
                <w:b w:val="false"/>
                <w:bCs w:val="false"/>
                <w:color w:val="FFFFFF"/>
                <w:sz w:val="17"/>
                <w:szCs w:val="17"/>
              </w:rPr>
              <w:t xml:space="preserve">OpenAI API (cloud-based)</w:t>
            </w:r>
          </w:p>
          <w:p>
            <w:pPr>
              <w:spacing w:after="30" w:before="0"/>
              <w:jc w:val="center"/>
            </w:pPr>
            <w:r>
              <w:rPr>
                <w:b w:val="false"/>
                <w:bCs w:val="false"/>
                <w:color w:val="FFFFFF"/>
                <w:sz w:val="17"/>
                <w:szCs w:val="17"/>
              </w:rPr>
              <w:t xml:space="preserve">No infrastructure needed</w:t>
            </w:r>
          </w:p>
          <w:p>
            <w:pPr>
              <w:spacing w:after="30" w:before="0"/>
              <w:jc w:val="center"/>
            </w:pPr>
            <w:r>
              <w:rPr>
                <w:b w:val="false"/>
                <w:bCs w:val="false"/>
                <w:color w:val="FFFFFF"/>
                <w:sz w:val="17"/>
                <w:szCs w:val="17"/>
              </w:rPr>
              <w:t xml:space="preserve">Works identically from any region</w:t>
            </w:r>
          </w:p>
        </w:tc>
      </w:tr>
    </w:tbl>
    <w:p>
      <w:pPr>
        <w:spacing w:after="0" w:before="60"/>
      </w:pPr>
    </w:p>
    <w:p>
      <w:pPr>
        <w:spacing w:after="120" w:before="120"/>
        <w:ind w:left="200"/>
      </w:pPr>
      <w:r>
        <w:rPr>
          <w:color w:val="374151"/>
          <w:sz w:val="21"/>
          <w:szCs w:val="21"/>
        </w:rPr>
        <w:t xml:space="preserve">This architecture is cloud-agnostic. CuraLive can run on AWS, Azure, GCP, or any VPS provider. Nothing is locked to a single vendor.</w:t>
      </w:r>
    </w:p>
    <w:p>
      <w:pPr>
        <w:spacing w:after="0" w:before="100"/>
      </w:pPr>
    </w:p>
    <w:p>
      <w:r>
        <w:rPr>
          <w:sz w:val="2"/>
          <w:szCs w:val="2"/>
        </w:rPr>
        <w:t xml:space="preserve"/>
      </w:r>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B45309" w:val="solid"/>
            <w:tcMar>
              <w:top w:type="dxa" w:w="160"/>
              <w:left w:type="dxa" w:w="280"/>
              <w:bottom w:type="dxa" w:w="160"/>
              <w:right w:type="dxa" w:w="280"/>
            </w:tcMar>
            <w:vAlign w:val="center"/>
          </w:tcPr>
          <w:p>
            <w:pPr>
              <w:spacing w:after="0" w:before="0"/>
              <w:jc w:val="center"/>
            </w:pPr>
            <w:r>
              <w:rPr>
                <w:b/>
                <w:bCs/>
                <w:color w:val="FFFFFF"/>
                <w:sz w:val="26"/>
                <w:szCs w:val="26"/>
              </w:rPr>
              <w:t xml:space="preserve">3.  How Multi-Region Mirroring Works</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065F46" w:val="solid"/>
            <w:tcMar>
              <w:top w:type="dxa" w:w="140"/>
              <w:left w:type="dxa" w:w="200"/>
              <w:bottom w:type="dxa" w:w="140"/>
              <w:right w:type="dxa" w:w="200"/>
            </w:tcMar>
            <w:vAlign w:val="center"/>
          </w:tcPr>
          <w:p>
            <w:pPr>
              <w:spacing w:after="30" w:before="0"/>
              <w:jc w:val="center"/>
            </w:pPr>
            <w:r>
              <w:rPr>
                <w:b/>
                <w:bCs/>
                <w:color w:val="FFFFFF"/>
                <w:sz w:val="21"/>
                <w:szCs w:val="21"/>
              </w:rPr>
              <w:t xml:space="preserve">🇱🇦  PRIMARY REGION</w:t>
            </w:r>
          </w:p>
          <w:p>
            <w:pPr>
              <w:spacing w:after="30" w:before="0"/>
              <w:jc w:val="center"/>
            </w:pPr>
            <w:r>
              <w:rPr>
                <w:b w:val="false"/>
                <w:bCs w:val="false"/>
                <w:color w:val="FFFFFF"/>
                <w:sz w:val="17"/>
                <w:szCs w:val="17"/>
              </w:rPr>
              <w:t xml:space="preserve">e.g. South Africa or EU (London)</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Main application server</w:t>
            </w:r>
          </w:p>
          <w:p>
            <w:pPr>
              <w:spacing w:after="30" w:before="0"/>
              <w:jc w:val="center"/>
            </w:pPr>
            <w:r>
              <w:rPr>
                <w:b w:val="false"/>
                <w:bCs w:val="false"/>
                <w:color w:val="FFFFFF"/>
                <w:sz w:val="17"/>
                <w:szCs w:val="17"/>
              </w:rPr>
              <w:t xml:space="preserve">Primary database</w:t>
            </w:r>
          </w:p>
          <w:p>
            <w:pPr>
              <w:spacing w:after="30" w:before="0"/>
              <w:jc w:val="center"/>
            </w:pPr>
            <w:r>
              <w:rPr>
                <w:b w:val="false"/>
                <w:bCs w:val="false"/>
                <w:color w:val="FFFFFF"/>
                <w:sz w:val="17"/>
                <w:szCs w:val="17"/>
              </w:rPr>
              <w:t xml:space="preserve">Handles all live traffic</w:t>
            </w:r>
          </w:p>
          <w:p>
            <w:pPr>
              <w:spacing w:after="30" w:before="0"/>
              <w:jc w:val="center"/>
            </w:pPr>
            <w:r>
              <w:rPr>
                <w:b w:val="false"/>
                <w:bCs w:val="false"/>
                <w:color w:val="FFFFFF"/>
                <w:sz w:val="17"/>
                <w:szCs w:val="17"/>
              </w:rPr>
              <w:t xml:space="preserve">This is where operators and clients connect</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1E40AF" w:val="solid"/>
            <w:tcMar>
              <w:top w:type="dxa" w:w="140"/>
              <w:left w:type="dxa" w:w="200"/>
              <w:bottom w:type="dxa" w:w="140"/>
              <w:right w:type="dxa" w:w="200"/>
            </w:tcMar>
            <w:vAlign w:val="center"/>
          </w:tcPr>
          <w:p>
            <w:pPr>
              <w:spacing w:after="30" w:before="0"/>
              <w:jc w:val="center"/>
            </w:pPr>
            <w:r>
              <w:rPr>
                <w:b/>
                <w:bCs/>
                <w:color w:val="FFFFFF"/>
                <w:sz w:val="21"/>
                <w:szCs w:val="21"/>
              </w:rPr>
              <w:t xml:space="preserve">🇺🇸  SECONDARY REGION</w:t>
            </w:r>
          </w:p>
          <w:p>
            <w:pPr>
              <w:spacing w:after="30" w:before="0"/>
              <w:jc w:val="center"/>
            </w:pPr>
            <w:r>
              <w:rPr>
                <w:b w:val="false"/>
                <w:bCs w:val="false"/>
                <w:color w:val="FFFFFF"/>
                <w:sz w:val="17"/>
                <w:szCs w:val="17"/>
              </w:rPr>
              <w:t xml:space="preserve">e.g. US East or UK</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Standby application server</w:t>
            </w:r>
          </w:p>
          <w:p>
            <w:pPr>
              <w:spacing w:after="30" w:before="0"/>
              <w:jc w:val="center"/>
            </w:pPr>
            <w:r>
              <w:rPr>
                <w:b w:val="false"/>
                <w:bCs w:val="false"/>
                <w:color w:val="FFFFFF"/>
                <w:sz w:val="17"/>
                <w:szCs w:val="17"/>
              </w:rPr>
              <w:t xml:space="preserve">Replica database (real-time sync)</w:t>
            </w:r>
          </w:p>
          <w:p>
            <w:pPr>
              <w:spacing w:after="30" w:before="0"/>
              <w:jc w:val="center"/>
            </w:pPr>
            <w:r>
              <w:rPr>
                <w:b w:val="false"/>
                <w:bCs w:val="false"/>
                <w:color w:val="FFFFFF"/>
                <w:sz w:val="17"/>
                <w:szCs w:val="17"/>
              </w:rPr>
              <w:t xml:space="preserve">Ready to take over within 60 seconds</w:t>
            </w:r>
          </w:p>
          <w:p>
            <w:pPr>
              <w:spacing w:after="30" w:before="0"/>
              <w:jc w:val="center"/>
            </w:pPr>
            <w:r>
              <w:rPr>
                <w:b w:val="false"/>
                <w:bCs w:val="false"/>
                <w:color w:val="FFFFFF"/>
                <w:sz w:val="17"/>
                <w:szCs w:val="17"/>
              </w:rPr>
              <w:t xml:space="preserve">Takes no traffic until failover</w:t>
            </w:r>
          </w:p>
        </w:tc>
      </w:tr>
    </w:tbl>
    <w:p>
      <w:pPr>
        <w:spacing w:after="70" w:before="70"/>
        <w:jc w:val="center"/>
      </w:pPr>
      <w:r>
        <w:rPr>
          <w:b/>
          <w:bCs/>
          <w:color w:val="6B7280"/>
          <w:sz w:val="28"/>
          <w:szCs w:val="28"/>
        </w:rPr>
        <w:t xml:space="preserve">↔️  Continuous sync between regions</w:t>
      </w:r>
    </w:p>
    <w:p>
      <w:pPr>
        <w:spacing w:after="100" w:before="300"/>
      </w:pPr>
      <w:r>
        <w:rPr>
          <w:b/>
          <w:bCs/>
          <w:color w:val="1E3A8A"/>
          <w:sz w:val="24"/>
          <w:szCs w:val="24"/>
        </w:rPr>
        <w:t xml:space="preserve">What happens during a failover:</w:t>
      </w:r>
    </w:p>
    <w:p>
      <w:pPr>
        <w:spacing w:after="0" w:before="100"/>
        <w:ind w:left="360"/>
      </w:pPr>
      <w:r>
        <w:rPr>
          <w:b/>
          <w:bCs/>
          <w:color w:val="374151"/>
          <w:sz w:val="21"/>
          <w:szCs w:val="21"/>
        </w:rPr>
        <w:t xml:space="preserve">1.  </w:t>
      </w:r>
      <w:r>
        <w:rPr>
          <w:color w:val="1F2937"/>
          <w:sz w:val="21"/>
          <w:szCs w:val="21"/>
        </w:rPr>
        <w:t xml:space="preserve">Primary region goes down (server crash, network outage, data centre issue)</w:t>
      </w:r>
    </w:p>
    <w:p>
      <w:pPr>
        <w:spacing w:after="0" w:before="100"/>
        <w:ind w:left="360"/>
      </w:pPr>
      <w:r>
        <w:rPr>
          <w:b/>
          <w:bCs/>
          <w:color w:val="374151"/>
          <w:sz w:val="21"/>
          <w:szCs w:val="21"/>
        </w:rPr>
        <w:t xml:space="preserve">2.  </w:t>
      </w:r>
      <w:r>
        <w:rPr>
          <w:color w:val="1F2937"/>
          <w:sz w:val="21"/>
          <w:szCs w:val="21"/>
        </w:rPr>
        <w:t xml:space="preserve">Health check detects the failure within 30–60 seconds</w:t>
      </w:r>
    </w:p>
    <w:p>
      <w:pPr>
        <w:spacing w:after="0" w:before="40"/>
      </w:pPr>
    </w:p>
    <w:tbl>
      <w:tblPr>
        <w:tblW w:type="dxa" w:w="9000"/>
        <w:tblBorders>
          <w:top w:val="single" w:color="F59E0B" w:sz="1"/>
          <w:left w:val="single" w:color="F59E0B" w:sz="3"/>
          <w:bottom w:val="single" w:color="F59E0B" w:sz="1"/>
          <w:right w:val="single" w:color="F59E0B"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FEF3C7" w:val="solid"/>
            <w:tcMar>
              <w:top w:type="dxa" w:w="120"/>
              <w:left w:type="dxa" w:w="280"/>
              <w:bottom w:type="dxa" w:w="120"/>
              <w:right w:type="dxa" w:w="280"/>
            </w:tcMar>
          </w:tcPr>
          <w:p>
            <w:pPr>
              <w:spacing w:after="60" w:before="0"/>
            </w:pPr>
            <w:r>
              <w:rPr>
                <w:b/>
                <w:bCs/>
                <w:color w:val="92400E"/>
                <w:sz w:val="18"/>
                <w:szCs w:val="18"/>
              </w:rPr>
              <w:t xml:space="preserve">STEVE’S COMMENT:</w:t>
            </w:r>
          </w:p>
          <w:p>
            <w:pPr>
              <w:spacing w:after="0" w:before="40"/>
            </w:pPr>
            <w:r>
              <w:rPr>
                <w:i/>
                <w:iCs/>
                <w:color w:val="78350F"/>
                <w:sz w:val="20"/>
                <w:szCs w:val="20"/>
              </w:rPr>
              <w:t xml:space="preserve">Is this done via a polling app/function? If so, can it be configured to carry out the check at shorter intervals? We could build our own AI agent to perform the task?</w:t>
            </w:r>
          </w:p>
        </w:tc>
      </w:tr>
    </w:tbl>
    <w:p>
      <w:pPr>
        <w:spacing w:after="0" w:before="20"/>
      </w:pPr>
    </w:p>
    <w:tbl>
      <w:tblPr>
        <w:tblW w:type="dxa" w:w="9000"/>
        <w:tblBorders>
          <w:top w:val="single" w:color="3B82F6" w:sz="1"/>
          <w:left w:val="single" w:color="3B82F6" w:sz="3"/>
          <w:bottom w:val="single" w:color="3B82F6" w:sz="1"/>
          <w:right w:val="single" w:color="3B82F6"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EFF6FF" w:val="solid"/>
            <w:tcMar>
              <w:top w:type="dxa" w:w="120"/>
              <w:left w:type="dxa" w:w="280"/>
              <w:bottom w:type="dxa" w:w="120"/>
              <w:right w:type="dxa" w:w="280"/>
            </w:tcMar>
          </w:tcPr>
          <w:p>
            <w:pPr>
              <w:spacing w:after="60" w:before="0"/>
            </w:pPr>
            <w:r>
              <w:rPr>
                <w:b/>
                <w:bCs/>
                <w:color w:val="1E3A8A"/>
                <w:sz w:val="18"/>
                <w:szCs w:val="18"/>
              </w:rPr>
              <w:t xml:space="preserve">DAVID’S RESPONSE:</w:t>
            </w:r>
          </w:p>
          <w:p>
            <w:pPr>
              <w:spacing w:after="0" w:before="40"/>
            </w:pPr>
            <w:r>
              <w:rPr>
                <w:color w:val="1E3A8A"/>
                <w:sz w:val="20"/>
                <w:szCs w:val="20"/>
              </w:rPr>
              <w:t xml:space="preserve">Yes — health checks are performed by the cloud provider’s DNS failover service (e.g. AWS Route 53, Cloudflare). These are polling-based checks that send a request to the application server at configurable intervals.</w:t>
            </w:r>
          </w:p>
          <w:p>
            <w:pPr>
              <w:spacing w:after="0" w:before="40"/>
            </w:pPr>
            <w:r>
              <w:rPr>
                <w:color w:val="1E3A8A"/>
                <w:sz w:val="20"/>
                <w:szCs w:val="20"/>
              </w:rPr>
              <w:t xml:space="preserve"/>
            </w:r>
          </w:p>
          <w:p>
            <w:pPr>
              <w:spacing w:after="0" w:before="40"/>
            </w:pPr>
            <w:r>
              <w:rPr>
                <w:color w:val="1E3A8A"/>
                <w:sz w:val="20"/>
                <w:szCs w:val="20"/>
              </w:rPr>
              <w:t xml:space="preserve">Default interval: every 10–30 seconds. This can be reduced to as low as every 5 seconds for faster detection. Checks run from multiple geographic locations simultaneously — failure is only confirmed when multiple locations agree, which prevents false positives.</w:t>
            </w:r>
          </w:p>
          <w:p>
            <w:pPr>
              <w:spacing w:after="0" w:before="40"/>
            </w:pPr>
            <w:r>
              <w:rPr>
                <w:color w:val="1E3A8A"/>
                <w:sz w:val="20"/>
                <w:szCs w:val="20"/>
              </w:rPr>
              <w:t xml:space="preserve"/>
            </w:r>
          </w:p>
          <w:p>
            <w:pPr>
              <w:spacing w:after="0" w:before="40"/>
            </w:pPr>
            <w:r>
              <w:rPr>
                <w:color w:val="1E3A8A"/>
                <w:sz w:val="20"/>
                <w:szCs w:val="20"/>
              </w:rPr>
              <w:t xml:space="preserve">Steve’s idea about building an AI agent for this is creative. Standard cloud health checks are reliable for basic “is the server up” monitoring, but where an AI agent would add real value is at the application level — checking not just server availability but:</w:t>
            </w:r>
          </w:p>
          <w:p>
            <w:pPr>
              <w:spacing w:after="0" w:before="40"/>
            </w:pPr>
            <w:r>
              <w:rPr>
                <w:color w:val="1E3A8A"/>
                <w:sz w:val="20"/>
                <w:szCs w:val="20"/>
              </w:rPr>
              <w:t xml:space="preserve"/>
            </w:r>
          </w:p>
          <w:p>
            <w:pPr>
              <w:spacing w:after="0" w:before="40"/>
            </w:pPr>
            <w:r>
              <w:rPr>
                <w:color w:val="1E3A8A"/>
                <w:sz w:val="20"/>
                <w:szCs w:val="20"/>
              </w:rPr>
              <w:t xml:space="preserve">•  Is the database connected and responsive?</w:t>
            </w:r>
          </w:p>
          <w:p>
            <w:pPr>
              <w:spacing w:after="0" w:before="40"/>
            </w:pPr>
            <w:r>
              <w:rPr>
                <w:color w:val="1E3A8A"/>
                <w:sz w:val="20"/>
                <w:szCs w:val="20"/>
              </w:rPr>
              <w:t xml:space="preserve">•  Is the Twilio API reachable and authenticated?</w:t>
            </w:r>
          </w:p>
          <w:p>
            <w:pPr>
              <w:spacing w:after="0" w:before="40"/>
            </w:pPr>
            <w:r>
              <w:rPr>
                <w:color w:val="1E3A8A"/>
                <w:sz w:val="20"/>
                <w:szCs w:val="20"/>
              </w:rPr>
              <w:t xml:space="preserve">•  Is the OpenAI API responding?</w:t>
            </w:r>
          </w:p>
          <w:p>
            <w:pPr>
              <w:spacing w:after="0" w:before="40"/>
            </w:pPr>
            <w:r>
              <w:rPr>
                <w:color w:val="1E3A8A"/>
                <w:sz w:val="20"/>
                <w:szCs w:val="20"/>
              </w:rPr>
              <w:t xml:space="preserve">•  Are active events still streaming correctly?</w:t>
            </w:r>
          </w:p>
          <w:p>
            <w:pPr>
              <w:spacing w:after="0" w:before="40"/>
            </w:pPr>
            <w:r>
              <w:rPr>
                <w:color w:val="1E3A8A"/>
                <w:sz w:val="20"/>
                <w:szCs w:val="20"/>
              </w:rPr>
              <w:t xml:space="preserve"/>
            </w:r>
          </w:p>
          <w:p>
            <w:pPr>
              <w:spacing w:after="0" w:before="40"/>
            </w:pPr>
            <w:r>
              <w:rPr>
                <w:color w:val="1E3A8A"/>
                <w:sz w:val="20"/>
                <w:szCs w:val="20"/>
              </w:rPr>
              <w:t xml:space="preserve">This kind of intelligent health monitoring goes beyond a simple HTTP ping. It’s the level of monitoring that enterprise IT and audit teams expect to see. Worth building as a future feature — and it’s a patentable capability.</w:t>
            </w:r>
          </w:p>
        </w:tc>
      </w:tr>
    </w:tbl>
    <w:p>
      <w:pPr>
        <w:spacing w:after="0" w:before="40"/>
      </w:pPr>
    </w:p>
    <w:p>
      <w:pPr>
        <w:spacing w:after="0" w:before="100"/>
        <w:ind w:left="360"/>
      </w:pPr>
      <w:r>
        <w:rPr>
          <w:b/>
          <w:bCs/>
          <w:color w:val="374151"/>
          <w:sz w:val="21"/>
          <w:szCs w:val="21"/>
        </w:rPr>
        <w:t xml:space="preserve">3.  </w:t>
      </w:r>
      <w:r>
        <w:rPr>
          <w:color w:val="1F2937"/>
          <w:sz w:val="21"/>
          <w:szCs w:val="21"/>
        </w:rPr>
        <w:t xml:space="preserve">DNS automatically routes all traffic to the secondary region</w:t>
      </w:r>
    </w:p>
    <w:p>
      <w:pPr>
        <w:spacing w:after="0" w:before="100"/>
        <w:ind w:left="360"/>
      </w:pPr>
      <w:r>
        <w:rPr>
          <w:b/>
          <w:bCs/>
          <w:color w:val="374151"/>
          <w:sz w:val="21"/>
          <w:szCs w:val="21"/>
        </w:rPr>
        <w:t xml:space="preserve">4.  </w:t>
      </w:r>
      <w:r>
        <w:rPr>
          <w:color w:val="1F2937"/>
          <w:sz w:val="21"/>
          <w:szCs w:val="21"/>
        </w:rPr>
        <w:t xml:space="preserve">Database replica is promoted to primary — all data is intact, no loss</w:t>
      </w:r>
    </w:p>
    <w:p>
      <w:pPr>
        <w:spacing w:after="0" w:before="100"/>
        <w:ind w:left="360"/>
      </w:pPr>
      <w:r>
        <w:rPr>
          <w:b/>
          <w:bCs/>
          <w:color w:val="374151"/>
          <w:sz w:val="21"/>
          <w:szCs w:val="21"/>
        </w:rPr>
        <w:t xml:space="preserve">5.  </w:t>
      </w:r>
      <w:r>
        <w:rPr>
          <w:color w:val="1F2937"/>
          <w:sz w:val="21"/>
          <w:szCs w:val="21"/>
        </w:rPr>
        <w:t xml:space="preserve">Telephony continues uninterrupted — Twilio is completely independent of our servers</w:t>
      </w:r>
    </w:p>
    <w:p>
      <w:pPr>
        <w:spacing w:after="0" w:before="100"/>
        <w:ind w:left="360"/>
      </w:pPr>
      <w:r>
        <w:rPr>
          <w:b/>
          <w:bCs/>
          <w:color w:val="374151"/>
          <w:sz w:val="21"/>
          <w:szCs w:val="21"/>
        </w:rPr>
        <w:t xml:space="preserve">6.  </w:t>
      </w:r>
      <w:r>
        <w:rPr>
          <w:color w:val="1F2937"/>
          <w:sz w:val="21"/>
          <w:szCs w:val="21"/>
        </w:rPr>
        <w:t xml:space="preserve">Users reconnect within 1–2 minutes without any manual intervention</w:t>
      </w:r>
    </w:p>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60"/>
              <w:left w:type="dxa" w:w="280"/>
              <w:bottom w:type="dxa" w:w="160"/>
              <w:right w:type="dxa" w:w="280"/>
            </w:tcMar>
            <w:vAlign w:val="center"/>
          </w:tcPr>
          <w:p>
            <w:pPr>
              <w:spacing w:after="0" w:before="0"/>
              <w:jc w:val="center"/>
            </w:pPr>
            <w:r>
              <w:rPr>
                <w:b/>
                <w:bCs/>
                <w:color w:val="FFFFFF"/>
                <w:sz w:val="26"/>
                <w:szCs w:val="26"/>
              </w:rPr>
              <w:t xml:space="preserve">Important: phone calls already in progress will not drop.</w:t>
            </w:r>
          </w:p>
          <w:p>
            <w:pPr>
              <w:spacing w:after="0" w:before="50"/>
              <w:jc w:val="center"/>
            </w:pPr>
            <w:r>
              <w:rPr>
                <w:b w:val="false"/>
                <w:bCs w:val="false"/>
                <w:color w:val="FFFFFF"/>
                <w:sz w:val="20"/>
                <w:szCs w:val="20"/>
              </w:rPr>
              <w:t xml:space="preserve">Twilio manages call audio independently. Only the OCC dashboard reconnects.</w:t>
            </w:r>
          </w:p>
        </w:tc>
      </w:tr>
    </w:tbl>
    <w:p>
      <w:pPr>
        <w:spacing w:after="0" w:before="100"/>
      </w:pPr>
    </w:p>
    <w:p>
      <w:pPr>
        <w:spacing w:after="100" w:before="300"/>
      </w:pPr>
      <w:r>
        <w:rPr>
          <w:b/>
          <w:bCs/>
          <w:color w:val="1E3A8A"/>
          <w:sz w:val="24"/>
          <w:szCs w:val="24"/>
        </w:rPr>
        <w:t xml:space="preserve">Can it be mirrored across countries?</w:t>
      </w:r>
    </w:p>
    <w:p>
      <w:pPr>
        <w:spacing w:after="120" w:before="120"/>
        <w:ind w:left="200"/>
      </w:pPr>
      <w:r>
        <w:rPr>
          <w:color w:val="374151"/>
          <w:sz w:val="21"/>
          <w:szCs w:val="21"/>
        </w:rPr>
        <w:t xml:space="preserve">Yes. The two regions can be in different countries entirely. Common setups:</w:t>
      </w:r>
    </w:p>
    <w:p>
      <w:pPr>
        <w:spacing w:after="0" w:before="80"/>
        <w:ind w:left="360"/>
      </w:pPr>
      <w:r>
        <w:rPr>
          <w:b w:val="false"/>
          <w:bCs w:val="false"/>
          <w:color w:val="1F2937"/>
          <w:sz w:val="21"/>
          <w:szCs w:val="21"/>
        </w:rPr>
        <w:t xml:space="preserve">•  Primary in South Africa (AWS Cape Town) + Secondary in the UK (AWS London)</w:t>
      </w:r>
    </w:p>
    <w:p>
      <w:pPr>
        <w:spacing w:after="0" w:before="80"/>
        <w:ind w:left="360"/>
      </w:pPr>
      <w:r>
        <w:rPr>
          <w:b w:val="false"/>
          <w:bCs w:val="false"/>
          <w:color w:val="1F2937"/>
          <w:sz w:val="21"/>
          <w:szCs w:val="21"/>
        </w:rPr>
        <w:t xml:space="preserve">•  Primary in the EU (London or Frankfurt) + Secondary in the US (Virginia)</w:t>
      </w:r>
    </w:p>
    <w:p>
      <w:pPr>
        <w:spacing w:after="0" w:before="80"/>
        <w:ind w:left="360"/>
      </w:pPr>
      <w:r>
        <w:rPr>
          <w:b w:val="false"/>
          <w:bCs w:val="false"/>
          <w:color w:val="1F2937"/>
          <w:sz w:val="21"/>
          <w:szCs w:val="21"/>
        </w:rPr>
        <w:t xml:space="preserve">•  Primary in the US + Secondary in Asia-Pacific (Singapore or Sydney)</w:t>
      </w:r>
    </w:p>
    <w:p>
      <w:pPr>
        <w:spacing w:after="0" w:before="40"/>
      </w:pPr>
    </w:p>
    <w:p>
      <w:pPr>
        <w:spacing w:after="120" w:before="120"/>
        <w:ind w:left="200"/>
      </w:pPr>
      <w:r>
        <w:rPr>
          <w:color w:val="374151"/>
          <w:sz w:val="21"/>
          <w:szCs w:val="21"/>
        </w:rPr>
        <w:t xml:space="preserve">The choice depends on where your clients and operators are located, and what data residency rules apply to your industry.</w:t>
      </w:r>
    </w:p>
    <w:p>
      <w:pPr>
        <w:spacing w:after="0" w:before="200"/>
      </w:pPr>
    </w:p>
    <w:p>
      <w:r>
        <w:rPr>
          <w:sz w:val="2"/>
          <w:szCs w:val="2"/>
        </w:rPr>
        <w:t xml:space="preserve"/>
      </w:r>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991B1B" w:val="solid"/>
            <w:tcMar>
              <w:top w:type="dxa" w:w="160"/>
              <w:left w:type="dxa" w:w="280"/>
              <w:bottom w:type="dxa" w:w="160"/>
              <w:right w:type="dxa" w:w="280"/>
            </w:tcMar>
            <w:vAlign w:val="center"/>
          </w:tcPr>
          <w:p>
            <w:pPr>
              <w:spacing w:after="0" w:before="0"/>
              <w:jc w:val="center"/>
            </w:pPr>
            <w:r>
              <w:rPr>
                <w:b/>
                <w:bCs/>
                <w:color w:val="FFFFFF"/>
                <w:sz w:val="26"/>
                <w:szCs w:val="26"/>
              </w:rPr>
              <w:t xml:space="preserve">4.  Cost Breakdown</w:t>
            </w:r>
          </w:p>
        </w:tc>
      </w:tr>
    </w:tbl>
    <w:p>
      <w:pPr>
        <w:spacing w:after="0" w:before="80"/>
      </w:pPr>
    </w:p>
    <w:p>
      <w:pPr>
        <w:spacing w:after="120" w:before="120"/>
        <w:ind w:left="200"/>
      </w:pPr>
      <w:r>
        <w:rPr>
          <w:color w:val="374151"/>
          <w:sz w:val="21"/>
          <w:szCs w:val="21"/>
        </w:rPr>
        <w:t xml:space="preserve">These are cloud infrastructure costs only. CuraLive itself has no per-region licensing fee — you are paying for the servers and phone lines, not the software.</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374151" w:val="solid"/>
            <w:tcMar>
              <w:top w:type="dxa" w:w="80"/>
              <w:left w:type="dxa" w:w="280"/>
              <w:bottom w:type="dxa" w:w="80"/>
              <w:right w:type="dxa" w:w="280"/>
            </w:tcMar>
          </w:tcPr>
          <w:p>
            <w:pPr>
              <w:jc w:val="center"/>
            </w:pPr>
            <w:r>
              <w:rPr>
                <w:b/>
                <w:bCs/>
                <w:color w:val="FFFFFF"/>
                <w:sz w:val="20"/>
                <w:szCs w:val="20"/>
              </w:rPr>
              <w:t xml:space="preserve">THREE TIERS</w:t>
            </w:r>
          </w:p>
        </w:tc>
      </w:tr>
    </w:tbl>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dxa" w:w="2900"/>
            <w:tcBorders>
              <w:top w:val="none" w:color="FFFFFF" w:sz="0"/>
              <w:left w:val="none" w:color="FFFFFF" w:sz="0"/>
              <w:bottom w:val="none" w:color="FFFFFF" w:sz="0"/>
              <w:right w:val="none" w:color="FFFFFF" w:sz="0"/>
            </w:tcBorders>
            <w:shd w:color="065F46" w:val="solid"/>
            <w:tcMar>
              <w:top w:type="dxa" w:w="140"/>
              <w:left w:type="dxa" w:w="180"/>
              <w:bottom w:type="dxa" w:w="140"/>
              <w:right w:type="dxa" w:w="180"/>
            </w:tcMar>
            <w:vAlign w:val="center"/>
          </w:tcPr>
          <w:p>
            <w:pPr>
              <w:spacing w:after="30" w:before="0"/>
              <w:jc w:val="center"/>
            </w:pPr>
            <w:r>
              <w:rPr>
                <w:b/>
                <w:bCs/>
                <w:color w:val="FFFFFF"/>
                <w:sz w:val="21"/>
                <w:szCs w:val="21"/>
              </w:rPr>
              <w:t xml:space="preserve">🟢  STARTER</w:t>
            </w:r>
          </w:p>
          <w:p>
            <w:pPr>
              <w:spacing w:after="30" w:before="0"/>
              <w:jc w:val="center"/>
            </w:pPr>
            <w:r>
              <w:rPr>
                <w:b w:val="false"/>
                <w:bCs w:val="false"/>
                <w:color w:val="FFFFFF"/>
                <w:sz w:val="17"/>
                <w:szCs w:val="17"/>
              </w:rPr>
              <w:t xml:space="preserve">$200 – $500 / month</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1 small cloud server</w:t>
            </w:r>
          </w:p>
          <w:p>
            <w:pPr>
              <w:spacing w:after="30" w:before="0"/>
              <w:jc w:val="center"/>
            </w:pPr>
            <w:r>
              <w:rPr>
                <w:b w:val="false"/>
                <w:bCs w:val="false"/>
                <w:color w:val="FFFFFF"/>
                <w:sz w:val="17"/>
                <w:szCs w:val="17"/>
              </w:rPr>
              <w:t xml:space="preserve">Managed database replica</w:t>
            </w:r>
          </w:p>
          <w:p>
            <w:pPr>
              <w:spacing w:after="30" w:before="0"/>
              <w:jc w:val="center"/>
            </w:pPr>
            <w:r>
              <w:rPr>
                <w:b w:val="false"/>
                <w:bCs w:val="false"/>
                <w:color w:val="FFFFFF"/>
                <w:sz w:val="17"/>
                <w:szCs w:val="17"/>
              </w:rPr>
              <w:t xml:space="preserve">Basic health checks</w:t>
            </w:r>
          </w:p>
          <w:p>
            <w:pPr>
              <w:spacing w:after="30" w:before="0"/>
              <w:jc w:val="center"/>
            </w:pPr>
            <w:r>
              <w:rPr>
                <w:b w:val="false"/>
                <w:bCs w:val="false"/>
                <w:color w:val="FFFFFF"/>
                <w:sz w:val="17"/>
                <w:szCs w:val="17"/>
              </w:rPr>
              <w:t xml:space="preserve">Manual failover</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B45309" w:val="solid"/>
            <w:tcMar>
              <w:top w:type="dxa" w:w="140"/>
              <w:left w:type="dxa" w:w="180"/>
              <w:bottom w:type="dxa" w:w="140"/>
              <w:right w:type="dxa" w:w="180"/>
            </w:tcMar>
            <w:vAlign w:val="center"/>
          </w:tcPr>
          <w:p>
            <w:pPr>
              <w:spacing w:after="30" w:before="0"/>
              <w:jc w:val="center"/>
            </w:pPr>
            <w:r>
              <w:rPr>
                <w:b/>
                <w:bCs/>
                <w:color w:val="FFFFFF"/>
                <w:sz w:val="21"/>
                <w:szCs w:val="21"/>
              </w:rPr>
              <w:t xml:space="preserve">🟠  PRODUCTION</w:t>
            </w:r>
          </w:p>
          <w:p>
            <w:pPr>
              <w:spacing w:after="30" w:before="0"/>
              <w:jc w:val="center"/>
            </w:pPr>
            <w:r>
              <w:rPr>
                <w:b w:val="false"/>
                <w:bCs w:val="false"/>
                <w:color w:val="FFFFFF"/>
                <w:sz w:val="17"/>
                <w:szCs w:val="17"/>
              </w:rPr>
              <w:t xml:space="preserve">$500 – $1,500 / month</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Auto-scaling servers</w:t>
            </w:r>
          </w:p>
          <w:p>
            <w:pPr>
              <w:spacing w:after="30" w:before="0"/>
              <w:jc w:val="center"/>
            </w:pPr>
            <w:r>
              <w:rPr>
                <w:b w:val="false"/>
                <w:bCs w:val="false"/>
                <w:color w:val="FFFFFF"/>
                <w:sz w:val="17"/>
                <w:szCs w:val="17"/>
              </w:rPr>
              <w:t xml:space="preserve">Real-time DB sync</w:t>
            </w:r>
          </w:p>
          <w:p>
            <w:pPr>
              <w:spacing w:after="30" w:before="0"/>
              <w:jc w:val="center"/>
            </w:pPr>
            <w:r>
              <w:rPr>
                <w:b w:val="false"/>
                <w:bCs w:val="false"/>
                <w:color w:val="FFFFFF"/>
                <w:sz w:val="17"/>
                <w:szCs w:val="17"/>
              </w:rPr>
              <w:t xml:space="preserve">Automatic DNS failover</w:t>
            </w:r>
          </w:p>
          <w:p>
            <w:pPr>
              <w:spacing w:after="30" w:before="0"/>
              <w:jc w:val="center"/>
            </w:pPr>
            <w:r>
              <w:rPr>
                <w:b w:val="false"/>
                <w:bCs w:val="false"/>
                <w:color w:val="FFFFFF"/>
                <w:sz w:val="17"/>
                <w:szCs w:val="17"/>
              </w:rPr>
              <w:t xml:space="preserve">Monitoring &amp; alerts</w:t>
            </w:r>
          </w:p>
          <w:p>
            <w:pPr>
              <w:spacing w:after="30" w:before="0"/>
              <w:jc w:val="center"/>
            </w:pPr>
            <w:r>
              <w:rPr>
                <w:b w:val="false"/>
                <w:bCs w:val="false"/>
                <w:color w:val="FFFFFF"/>
                <w:sz w:val="17"/>
                <w:szCs w:val="17"/>
              </w:rPr>
              <w:t xml:space="preserve">Daily backups</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5B21B6" w:val="solid"/>
            <w:tcMar>
              <w:top w:type="dxa" w:w="140"/>
              <w:left w:type="dxa" w:w="180"/>
              <w:bottom w:type="dxa" w:w="140"/>
              <w:right w:type="dxa" w:w="180"/>
            </w:tcMar>
            <w:vAlign w:val="center"/>
          </w:tcPr>
          <w:p>
            <w:pPr>
              <w:spacing w:after="30" w:before="0"/>
              <w:jc w:val="center"/>
            </w:pPr>
            <w:r>
              <w:rPr>
                <w:b/>
                <w:bCs/>
                <w:color w:val="FFFFFF"/>
                <w:sz w:val="21"/>
                <w:szCs w:val="21"/>
              </w:rPr>
              <w:t xml:space="preserve">🟣  ENTERPRISE</w:t>
            </w:r>
          </w:p>
          <w:p>
            <w:pPr>
              <w:spacing w:after="30" w:before="0"/>
              <w:jc w:val="center"/>
            </w:pPr>
            <w:r>
              <w:rPr>
                <w:b w:val="false"/>
                <w:bCs w:val="false"/>
                <w:color w:val="FFFFFF"/>
                <w:sz w:val="17"/>
                <w:szCs w:val="17"/>
              </w:rPr>
              <w:t xml:space="preserve">$1,500 – $5,000 / month</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Multi-region active-active</w:t>
            </w:r>
          </w:p>
          <w:p>
            <w:pPr>
              <w:spacing w:after="30" w:before="0"/>
              <w:jc w:val="center"/>
            </w:pPr>
            <w:r>
              <w:rPr>
                <w:b w:val="false"/>
                <w:bCs w:val="false"/>
                <w:color w:val="FFFFFF"/>
                <w:sz w:val="17"/>
                <w:szCs w:val="17"/>
              </w:rPr>
              <w:t xml:space="preserve">Zero-downtime failover</w:t>
            </w:r>
          </w:p>
          <w:p>
            <w:pPr>
              <w:spacing w:after="30" w:before="0"/>
              <w:jc w:val="center"/>
            </w:pPr>
            <w:r>
              <w:rPr>
                <w:b w:val="false"/>
                <w:bCs w:val="false"/>
                <w:color w:val="FFFFFF"/>
                <w:sz w:val="17"/>
                <w:szCs w:val="17"/>
              </w:rPr>
              <w:t xml:space="preserve">Dedicated DB clusters</w:t>
            </w:r>
          </w:p>
          <w:p>
            <w:pPr>
              <w:spacing w:after="30" w:before="0"/>
              <w:jc w:val="center"/>
            </w:pPr>
            <w:r>
              <w:rPr>
                <w:b w:val="false"/>
                <w:bCs w:val="false"/>
                <w:color w:val="FFFFFF"/>
                <w:sz w:val="17"/>
                <w:szCs w:val="17"/>
              </w:rPr>
              <w:t xml:space="preserve">24/7 monitoring</w:t>
            </w:r>
          </w:p>
          <w:p>
            <w:pPr>
              <w:spacing w:after="30" w:before="0"/>
              <w:jc w:val="center"/>
            </w:pPr>
            <w:r>
              <w:rPr>
                <w:b w:val="false"/>
                <w:bCs w:val="false"/>
                <w:color w:val="FFFFFF"/>
                <w:sz w:val="17"/>
                <w:szCs w:val="17"/>
              </w:rPr>
              <w:t xml:space="preserve">SLA guarantees</w:t>
            </w:r>
          </w:p>
        </w:tc>
      </w:tr>
    </w:tbl>
    <w:p>
      <w:pPr>
        <w:spacing w:after="0" w:before="1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80"/>
              <w:left w:type="dxa" w:w="280"/>
              <w:bottom w:type="dxa" w:w="80"/>
              <w:right w:type="dxa" w:w="280"/>
            </w:tcMar>
          </w:tcPr>
          <w:p>
            <w:pPr>
              <w:jc w:val="center"/>
            </w:pPr>
            <w:r>
              <w:rPr>
                <w:b/>
                <w:bCs/>
                <w:color w:val="FFFFFF"/>
                <w:sz w:val="20"/>
                <w:szCs w:val="20"/>
              </w:rPr>
              <w:t xml:space="preserve">EXAMPLE: SA PRIMARY + UK SECONDARY + 3 COUNTRIES</w:t>
            </w:r>
          </w:p>
        </w:tc>
      </w:tr>
    </w:tbl>
    <w:p>
      <w:pPr>
        <w:spacing w:after="0" w:before="60"/>
      </w:pPr>
    </w:p>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Primary region (AWS Cape Town — application + database)</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$200 – $400/mo</w:t>
            </w:r>
          </w:p>
        </w:tc>
      </w:tr>
    </w:tbl>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Secondary region (AWS London — standby + replica DB)</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$150 – $300/mo</w:t>
            </w:r>
          </w:p>
        </w:tc>
      </w:tr>
    </w:tbl>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Database replication (continuous sync between regions)</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$50 – $150/mo</w:t>
            </w:r>
          </w:p>
        </w:tc>
      </w:tr>
    </w:tbl>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DNS failover service (Route 53 health checks)</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$50/mo</w:t>
            </w:r>
          </w:p>
        </w:tc>
      </w:tr>
    </w:tbl>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SSL certificates (Let’s Encrypt)</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Free</w:t>
            </w:r>
          </w:p>
        </w:tc>
      </w:tr>
    </w:tbl>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Monitoring &amp; alerting (CloudWatch / Datadog basic)</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$0 – $50/mo</w:t>
            </w:r>
          </w:p>
        </w:tc>
      </w:tr>
    </w:tbl>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Local phone numbers — SA, UK, US (3 numbers)</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$10/mo</w:t>
            </w:r>
          </w:p>
        </w:tc>
      </w:tr>
    </w:tbl>
    <w:tbl>
      <w:tblPr>
        <w:tblW w:type="dxa" w:w="8400"/>
        <w:tblBorders>
          <w:top w:val="none" w:color="FFFFFF" w:sz="0"/>
          <w:left w:val="none" w:color="FFFFFF" w:sz="0"/>
          <w:bottom w:val="single" w:color="E5E7EB" w:sz="1"/>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tcMar>
              <w:top w:type="dxa" w:w="60"/>
              <w:left w:type="dxa" w:w="360"/>
              <w:bottom w:type="dxa" w:w="60"/>
              <w:right w:type="dxa" w:w="100"/>
            </w:tcMar>
          </w:tcPr>
          <w:p>
            <w:r>
              <w:rPr>
                <w:color w:val="374151"/>
                <w:sz w:val="20"/>
                <w:szCs w:val="20"/>
              </w:rPr>
              <w:t xml:space="preserve">Twilio call minutes (~2,000 minutes/month)</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200"/>
            </w:tcMar>
          </w:tcPr>
          <w:p>
            <w:pPr>
              <w:jc w:val="right"/>
            </w:pPr>
            <w:r>
              <w:rPr>
                <w:b/>
                <w:bCs/>
                <w:color w:val="1F2937"/>
                <w:sz w:val="20"/>
                <w:szCs w:val="20"/>
              </w:rPr>
              <w:t xml:space="preserve">$40 – $80/mo</w:t>
            </w:r>
          </w:p>
        </w:tc>
      </w:tr>
    </w:tbl>
    <w:p>
      <w:pPr>
        <w:spacing w:after="0" w:before="40"/>
      </w:pPr>
    </w:p>
    <w:tbl>
      <w:tblPr>
        <w:tblW w:type="dxa" w:w="84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800"/>
            <w:tcBorders>
              <w:top w:val="none" w:color="FFFFFF" w:sz="0"/>
              <w:left w:val="none" w:color="FFFFFF" w:sz="0"/>
              <w:bottom w:val="none" w:color="FFFFFF" w:sz="0"/>
              <w:right w:val="none" w:color="FFFFFF" w:sz="0"/>
            </w:tcBorders>
            <w:shd w:color="065F46" w:val="solid"/>
            <w:tcMar>
              <w:top w:type="dxa" w:w="80"/>
              <w:left w:type="dxa" w:w="360"/>
              <w:bottom w:type="dxa" w:w="80"/>
              <w:right w:type="dxa" w:w="100"/>
            </w:tcMar>
          </w:tcPr>
          <w:p>
            <w:r>
              <w:rPr>
                <w:b/>
                <w:bCs/>
                <w:color w:val="FFFFFF"/>
                <w:sz w:val="22"/>
                <w:szCs w:val="22"/>
              </w:rPr>
              <w:t xml:space="preserve">ESTIMATED MONTHLY TOTAL</w:t>
            </w:r>
          </w:p>
        </w:tc>
        <w:tc>
          <w:tcPr>
            <w:tcW w:type="dxa" w:w="2600"/>
            <w:tcBorders>
              <w:top w:val="none" w:color="FFFFFF" w:sz="0"/>
              <w:left w:val="none" w:color="FFFFFF" w:sz="0"/>
              <w:bottom w:val="none" w:color="FFFFFF" w:sz="0"/>
              <w:right w:val="none" w:color="FFFFFF" w:sz="0"/>
            </w:tcBorders>
            <w:shd w:color="065F46" w:val="solid"/>
            <w:tcMar>
              <w:top w:type="dxa" w:w="80"/>
              <w:left w:type="dxa" w:w="100"/>
              <w:bottom w:type="dxa" w:w="80"/>
              <w:right w:type="dxa" w:w="200"/>
            </w:tcMar>
          </w:tcPr>
          <w:p>
            <w:pPr>
              <w:jc w:val="right"/>
            </w:pPr>
            <w:r>
              <w:rPr>
                <w:b/>
                <w:bCs/>
                <w:color w:val="FFFFFF"/>
                <w:sz w:val="22"/>
                <w:szCs w:val="22"/>
              </w:rPr>
              <w:t xml:space="preserve">$500 – $1,000</w:t>
            </w:r>
          </w:p>
        </w:tc>
      </w:tr>
    </w:tbl>
    <w:p>
      <w:pPr>
        <w:spacing w:after="0" w:before="80"/>
      </w:pPr>
    </w:p>
    <w:p>
      <w:pPr>
        <w:spacing w:after="120" w:before="120"/>
        <w:ind w:left="200"/>
      </w:pPr>
      <w:r>
        <w:rPr>
          <w:color w:val="374151"/>
          <w:sz w:val="21"/>
          <w:szCs w:val="21"/>
        </w:rPr>
        <w:t xml:space="preserve">At enterprise tier with SLA guarantees and active-active: $2,000 – $5,000/month. This is still very competitive compared to legacy conferencing platforms which charge $10,000–$50,000/month for equivalent setups.</w:t>
      </w:r>
    </w:p>
    <w:p>
      <w:pPr>
        <w:spacing w:after="0" w:before="40"/>
      </w:pPr>
    </w:p>
    <w:tbl>
      <w:tblPr>
        <w:tblW w:type="dxa" w:w="9000"/>
        <w:tblBorders>
          <w:top w:val="single" w:color="F59E0B" w:sz="1"/>
          <w:left w:val="single" w:color="F59E0B" w:sz="3"/>
          <w:bottom w:val="single" w:color="F59E0B" w:sz="1"/>
          <w:right w:val="single" w:color="F59E0B"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FEF3C7" w:val="solid"/>
            <w:tcMar>
              <w:top w:type="dxa" w:w="120"/>
              <w:left w:type="dxa" w:w="280"/>
              <w:bottom w:type="dxa" w:w="120"/>
              <w:right w:type="dxa" w:w="280"/>
            </w:tcMar>
          </w:tcPr>
          <w:p>
            <w:pPr>
              <w:spacing w:after="60" w:before="0"/>
            </w:pPr>
            <w:r>
              <w:rPr>
                <w:b/>
                <w:bCs/>
                <w:color w:val="92400E"/>
                <w:sz w:val="18"/>
                <w:szCs w:val="18"/>
              </w:rPr>
              <w:t xml:space="preserve">STEVE’S COMMENT:</w:t>
            </w:r>
          </w:p>
          <w:p>
            <w:pPr>
              <w:spacing w:after="0" w:before="40"/>
            </w:pPr>
            <w:r>
              <w:rPr>
                <w:i/>
                <w:iCs/>
                <w:color w:val="78350F"/>
                <w:sz w:val="20"/>
                <w:szCs w:val="20"/>
              </w:rPr>
              <w:t xml:space="preserve">I agree — actually it’s remarkably low and IMO will ultimately be needed when we get contracts and come under scrutiny from Customer’ internal IT/audit teams.</w:t>
            </w:r>
          </w:p>
        </w:tc>
      </w:tr>
    </w:tbl>
    <w:p>
      <w:pPr>
        <w:spacing w:after="0" w:before="20"/>
      </w:pPr>
    </w:p>
    <w:tbl>
      <w:tblPr>
        <w:tblW w:type="dxa" w:w="9000"/>
        <w:tblBorders>
          <w:top w:val="single" w:color="3B82F6" w:sz="1"/>
          <w:left w:val="single" w:color="3B82F6" w:sz="3"/>
          <w:bottom w:val="single" w:color="3B82F6" w:sz="1"/>
          <w:right w:val="single" w:color="3B82F6"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EFF6FF" w:val="solid"/>
            <w:tcMar>
              <w:top w:type="dxa" w:w="120"/>
              <w:left w:type="dxa" w:w="280"/>
              <w:bottom w:type="dxa" w:w="120"/>
              <w:right w:type="dxa" w:w="280"/>
            </w:tcMar>
          </w:tcPr>
          <w:p>
            <w:pPr>
              <w:spacing w:after="60" w:before="0"/>
            </w:pPr>
            <w:r>
              <w:rPr>
                <w:b/>
                <w:bCs/>
                <w:color w:val="1E3A8A"/>
                <w:sz w:val="18"/>
                <w:szCs w:val="18"/>
              </w:rPr>
              <w:t xml:space="preserve">DAVID’S RESPONSE:</w:t>
            </w:r>
          </w:p>
          <w:p>
            <w:pPr>
              <w:spacing w:after="0" w:before="40"/>
            </w:pPr>
            <w:r>
              <w:rPr>
                <w:color w:val="1E3A8A"/>
                <w:sz w:val="20"/>
                <w:szCs w:val="20"/>
              </w:rPr>
              <w:t xml:space="preserve">Exactly right. Multi-region mirroring is not a future nice-to-have — it is a requirement for enterprise client acquisition. Financial institutions will require documented disaster recovery and business continuity capabilities during their vendor due diligence process.</w:t>
            </w:r>
          </w:p>
          <w:p>
            <w:pPr>
              <w:spacing w:after="0" w:before="40"/>
            </w:pPr>
            <w:r>
              <w:rPr>
                <w:color w:val="1E3A8A"/>
                <w:sz w:val="20"/>
                <w:szCs w:val="20"/>
              </w:rPr>
              <w:t xml:space="preserve"/>
            </w:r>
          </w:p>
          <w:p>
            <w:pPr>
              <w:spacing w:after="0" w:before="40"/>
            </w:pPr>
            <w:r>
              <w:rPr>
                <w:color w:val="1E3A8A"/>
                <w:sz w:val="20"/>
                <w:szCs w:val="20"/>
              </w:rPr>
              <w:t xml:space="preserve">The fact that CuraLive can deliver global resilience for $500–$1,000/month versus $10,000–$50,000 for legacy platforms is a major competitive advantage. This cost comparison should be front and centre in sales presentations.</w:t>
            </w:r>
          </w:p>
          <w:p>
            <w:pPr>
              <w:spacing w:after="0" w:before="40"/>
            </w:pPr>
            <w:r>
              <w:rPr>
                <w:color w:val="1E3A8A"/>
                <w:sz w:val="20"/>
                <w:szCs w:val="20"/>
              </w:rPr>
              <w:t xml:space="preserve"/>
            </w:r>
          </w:p>
          <w:p>
            <w:pPr>
              <w:spacing w:after="0" w:before="40"/>
            </w:pPr>
            <w:r>
              <w:rPr>
                <w:color w:val="1E3A8A"/>
                <w:sz w:val="20"/>
                <w:szCs w:val="20"/>
              </w:rPr>
              <w:t xml:space="preserve">When enterprise clients’ internal IT and audit teams scrutinise the platform, they will specifically ask for:</w:t>
            </w:r>
          </w:p>
          <w:p>
            <w:pPr>
              <w:spacing w:after="0" w:before="40"/>
            </w:pPr>
            <w:r>
              <w:rPr>
                <w:color w:val="1E3A8A"/>
                <w:sz w:val="20"/>
                <w:szCs w:val="20"/>
              </w:rPr>
              <w:t xml:space="preserve"/>
            </w:r>
          </w:p>
          <w:p>
            <w:pPr>
              <w:spacing w:after="0" w:before="40"/>
            </w:pPr>
            <w:r>
              <w:rPr>
                <w:color w:val="1E3A8A"/>
                <w:sz w:val="20"/>
                <w:szCs w:val="20"/>
              </w:rPr>
              <w:t xml:space="preserve">•  Documented disaster recovery procedures</w:t>
            </w:r>
          </w:p>
          <w:p>
            <w:pPr>
              <w:spacing w:after="0" w:before="40"/>
            </w:pPr>
            <w:r>
              <w:rPr>
                <w:color w:val="1E3A8A"/>
                <w:sz w:val="20"/>
                <w:szCs w:val="20"/>
              </w:rPr>
              <w:t xml:space="preserve">•  Business continuity plan with defined RTO/RPO targets</w:t>
            </w:r>
          </w:p>
          <w:p>
            <w:pPr>
              <w:spacing w:after="0" w:before="40"/>
            </w:pPr>
            <w:r>
              <w:rPr>
                <w:color w:val="1E3A8A"/>
                <w:sz w:val="20"/>
                <w:szCs w:val="20"/>
              </w:rPr>
              <w:t xml:space="preserve">•  Evidence of failover testing</w:t>
            </w:r>
          </w:p>
          <w:p>
            <w:pPr>
              <w:spacing w:after="0" w:before="40"/>
            </w:pPr>
            <w:r>
              <w:rPr>
                <w:color w:val="1E3A8A"/>
                <w:sz w:val="20"/>
                <w:szCs w:val="20"/>
              </w:rPr>
              <w:t xml:space="preserve">•  Data residency and jurisdiction documentation</w:t>
            </w:r>
          </w:p>
          <w:p>
            <w:pPr>
              <w:spacing w:after="0" w:before="40"/>
            </w:pPr>
            <w:r>
              <w:rPr>
                <w:color w:val="1E3A8A"/>
                <w:sz w:val="20"/>
                <w:szCs w:val="20"/>
              </w:rPr>
              <w:t xml:space="preserve"/>
            </w:r>
          </w:p>
          <w:p>
            <w:pPr>
              <w:spacing w:after="0" w:before="40"/>
            </w:pPr>
            <w:r>
              <w:rPr>
                <w:color w:val="1E3A8A"/>
                <w:sz w:val="20"/>
                <w:szCs w:val="20"/>
              </w:rPr>
              <w:t xml:space="preserve">Having these ready before the first enterprise pitch will accelerate the sales cycle significantly.</w:t>
            </w:r>
          </w:p>
        </w:tc>
      </w:tr>
    </w:tbl>
    <w:p>
      <w:pPr>
        <w:spacing w:after="0" w:before="200"/>
      </w:pPr>
    </w:p>
    <w:p>
      <w:r>
        <w:rPr>
          <w:sz w:val="2"/>
          <w:szCs w:val="2"/>
        </w:rPr>
        <w:t xml:space="preserve"/>
      </w:r>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5B21B6" w:val="solid"/>
            <w:tcMar>
              <w:top w:type="dxa" w:w="160"/>
              <w:left w:type="dxa" w:w="280"/>
              <w:bottom w:type="dxa" w:w="160"/>
              <w:right w:type="dxa" w:w="280"/>
            </w:tcMar>
            <w:vAlign w:val="center"/>
          </w:tcPr>
          <w:p>
            <w:pPr>
              <w:spacing w:after="0" w:before="0"/>
              <w:jc w:val="center"/>
            </w:pPr>
            <w:r>
              <w:rPr>
                <w:b/>
                <w:bCs/>
                <w:color w:val="FFFFFF"/>
                <w:sz w:val="26"/>
                <w:szCs w:val="26"/>
              </w:rPr>
              <w:t xml:space="preserve">5.  Telephony &amp; Bring Your Own Carrier</w:t>
            </w:r>
          </w:p>
        </w:tc>
      </w:tr>
    </w:tbl>
    <w:p>
      <w:pPr>
        <w:spacing w:after="0" w:before="80"/>
      </w:pPr>
    </w:p>
    <w:p>
      <w:pPr>
        <w:spacing w:after="120" w:before="120"/>
        <w:ind w:left="200"/>
      </w:pPr>
      <w:r>
        <w:rPr>
          <w:color w:val="374151"/>
          <w:sz w:val="21"/>
          <w:szCs w:val="21"/>
        </w:rPr>
        <w:t xml:space="preserve">CuraLive currently uses Twilio for all telephony — dial-in, dial-out, bridge connections, and call recording. Twilio is a global carrier that operates in 180+ countries.</w:t>
      </w:r>
    </w:p>
    <w:p>
      <w:pPr>
        <w:spacing w:after="0" w:before="40"/>
      </w:pPr>
    </w:p>
    <w:p>
      <w:pPr>
        <w:spacing w:after="120" w:before="120"/>
        <w:ind w:left="200"/>
      </w:pPr>
      <w:r>
        <w:rPr>
          <w:color w:val="374151"/>
          <w:sz w:val="21"/>
          <w:szCs w:val="21"/>
        </w:rPr>
        <w:t xml:space="preserve">However, you are not locked in. CuraLive’s telephony layer supports:</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dxa" w:w="2900"/>
            <w:tcBorders>
              <w:top w:val="none" w:color="FFFFFF" w:sz="0"/>
              <w:left w:val="none" w:color="FFFFFF" w:sz="0"/>
              <w:bottom w:val="none" w:color="FFFFFF" w:sz="0"/>
              <w:right w:val="none" w:color="FFFFFF" w:sz="0"/>
            </w:tcBorders>
            <w:shd w:color="065F46" w:val="solid"/>
            <w:tcMar>
              <w:top w:type="dxa" w:w="140"/>
              <w:left w:type="dxa" w:w="180"/>
              <w:bottom w:type="dxa" w:w="140"/>
              <w:right w:type="dxa" w:w="180"/>
            </w:tcMar>
            <w:vAlign w:val="center"/>
          </w:tcPr>
          <w:p>
            <w:pPr>
              <w:spacing w:after="30" w:before="0"/>
              <w:jc w:val="center"/>
            </w:pPr>
            <w:r>
              <w:rPr>
                <w:b/>
                <w:bCs/>
                <w:color w:val="FFFFFF"/>
                <w:sz w:val="21"/>
                <w:szCs w:val="21"/>
              </w:rPr>
              <w:t xml:space="preserve">💰  Lower Costs</w:t>
            </w:r>
          </w:p>
          <w:p>
            <w:pPr>
              <w:spacing w:after="30" w:before="0"/>
              <w:jc w:val="center"/>
            </w:pPr>
            <w:r>
              <w:rPr>
                <w:b w:val="false"/>
                <w:bCs w:val="false"/>
                <w:color w:val="FFFFFF"/>
                <w:sz w:val="17"/>
                <w:szCs w:val="17"/>
              </w:rPr>
              <w:t xml:space="preserve">Bring your own SIP trunks</w:t>
            </w:r>
          </w:p>
          <w:p>
            <w:pPr>
              <w:spacing w:after="30" w:before="0"/>
              <w:jc w:val="center"/>
            </w:pPr>
            <w:r>
              <w:rPr>
                <w:b w:val="false"/>
                <w:bCs w:val="false"/>
                <w:color w:val="FFFFFF"/>
                <w:sz w:val="17"/>
                <w:szCs w:val="17"/>
              </w:rPr>
              <w:t xml:space="preserve">from a local carrier</w:t>
            </w:r>
          </w:p>
          <w:p>
            <w:pPr>
              <w:spacing w:after="30" w:before="0"/>
              <w:jc w:val="center"/>
            </w:pPr>
            <w:r>
              <w:rPr>
                <w:b w:val="false"/>
                <w:bCs w:val="false"/>
                <w:color w:val="FFFFFF"/>
                <w:sz w:val="17"/>
                <w:szCs w:val="17"/>
              </w:rPr>
              <w:t xml:space="preserve">Typically 30–70% cheaper</w:t>
            </w:r>
          </w:p>
          <w:p>
            <w:pPr>
              <w:spacing w:after="30" w:before="0"/>
              <w:jc w:val="center"/>
            </w:pPr>
            <w:r>
              <w:rPr>
                <w:b w:val="false"/>
                <w:bCs w:val="false"/>
                <w:color w:val="FFFFFF"/>
                <w:sz w:val="17"/>
                <w:szCs w:val="17"/>
              </w:rPr>
              <w:t xml:space="preserve">at volume</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1E40AF" w:val="solid"/>
            <w:tcMar>
              <w:top w:type="dxa" w:w="140"/>
              <w:left w:type="dxa" w:w="180"/>
              <w:bottom w:type="dxa" w:w="140"/>
              <w:right w:type="dxa" w:w="180"/>
            </w:tcMar>
            <w:vAlign w:val="center"/>
          </w:tcPr>
          <w:p>
            <w:pPr>
              <w:spacing w:after="30" w:before="0"/>
              <w:jc w:val="center"/>
            </w:pPr>
            <w:r>
              <w:rPr>
                <w:b/>
                <w:bCs/>
                <w:color w:val="FFFFFF"/>
                <w:sz w:val="21"/>
                <w:szCs w:val="21"/>
              </w:rPr>
              <w:t xml:space="preserve">🇱🇦  Local Numbers</w:t>
            </w:r>
          </w:p>
          <w:p>
            <w:pPr>
              <w:spacing w:after="30" w:before="0"/>
              <w:jc w:val="center"/>
            </w:pPr>
            <w:r>
              <w:rPr>
                <w:b w:val="false"/>
                <w:bCs w:val="false"/>
                <w:color w:val="FFFFFF"/>
                <w:sz w:val="17"/>
                <w:szCs w:val="17"/>
              </w:rPr>
              <w:t xml:space="preserve">Get local numbers in SA,</w:t>
            </w:r>
          </w:p>
          <w:p>
            <w:pPr>
              <w:spacing w:after="30" w:before="0"/>
              <w:jc w:val="center"/>
            </w:pPr>
            <w:r>
              <w:rPr>
                <w:b w:val="false"/>
                <w:bCs w:val="false"/>
                <w:color w:val="FFFFFF"/>
                <w:sz w:val="17"/>
                <w:szCs w:val="17"/>
              </w:rPr>
              <w:t xml:space="preserve">UK, US, EU, Asia</w:t>
            </w:r>
          </w:p>
          <w:p>
            <w:pPr>
              <w:spacing w:after="30" w:before="0"/>
              <w:jc w:val="center"/>
            </w:pPr>
            <w:r>
              <w:rPr>
                <w:b w:val="false"/>
                <w:bCs w:val="false"/>
                <w:color w:val="FFFFFF"/>
                <w:sz w:val="17"/>
                <w:szCs w:val="17"/>
              </w:rPr>
              <w:t xml:space="preserve">Attendees dial local,</w:t>
            </w:r>
          </w:p>
          <w:p>
            <w:pPr>
              <w:spacing w:after="30" w:before="0"/>
              <w:jc w:val="center"/>
            </w:pPr>
            <w:r>
              <w:rPr>
                <w:b w:val="false"/>
                <w:bCs w:val="false"/>
                <w:color w:val="FFFFFF"/>
                <w:sz w:val="17"/>
                <w:szCs w:val="17"/>
              </w:rPr>
              <w:t xml:space="preserve">not international</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5B21B6" w:val="solid"/>
            <w:tcMar>
              <w:top w:type="dxa" w:w="140"/>
              <w:left w:type="dxa" w:w="180"/>
              <w:bottom w:type="dxa" w:w="140"/>
              <w:right w:type="dxa" w:w="180"/>
            </w:tcMar>
            <w:vAlign w:val="center"/>
          </w:tcPr>
          <w:p>
            <w:pPr>
              <w:spacing w:after="30" w:before="0"/>
              <w:jc w:val="center"/>
            </w:pPr>
            <w:r>
              <w:rPr>
                <w:b/>
                <w:bCs/>
                <w:color w:val="FFFFFF"/>
                <w:sz w:val="21"/>
                <w:szCs w:val="21"/>
              </w:rPr>
              <w:t xml:space="preserve">🛡️  Redundancy</w:t>
            </w:r>
          </w:p>
          <w:p>
            <w:pPr>
              <w:spacing w:after="30" w:before="0"/>
              <w:jc w:val="center"/>
            </w:pPr>
            <w:r>
              <w:rPr>
                <w:b w:val="false"/>
                <w:bCs w:val="false"/>
                <w:color w:val="FFFFFF"/>
                <w:sz w:val="17"/>
                <w:szCs w:val="17"/>
              </w:rPr>
              <w:t xml:space="preserve">Run multiple carriers</w:t>
            </w:r>
          </w:p>
          <w:p>
            <w:pPr>
              <w:spacing w:after="30" w:before="0"/>
              <w:jc w:val="center"/>
            </w:pPr>
            <w:r>
              <w:rPr>
                <w:b w:val="false"/>
                <w:bCs w:val="false"/>
                <w:color w:val="FFFFFF"/>
                <w:sz w:val="17"/>
                <w:szCs w:val="17"/>
              </w:rPr>
              <w:t xml:space="preserve">If one goes down, calls</w:t>
            </w:r>
          </w:p>
          <w:p>
            <w:pPr>
              <w:spacing w:after="30" w:before="0"/>
              <w:jc w:val="center"/>
            </w:pPr>
            <w:r>
              <w:rPr>
                <w:b w:val="false"/>
                <w:bCs w:val="false"/>
                <w:color w:val="FFFFFF"/>
                <w:sz w:val="17"/>
                <w:szCs w:val="17"/>
              </w:rPr>
              <w:t xml:space="preserve">route through the other</w:t>
            </w:r>
          </w:p>
          <w:p>
            <w:pPr>
              <w:spacing w:after="30" w:before="0"/>
              <w:jc w:val="center"/>
            </w:pPr>
            <w:r>
              <w:rPr>
                <w:b w:val="false"/>
                <w:bCs w:val="false"/>
                <w:color w:val="FFFFFF"/>
                <w:sz w:val="17"/>
                <w:szCs w:val="17"/>
              </w:rPr>
              <w:t xml:space="preserve">automatically</w:t>
            </w:r>
          </w:p>
        </w:tc>
      </w:tr>
    </w:tbl>
    <w:p>
      <w:pPr>
        <w:spacing w:after="0" w:before="80"/>
      </w:pPr>
    </w:p>
    <w:p>
      <w:pPr>
        <w:spacing w:after="100" w:before="300"/>
      </w:pPr>
      <w:r>
        <w:rPr>
          <w:b/>
          <w:bCs/>
          <w:color w:val="1E3A8A"/>
          <w:sz w:val="24"/>
          <w:szCs w:val="24"/>
        </w:rPr>
        <w:t xml:space="preserve">How BYOC works:</w:t>
      </w:r>
    </w:p>
    <w:p>
      <w:pPr>
        <w:spacing w:after="0" w:before="100"/>
        <w:ind w:left="360"/>
      </w:pPr>
      <w:r>
        <w:rPr>
          <w:b/>
          <w:bCs/>
          <w:color w:val="374151"/>
          <w:sz w:val="21"/>
          <w:szCs w:val="21"/>
        </w:rPr>
        <w:t xml:space="preserve">1.  </w:t>
      </w:r>
      <w:r>
        <w:rPr>
          <w:color w:val="1F2937"/>
          <w:sz w:val="21"/>
          <w:szCs w:val="21"/>
        </w:rPr>
        <w:t xml:space="preserve">You contract with a local carrier (e.g. Vodacom, BT, AT&amp;T, or any SIP provider)</w:t>
      </w:r>
    </w:p>
    <w:p>
      <w:pPr>
        <w:spacing w:after="0" w:before="100"/>
        <w:ind w:left="360"/>
      </w:pPr>
      <w:r>
        <w:rPr>
          <w:b/>
          <w:bCs/>
          <w:color w:val="374151"/>
          <w:sz w:val="21"/>
          <w:szCs w:val="21"/>
        </w:rPr>
        <w:t xml:space="preserve">2.  </w:t>
      </w:r>
      <w:r>
        <w:rPr>
          <w:color w:val="1F2937"/>
          <w:sz w:val="21"/>
          <w:szCs w:val="21"/>
        </w:rPr>
        <w:t xml:space="preserve">They provide SIP trunk credentials and local phone numbers</w:t>
      </w:r>
    </w:p>
    <w:p>
      <w:pPr>
        <w:spacing w:after="0" w:before="100"/>
        <w:ind w:left="360"/>
      </w:pPr>
      <w:r>
        <w:rPr>
          <w:b/>
          <w:bCs/>
          <w:color w:val="374151"/>
          <w:sz w:val="21"/>
          <w:szCs w:val="21"/>
        </w:rPr>
        <w:t xml:space="preserve">3.  </w:t>
      </w:r>
      <w:r>
        <w:rPr>
          <w:color w:val="1F2937"/>
          <w:sz w:val="21"/>
          <w:szCs w:val="21"/>
        </w:rPr>
        <w:t xml:space="preserve">These are configured in CuraLive’s telephony settings</w:t>
      </w:r>
    </w:p>
    <w:p>
      <w:pPr>
        <w:spacing w:after="0" w:before="100"/>
        <w:ind w:left="360"/>
      </w:pPr>
      <w:r>
        <w:rPr>
          <w:b/>
          <w:bCs/>
          <w:color w:val="374151"/>
          <w:sz w:val="21"/>
          <w:szCs w:val="21"/>
        </w:rPr>
        <w:t xml:space="preserve">4.  </w:t>
      </w:r>
      <w:r>
        <w:rPr>
          <w:color w:val="1F2937"/>
          <w:sz w:val="21"/>
          <w:szCs w:val="21"/>
        </w:rPr>
        <w:t xml:space="preserve">All calls now route through your carrier instead of (or alongside) Twilio</w:t>
      </w:r>
    </w:p>
    <w:p>
      <w:pPr>
        <w:spacing w:after="0" w:before="100"/>
        <w:ind w:left="360"/>
      </w:pPr>
      <w:r>
        <w:rPr>
          <w:b/>
          <w:bCs/>
          <w:color w:val="374151"/>
          <w:sz w:val="21"/>
          <w:szCs w:val="21"/>
        </w:rPr>
        <w:t xml:space="preserve">5.  </w:t>
      </w:r>
      <w:r>
        <w:rPr>
          <w:color w:val="1F2937"/>
          <w:sz w:val="21"/>
          <w:szCs w:val="21"/>
        </w:rPr>
        <w:t xml:space="preserve">Twilio can remain as a backup for automatic failover between carriers</w:t>
      </w:r>
    </w:p>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4C1D95" w:val="solid"/>
            <w:tcMar>
              <w:top w:type="dxa" w:w="160"/>
              <w:left w:type="dxa" w:w="280"/>
              <w:bottom w:type="dxa" w:w="160"/>
              <w:right w:type="dxa" w:w="280"/>
            </w:tcMar>
            <w:vAlign w:val="center"/>
          </w:tcPr>
          <w:p>
            <w:pPr>
              <w:spacing w:after="0" w:before="0"/>
              <w:jc w:val="center"/>
            </w:pPr>
            <w:r>
              <w:rPr>
                <w:b/>
                <w:bCs/>
                <w:color w:val="FFFFFF"/>
                <w:sz w:val="26"/>
                <w:szCs w:val="26"/>
              </w:rPr>
              <w:t xml:space="preserve">Twilio also supports BYOC natively — you can connect your own SIP trunks through Twilio’s platform and keep all existing integrations while benefiting from your own carrier’s rates.</w:t>
            </w:r>
          </w:p>
        </w:tc>
      </w:tr>
    </w:tbl>
    <w:p>
      <w:pPr>
        <w:spacing w:after="0" w:before="40"/>
      </w:pPr>
    </w:p>
    <w:tbl>
      <w:tblPr>
        <w:tblW w:type="dxa" w:w="9000"/>
        <w:tblBorders>
          <w:top w:val="single" w:color="F59E0B" w:sz="1"/>
          <w:left w:val="single" w:color="F59E0B" w:sz="3"/>
          <w:bottom w:val="single" w:color="F59E0B" w:sz="1"/>
          <w:right w:val="single" w:color="F59E0B"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FEF3C7" w:val="solid"/>
            <w:tcMar>
              <w:top w:type="dxa" w:w="120"/>
              <w:left w:type="dxa" w:w="280"/>
              <w:bottom w:type="dxa" w:w="120"/>
              <w:right w:type="dxa" w:w="280"/>
            </w:tcMar>
          </w:tcPr>
          <w:p>
            <w:pPr>
              <w:spacing w:after="60" w:before="0"/>
            </w:pPr>
            <w:r>
              <w:rPr>
                <w:b/>
                <w:bCs/>
                <w:color w:val="92400E"/>
                <w:sz w:val="18"/>
                <w:szCs w:val="18"/>
              </w:rPr>
              <w:t xml:space="preserve">STEVE’S COMMENT:</w:t>
            </w:r>
          </w:p>
          <w:p>
            <w:pPr>
              <w:spacing w:after="0" w:before="40"/>
            </w:pPr>
            <w:r>
              <w:rPr>
                <w:i/>
                <w:iCs/>
                <w:color w:val="78350F"/>
                <w:sz w:val="20"/>
                <w:szCs w:val="20"/>
              </w:rPr>
              <w:t xml:space="preserve">I think this would be worth investigating when the time’s right. It’s probably a feature of most carriers now, but when we used Bandwidth they had a real-time call performance dashboard that we always had up on a large screen. It showed all kinds of quality metrics at the network level but also allowed us to drill down to the routing that an individual participant used. It showed latency rates, buffering, packet loss etc and was very useful when investigating complaints about call quality.</w:t>
            </w:r>
          </w:p>
        </w:tc>
      </w:tr>
    </w:tbl>
    <w:p>
      <w:pPr>
        <w:spacing w:after="0" w:before="20"/>
      </w:pPr>
    </w:p>
    <w:tbl>
      <w:tblPr>
        <w:tblW w:type="dxa" w:w="9000"/>
        <w:tblBorders>
          <w:top w:val="single" w:color="3B82F6" w:sz="1"/>
          <w:left w:val="single" w:color="3B82F6" w:sz="3"/>
          <w:bottom w:val="single" w:color="3B82F6" w:sz="1"/>
          <w:right w:val="single" w:color="3B82F6" w:sz="1"/>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EFF6FF" w:val="solid"/>
            <w:tcMar>
              <w:top w:type="dxa" w:w="120"/>
              <w:left w:type="dxa" w:w="280"/>
              <w:bottom w:type="dxa" w:w="120"/>
              <w:right w:type="dxa" w:w="280"/>
            </w:tcMar>
          </w:tcPr>
          <w:p>
            <w:pPr>
              <w:spacing w:after="60" w:before="0"/>
            </w:pPr>
            <w:r>
              <w:rPr>
                <w:b/>
                <w:bCs/>
                <w:color w:val="1E3A8A"/>
                <w:sz w:val="18"/>
                <w:szCs w:val="18"/>
              </w:rPr>
              <w:t xml:space="preserve">DAVID’S RESPONSE:</w:t>
            </w:r>
          </w:p>
          <w:p>
            <w:pPr>
              <w:spacing w:after="0" w:before="40"/>
            </w:pPr>
            <w:r>
              <w:rPr>
                <w:color w:val="1E3A8A"/>
                <w:sz w:val="20"/>
                <w:szCs w:val="20"/>
              </w:rPr>
              <w:t xml:space="preserve">This is excellent operational insight. Steve is right — when running events for banks and financial institutions, having visibility into call quality at the network level is essential for investigating complaints and maintaining SLA compliance.</w:t>
            </w:r>
          </w:p>
          <w:p>
            <w:pPr>
              <w:spacing w:after="0" w:before="40"/>
            </w:pPr>
            <w:r>
              <w:rPr>
                <w:color w:val="1E3A8A"/>
                <w:sz w:val="20"/>
                <w:szCs w:val="20"/>
              </w:rPr>
              <w:t xml:space="preserve"/>
            </w:r>
          </w:p>
          <w:p>
            <w:pPr>
              <w:spacing w:after="0" w:before="40"/>
            </w:pPr>
            <w:r>
              <w:rPr>
                <w:color w:val="1E3A8A"/>
                <w:sz w:val="20"/>
                <w:szCs w:val="20"/>
              </w:rPr>
              <w:t xml:space="preserve">Good news: Twilio already offers something equivalent. Twilio Insights provides per-call quality metrics including:</w:t>
            </w:r>
          </w:p>
          <w:p>
            <w:pPr>
              <w:spacing w:after="0" w:before="40"/>
            </w:pPr>
            <w:r>
              <w:rPr>
                <w:color w:val="1E3A8A"/>
                <w:sz w:val="20"/>
                <w:szCs w:val="20"/>
              </w:rPr>
              <w:t xml:space="preserve"/>
            </w:r>
          </w:p>
          <w:p>
            <w:pPr>
              <w:spacing w:after="0" w:before="40"/>
            </w:pPr>
            <w:r>
              <w:rPr>
                <w:color w:val="1E3A8A"/>
                <w:sz w:val="20"/>
                <w:szCs w:val="20"/>
              </w:rPr>
              <w:t xml:space="preserve">•  MOS scores (Mean Opinion Score) — the industry standard for call quality</w:t>
            </w:r>
          </w:p>
          <w:p>
            <w:pPr>
              <w:spacing w:after="0" w:before="40"/>
            </w:pPr>
            <w:r>
              <w:rPr>
                <w:color w:val="1E3A8A"/>
                <w:sz w:val="20"/>
                <w:szCs w:val="20"/>
              </w:rPr>
              <w:t xml:space="preserve">•  Jitter — variation in packet arrival time</w:t>
            </w:r>
          </w:p>
          <w:p>
            <w:pPr>
              <w:spacing w:after="0" w:before="40"/>
            </w:pPr>
            <w:r>
              <w:rPr>
                <w:color w:val="1E3A8A"/>
                <w:sz w:val="20"/>
                <w:szCs w:val="20"/>
              </w:rPr>
              <w:t xml:space="preserve">•  Packet loss — percentage of audio packets lost in transit</w:t>
            </w:r>
          </w:p>
          <w:p>
            <w:pPr>
              <w:spacing w:after="0" w:before="40"/>
            </w:pPr>
            <w:r>
              <w:rPr>
                <w:color w:val="1E3A8A"/>
                <w:sz w:val="20"/>
                <w:szCs w:val="20"/>
              </w:rPr>
              <w:t xml:space="preserve">•  Latency — round-trip delay per participant</w:t>
            </w:r>
          </w:p>
          <w:p>
            <w:pPr>
              <w:spacing w:after="0" w:before="40"/>
            </w:pPr>
            <w:r>
              <w:rPr>
                <w:color w:val="1E3A8A"/>
                <w:sz w:val="20"/>
                <w:szCs w:val="20"/>
              </w:rPr>
              <w:t xml:space="preserve">•  Per-participant breakdown — drill down to individual caller quality</w:t>
            </w:r>
          </w:p>
          <w:p>
            <w:pPr>
              <w:spacing w:after="0" w:before="40"/>
            </w:pPr>
            <w:r>
              <w:rPr>
                <w:color w:val="1E3A8A"/>
                <w:sz w:val="20"/>
                <w:szCs w:val="20"/>
              </w:rPr>
              <w:t xml:space="preserve"/>
            </w:r>
          </w:p>
          <w:p>
            <w:pPr>
              <w:spacing w:after="0" w:before="40"/>
            </w:pPr>
            <w:r>
              <w:rPr>
                <w:color w:val="1E3A8A"/>
                <w:sz w:val="20"/>
                <w:szCs w:val="20"/>
              </w:rPr>
              <w:t xml:space="preserve">This data can be surfaced directly inside the CuraLive OCC, giving operators real-time visibility into call quality alongside the live transcript, sentiment scores, and compliance flags. Operators could identify and respond to quality issues during the event, not after.</w:t>
            </w:r>
          </w:p>
          <w:p>
            <w:pPr>
              <w:spacing w:after="0" w:before="40"/>
            </w:pPr>
            <w:r>
              <w:rPr>
                <w:color w:val="1E3A8A"/>
                <w:sz w:val="20"/>
                <w:szCs w:val="20"/>
              </w:rPr>
              <w:t xml:space="preserve"/>
            </w:r>
          </w:p>
          <w:p>
            <w:pPr>
              <w:spacing w:after="0" w:before="40"/>
            </w:pPr>
            <w:r>
              <w:rPr>
                <w:color w:val="1E3A8A"/>
                <w:sz w:val="20"/>
                <w:szCs w:val="20"/>
              </w:rPr>
              <w:t xml:space="preserve">When BYOC is implemented, equivalent dashboards from the carrier (like the Bandwidth real-time performance dashboard Steve describes) can be integrated alongside Twilio’s metrics. This gives comprehensive quality monitoring across all telephony paths.</w:t>
            </w:r>
          </w:p>
          <w:p>
            <w:pPr>
              <w:spacing w:after="0" w:before="40"/>
            </w:pPr>
            <w:r>
              <w:rPr>
                <w:color w:val="1E3A8A"/>
                <w:sz w:val="20"/>
                <w:szCs w:val="20"/>
              </w:rPr>
              <w:t xml:space="preserve"/>
            </w:r>
          </w:p>
          <w:p>
            <w:pPr>
              <w:spacing w:after="0" w:before="40"/>
            </w:pPr>
            <w:r>
              <w:rPr>
                <w:color w:val="1E3A8A"/>
                <w:sz w:val="20"/>
                <w:szCs w:val="20"/>
              </w:rPr>
              <w:t xml:space="preserve">Recommendation: Building call quality monitoring into the OCC should be prioritised alongside the BYOC investigation. Enterprise clients will expect it.</w:t>
            </w:r>
          </w:p>
        </w:tc>
      </w:tr>
    </w:tbl>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60"/>
              <w:left w:type="dxa" w:w="280"/>
              <w:bottom w:type="dxa" w:w="160"/>
              <w:right w:type="dxa" w:w="280"/>
            </w:tcMar>
            <w:vAlign w:val="center"/>
          </w:tcPr>
          <w:p>
            <w:pPr>
              <w:spacing w:after="0" w:before="0"/>
              <w:jc w:val="center"/>
            </w:pPr>
            <w:r>
              <w:rPr>
                <w:b/>
                <w:bCs/>
                <w:color w:val="FFFFFF"/>
                <w:sz w:val="26"/>
                <w:szCs w:val="26"/>
              </w:rPr>
              <w:t xml:space="preserve">6.  What’s Already in Place</w:t>
            </w:r>
          </w:p>
        </w:tc>
      </w:tr>
    </w:tbl>
    <w:p>
      <w:pPr>
        <w:spacing w:after="0" w:before="80"/>
      </w:pPr>
    </w:p>
    <w:p>
      <w:pPr>
        <w:spacing w:after="0" w:before="80"/>
        <w:ind w:left="360"/>
      </w:pPr>
      <w:r>
        <w:rPr>
          <w:b/>
          <w:bCs/>
          <w:color w:val="1F2937"/>
          <w:sz w:val="21"/>
          <w:szCs w:val="21"/>
        </w:rPr>
        <w:t xml:space="preserve">•  Cloud-agnostic architecture — Node.js + PostgreSQL, runs anywhere</w:t>
      </w:r>
    </w:p>
    <w:p>
      <w:pPr>
        <w:spacing w:after="0" w:before="80"/>
        <w:ind w:left="360"/>
      </w:pPr>
      <w:r>
        <w:rPr>
          <w:b/>
          <w:bCs/>
          <w:color w:val="1F2937"/>
          <w:sz w:val="21"/>
          <w:szCs w:val="21"/>
        </w:rPr>
        <w:t xml:space="preserve">•  Twilio telephony with global reach — already multi-region by default</w:t>
      </w:r>
    </w:p>
    <w:p>
      <w:pPr>
        <w:spacing w:after="0" w:before="80"/>
        <w:ind w:left="360"/>
      </w:pPr>
      <w:r>
        <w:rPr>
          <w:b/>
          <w:bCs/>
          <w:color w:val="1F2937"/>
          <w:sz w:val="21"/>
          <w:szCs w:val="21"/>
        </w:rPr>
        <w:t xml:space="preserve">•  Stateless application design — any server instance can handle any request</w:t>
      </w:r>
    </w:p>
    <w:p>
      <w:pPr>
        <w:spacing w:after="0" w:before="80"/>
        <w:ind w:left="360"/>
      </w:pPr>
      <w:r>
        <w:rPr>
          <w:b/>
          <w:bCs/>
          <w:color w:val="1F2937"/>
          <w:sz w:val="21"/>
          <w:szCs w:val="21"/>
        </w:rPr>
        <w:t xml:space="preserve">•  Database schema supports replication — PostgreSQL streaming replication ready</w:t>
      </w:r>
    </w:p>
    <w:p>
      <w:pPr>
        <w:spacing w:after="0" w:before="80"/>
        <w:ind w:left="360"/>
      </w:pPr>
      <w:r>
        <w:rPr>
          <w:b/>
          <w:bCs/>
          <w:color w:val="1F2937"/>
          <w:sz w:val="21"/>
          <w:szCs w:val="21"/>
        </w:rPr>
        <w:t xml:space="preserve">•  AI/Intelligence via cloud APIs (OpenAI) — no region-specific infrastructure needed</w:t>
      </w:r>
    </w:p>
    <w:p>
      <w:pPr>
        <w:spacing w:after="0" w:before="80"/>
        <w:ind w:left="360"/>
      </w:pPr>
      <w:r>
        <w:rPr>
          <w:b/>
          <w:bCs/>
          <w:color w:val="1F2937"/>
          <w:sz w:val="21"/>
          <w:szCs w:val="21"/>
        </w:rPr>
        <w:t xml:space="preserve">•  Telnyx already referenced as alternative carrier in the codebase</w:t>
      </w:r>
    </w:p>
    <w:p>
      <w:pPr>
        <w:spacing w:after="0" w:before="80"/>
      </w:pPr>
    </w:p>
    <w:p>
      <w:pPr>
        <w:spacing w:after="100" w:before="300"/>
      </w:pPr>
      <w:r>
        <w:rPr>
          <w:b/>
          <w:bCs/>
          <w:color w:val="1E3A8A"/>
          <w:sz w:val="24"/>
          <w:szCs w:val="24"/>
        </w:rPr>
        <w:t xml:space="preserve">What needs to be done to go live with mirroring:</w:t>
      </w:r>
    </w:p>
    <w:p>
      <w:pPr>
        <w:spacing w:after="0" w:before="100"/>
        <w:ind w:left="360"/>
      </w:pPr>
      <w:r>
        <w:rPr>
          <w:b/>
          <w:bCs/>
          <w:color w:val="374151"/>
          <w:sz w:val="21"/>
          <w:szCs w:val="21"/>
        </w:rPr>
        <w:t xml:space="preserve">1.  </w:t>
      </w:r>
      <w:r>
        <w:rPr>
          <w:color w:val="1F2937"/>
          <w:sz w:val="21"/>
          <w:szCs w:val="21"/>
        </w:rPr>
        <w:t xml:space="preserve">Choose a cloud provider and two regions (e.g. AWS Cape Town + London)</w:t>
      </w:r>
    </w:p>
    <w:p>
      <w:pPr>
        <w:spacing w:after="0" w:before="100"/>
        <w:ind w:left="360"/>
      </w:pPr>
      <w:r>
        <w:rPr>
          <w:b/>
          <w:bCs/>
          <w:color w:val="374151"/>
          <w:sz w:val="21"/>
          <w:szCs w:val="21"/>
        </w:rPr>
        <w:t xml:space="preserve">2.  </w:t>
      </w:r>
      <w:r>
        <w:rPr>
          <w:color w:val="1F2937"/>
          <w:sz w:val="21"/>
          <w:szCs w:val="21"/>
        </w:rPr>
        <w:t xml:space="preserve">Deploy the application to both regions using containers or VMs</w:t>
      </w:r>
    </w:p>
    <w:p>
      <w:pPr>
        <w:spacing w:after="0" w:before="100"/>
        <w:ind w:left="360"/>
      </w:pPr>
      <w:r>
        <w:rPr>
          <w:b/>
          <w:bCs/>
          <w:color w:val="374151"/>
          <w:sz w:val="21"/>
          <w:szCs w:val="21"/>
        </w:rPr>
        <w:t xml:space="preserve">3.  </w:t>
      </w:r>
      <w:r>
        <w:rPr>
          <w:color w:val="1F2937"/>
          <w:sz w:val="21"/>
          <w:szCs w:val="21"/>
        </w:rPr>
        <w:t xml:space="preserve">Set up managed PostgreSQL with cross-region read replicas</w:t>
      </w:r>
    </w:p>
    <w:p>
      <w:pPr>
        <w:spacing w:after="0" w:before="100"/>
        <w:ind w:left="360"/>
      </w:pPr>
      <w:r>
        <w:rPr>
          <w:b/>
          <w:bCs/>
          <w:color w:val="374151"/>
          <w:sz w:val="21"/>
          <w:szCs w:val="21"/>
        </w:rPr>
        <w:t xml:space="preserve">4.  </w:t>
      </w:r>
      <w:r>
        <w:rPr>
          <w:color w:val="1F2937"/>
          <w:sz w:val="21"/>
          <w:szCs w:val="21"/>
        </w:rPr>
        <w:t xml:space="preserve">Configure DNS failover (Route 53 or Cloudflare)</w:t>
      </w:r>
    </w:p>
    <w:p>
      <w:pPr>
        <w:spacing w:after="0" w:before="100"/>
        <w:ind w:left="360"/>
      </w:pPr>
      <w:r>
        <w:rPr>
          <w:b/>
          <w:bCs/>
          <w:color w:val="374151"/>
          <w:sz w:val="21"/>
          <w:szCs w:val="21"/>
        </w:rPr>
        <w:t xml:space="preserve">5.  </w:t>
      </w:r>
      <w:r>
        <w:rPr>
          <w:color w:val="1F2937"/>
          <w:sz w:val="21"/>
          <w:szCs w:val="21"/>
        </w:rPr>
        <w:t xml:space="preserve">Set up monitoring and health check alerts</w:t>
      </w:r>
    </w:p>
    <w:p>
      <w:pPr>
        <w:spacing w:after="0" w:before="100"/>
        <w:ind w:left="360"/>
      </w:pPr>
      <w:r>
        <w:rPr>
          <w:b/>
          <w:bCs/>
          <w:color w:val="374151"/>
          <w:sz w:val="21"/>
          <w:szCs w:val="21"/>
        </w:rPr>
        <w:t xml:space="preserve">6.  </w:t>
      </w:r>
      <w:r>
        <w:rPr>
          <w:color w:val="1F2937"/>
          <w:sz w:val="21"/>
          <w:szCs w:val="21"/>
        </w:rPr>
        <w:t xml:space="preserve">Test failover with a simulated outage</w:t>
      </w:r>
    </w:p>
    <w:p>
      <w:pPr>
        <w:spacing w:after="0" w:before="40"/>
      </w:pPr>
    </w:p>
    <w:p>
      <w:pPr>
        <w:spacing w:after="120" w:before="120"/>
        <w:ind w:left="200"/>
      </w:pPr>
      <w:r>
        <w:rPr>
          <w:color w:val="374151"/>
          <w:sz w:val="21"/>
          <w:szCs w:val="21"/>
        </w:rPr>
        <w:t xml:space="preserve">Timeline: 2–4 weeks for a production-grade deployment with testing. No code changes required — this is purely infrastructure configuration.</w:t>
      </w:r>
    </w:p>
    <w:p>
      <w:pPr>
        <w:spacing w:after="0" w:before="200"/>
      </w:pPr>
    </w:p>
    <w:p>
      <w:r>
        <w:rPr>
          <w:sz w:val="2"/>
          <w:szCs w:val="2"/>
        </w:rPr>
        <w:t xml:space="preserve"/>
      </w:r>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60"/>
              <w:left w:type="dxa" w:w="280"/>
              <w:bottom w:type="dxa" w:w="160"/>
              <w:right w:type="dxa" w:w="280"/>
            </w:tcMar>
            <w:vAlign w:val="center"/>
          </w:tcPr>
          <w:p>
            <w:pPr>
              <w:spacing w:after="0" w:before="0"/>
              <w:jc w:val="center"/>
            </w:pPr>
            <w:r>
              <w:rPr>
                <w:b/>
                <w:bCs/>
                <w:color w:val="FFFFFF"/>
                <w:sz w:val="26"/>
                <w:szCs w:val="26"/>
              </w:rPr>
              <w:t xml:space="preserve">7.  Why This Matters for Enterprise Sales</w:t>
            </w:r>
          </w:p>
        </w:tc>
      </w:tr>
    </w:tbl>
    <w:p>
      <w:pPr>
        <w:spacing w:after="0" w:before="80"/>
      </w:pPr>
    </w:p>
    <w:p>
      <w:pPr>
        <w:spacing w:after="0" w:before="80"/>
        <w:ind w:left="360"/>
      </w:pPr>
      <w:r>
        <w:rPr>
          <w:b w:val="false"/>
          <w:bCs w:val="false"/>
          <w:color w:val="1F2937"/>
          <w:sz w:val="21"/>
          <w:szCs w:val="21"/>
        </w:rPr>
        <w:t xml:space="preserve">•  Enterprise readiness — multi-region shows the platform is production-grade, not a prototype</w:t>
      </w:r>
    </w:p>
    <w:p>
      <w:pPr>
        <w:spacing w:after="0" w:before="80"/>
        <w:ind w:left="360"/>
      </w:pPr>
      <w:r>
        <w:rPr>
          <w:b w:val="false"/>
          <w:bCs w:val="false"/>
          <w:color w:val="1F2937"/>
          <w:sz w:val="21"/>
          <w:szCs w:val="21"/>
        </w:rPr>
        <w:t xml:space="preserve">•  Global scalability — can serve clients in any geography without rebuilding</w:t>
      </w:r>
    </w:p>
    <w:p>
      <w:pPr>
        <w:spacing w:after="0" w:before="80"/>
        <w:ind w:left="360"/>
      </w:pPr>
      <w:r>
        <w:rPr>
          <w:b w:val="false"/>
          <w:bCs w:val="false"/>
          <w:color w:val="1F2937"/>
          <w:sz w:val="21"/>
          <w:szCs w:val="21"/>
        </w:rPr>
        <w:t xml:space="preserve">•  Regulatory flexibility — data can stay within required jurisdictions</w:t>
      </w:r>
    </w:p>
    <w:p>
      <w:pPr>
        <w:spacing w:after="0" w:before="80"/>
        <w:ind w:left="360"/>
      </w:pPr>
      <w:r>
        <w:rPr>
          <w:b w:val="false"/>
          <w:bCs w:val="false"/>
          <w:color w:val="1F2937"/>
          <w:sz w:val="21"/>
          <w:szCs w:val="21"/>
        </w:rPr>
        <w:t xml:space="preserve">•  Cost efficiency — $500–$1,000/month for global resilience vs $10,000–$50,000 for legacy platforms</w:t>
      </w:r>
    </w:p>
    <w:p>
      <w:pPr>
        <w:spacing w:after="0" w:before="80"/>
        <w:ind w:left="360"/>
      </w:pPr>
      <w:r>
        <w:rPr>
          <w:b w:val="false"/>
          <w:bCs w:val="false"/>
          <w:color w:val="1F2937"/>
          <w:sz w:val="21"/>
          <w:szCs w:val="21"/>
        </w:rPr>
        <w:t xml:space="preserve">•  Carrier independence — not locked to any single vendor, can negotiate rates at scale</w:t>
      </w:r>
    </w:p>
    <w:p>
      <w:pPr>
        <w:spacing w:after="0" w:before="80"/>
        <w:ind w:left="360"/>
      </w:pPr>
      <w:r>
        <w:rPr>
          <w:b w:val="false"/>
          <w:bCs w:val="false"/>
          <w:color w:val="1F2937"/>
          <w:sz w:val="21"/>
          <w:szCs w:val="21"/>
        </w:rPr>
        <w:t xml:space="preserve">•  Zero-code migration — no application changes needed to move between clouds</w:t>
      </w:r>
    </w:p>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60"/>
              <w:left w:type="dxa" w:w="280"/>
              <w:bottom w:type="dxa" w:w="160"/>
              <w:right w:type="dxa" w:w="280"/>
            </w:tcMar>
            <w:vAlign w:val="center"/>
          </w:tcPr>
          <w:p>
            <w:pPr>
              <w:spacing w:after="0" w:before="0"/>
              <w:jc w:val="center"/>
            </w:pPr>
            <w:r>
              <w:rPr>
                <w:b/>
                <w:bCs/>
                <w:color w:val="FFFFFF"/>
                <w:sz w:val="26"/>
                <w:szCs w:val="26"/>
              </w:rPr>
              <w:t xml:space="preserve">CuraLive is designed to be acquired.</w:t>
            </w:r>
          </w:p>
          <w:p>
            <w:pPr>
              <w:spacing w:after="0" w:before="50"/>
              <w:jc w:val="center"/>
            </w:pPr>
            <w:r>
              <w:rPr>
                <w:b w:val="false"/>
                <w:bCs w:val="false"/>
                <w:color w:val="FFFFFF"/>
                <w:sz w:val="20"/>
                <w:szCs w:val="20"/>
              </w:rPr>
              <w:t xml:space="preserve">The infrastructure story is as strong as the product story.</w:t>
            </w:r>
          </w:p>
        </w:tc>
      </w:tr>
    </w:tbl>
    <w:p>
      <w:pPr>
        <w:spacing w:after="0" w:before="200"/>
      </w:pPr>
    </w:p>
    <w:p>
      <w:r>
        <w:rPr>
          <w:sz w:val="2"/>
          <w:szCs w:val="2"/>
        </w:rPr>
        <w:t xml:space="preserve"/>
      </w:r>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374151" w:val="solid"/>
            <w:tcMar>
              <w:top w:type="dxa" w:w="160"/>
              <w:left w:type="dxa" w:w="280"/>
              <w:bottom w:type="dxa" w:w="160"/>
              <w:right w:type="dxa" w:w="280"/>
            </w:tcMar>
            <w:vAlign w:val="center"/>
          </w:tcPr>
          <w:p>
            <w:pPr>
              <w:spacing w:after="0" w:before="0"/>
              <w:jc w:val="center"/>
            </w:pPr>
            <w:r>
              <w:rPr>
                <w:b/>
                <w:bCs/>
                <w:color w:val="FFFFFF"/>
                <w:sz w:val="26"/>
                <w:szCs w:val="26"/>
              </w:rPr>
              <w:t xml:space="preserve">Summary — Steve’s Comments &amp; Agreed Actions</w:t>
            </w:r>
          </w:p>
        </w:tc>
      </w:tr>
    </w:tbl>
    <w:p>
      <w:pPr>
        <w:spacing w:after="0" w:before="80"/>
      </w:pPr>
    </w:p>
    <w:p>
      <w:pPr>
        <w:spacing w:after="100" w:before="300"/>
      </w:pPr>
      <w:r>
        <w:rPr>
          <w:b/>
          <w:bCs/>
          <w:color w:val="1E3A8A"/>
          <w:sz w:val="24"/>
          <w:szCs w:val="24"/>
        </w:rPr>
        <w:t xml:space="preserve">Comment 1: Telephony Independence (Section 1)</w:t>
      </w:r>
    </w:p>
    <w:p>
      <w:pPr>
        <w:spacing w:after="120" w:before="120"/>
        <w:ind w:left="200"/>
      </w:pPr>
      <w:r>
        <w:rPr>
          <w:color w:val="374151"/>
          <w:sz w:val="21"/>
          <w:szCs w:val="21"/>
        </w:rPr>
        <w:t xml:space="preserve">Steve’s point: Customers — especially big banks — will love the fact that phone calls don’t drop during a failover.</w:t>
      </w:r>
    </w:p>
    <w:p>
      <w:pPr>
        <w:spacing w:after="120" w:before="120"/>
        <w:ind w:left="200"/>
      </w:pPr>
      <w:r>
        <w:rPr>
          <w:color w:val="374151"/>
          <w:sz w:val="21"/>
          <w:szCs w:val="21"/>
        </w:rPr>
        <w:t xml:space="preserve">Action: Make call independence the lead selling point in client presentations. Add a dedicated callout in all enterprise materials: “Active calls are managed by Twilio’s global infrastructure, completely independent of CuraLive servers. Server failover does not interrupt calls in progress.”</w:t>
      </w:r>
    </w:p>
    <w:p>
      <w:pPr>
        <w:spacing w:after="0" w:before="60"/>
      </w:pPr>
    </w:p>
    <w:p>
      <w:pPr>
        <w:spacing w:after="100" w:before="300"/>
      </w:pPr>
      <w:r>
        <w:rPr>
          <w:b/>
          <w:bCs/>
          <w:color w:val="1E3A8A"/>
          <w:sz w:val="24"/>
          <w:szCs w:val="24"/>
        </w:rPr>
        <w:t xml:space="preserve">Comment 2: Health Check Intervals (Section 3)</w:t>
      </w:r>
    </w:p>
    <w:p>
      <w:pPr>
        <w:spacing w:after="120" w:before="120"/>
        <w:ind w:left="200"/>
      </w:pPr>
      <w:r>
        <w:rPr>
          <w:color w:val="374151"/>
          <w:sz w:val="21"/>
          <w:szCs w:val="21"/>
        </w:rPr>
        <w:t xml:space="preserve">Steve’s point: Can health checks run at shorter intervals? Could we build an AI agent for monitoring?</w:t>
      </w:r>
    </w:p>
    <w:p>
      <w:pPr>
        <w:spacing w:after="120" w:before="120"/>
        <w:ind w:left="200"/>
      </w:pPr>
      <w:r>
        <w:rPr>
          <w:color w:val="374151"/>
          <w:sz w:val="21"/>
          <w:szCs w:val="21"/>
        </w:rPr>
        <w:t xml:space="preserve">Action: Health checks are configurable down to 5-second intervals via the cloud provider. For application-level monitoring (DB, Twilio, AI API, active events), an intelligent health agent is worth building — and is a patentable capability. Add this to the product roadmap.</w:t>
      </w:r>
    </w:p>
    <w:p>
      <w:pPr>
        <w:spacing w:after="0" w:before="60"/>
      </w:pPr>
    </w:p>
    <w:p>
      <w:pPr>
        <w:spacing w:after="100" w:before="300"/>
      </w:pPr>
      <w:r>
        <w:rPr>
          <w:b/>
          <w:bCs/>
          <w:color w:val="1E3A8A"/>
          <w:sz w:val="24"/>
          <w:szCs w:val="24"/>
        </w:rPr>
        <w:t xml:space="preserve">Comment 3: Cost Positioning (Section 4)</w:t>
      </w:r>
    </w:p>
    <w:p>
      <w:pPr>
        <w:spacing w:after="120" w:before="120"/>
        <w:ind w:left="200"/>
      </w:pPr>
      <w:r>
        <w:rPr>
          <w:color w:val="374151"/>
          <w:sz w:val="21"/>
          <w:szCs w:val="21"/>
        </w:rPr>
        <w:t xml:space="preserve">Steve’s point: The cost is remarkably low and will be needed when under IT/audit scrutiny from enterprise clients.</w:t>
      </w:r>
    </w:p>
    <w:p>
      <w:pPr>
        <w:spacing w:after="120" w:before="120"/>
        <w:ind w:left="200"/>
      </w:pPr>
      <w:r>
        <w:rPr>
          <w:color w:val="374151"/>
          <w:sz w:val="21"/>
          <w:szCs w:val="21"/>
        </w:rPr>
        <w:t xml:space="preserve">Action: Position the $500–$1,000/month cost comparison against legacy platforms ($10,000–$50,000) as a headline in all sales materials. Prepare disaster recovery documentation, business continuity plan, and RTO/RPO targets before the first enterprise pitch.</w:t>
      </w:r>
    </w:p>
    <w:p>
      <w:pPr>
        <w:spacing w:after="0" w:before="60"/>
      </w:pPr>
    </w:p>
    <w:p>
      <w:pPr>
        <w:spacing w:after="100" w:before="300"/>
      </w:pPr>
      <w:r>
        <w:rPr>
          <w:b/>
          <w:bCs/>
          <w:color w:val="1E3A8A"/>
          <w:sz w:val="24"/>
          <w:szCs w:val="24"/>
        </w:rPr>
        <w:t xml:space="preserve">Comment 4: Call Quality Monitoring (Section 5)</w:t>
      </w:r>
    </w:p>
    <w:p>
      <w:pPr>
        <w:spacing w:after="120" w:before="120"/>
        <w:ind w:left="200"/>
      </w:pPr>
      <w:r>
        <w:rPr>
          <w:color w:val="374151"/>
          <w:sz w:val="21"/>
          <w:szCs w:val="21"/>
        </w:rPr>
        <w:t xml:space="preserve">Steve’s point: Bandwidth had a real-time call performance dashboard showing per-participant quality metrics. This was invaluable for investigating complaints.</w:t>
      </w:r>
    </w:p>
    <w:p>
      <w:pPr>
        <w:spacing w:after="120" w:before="120"/>
        <w:ind w:left="200"/>
      </w:pPr>
      <w:r>
        <w:rPr>
          <w:color w:val="374151"/>
          <w:sz w:val="21"/>
          <w:szCs w:val="21"/>
        </w:rPr>
        <w:t xml:space="preserve">Action: Twilio Insights already provides equivalent metrics (MOS, jitter, packet loss, latency per participant). Surface this data inside the CuraLive OCC. When BYOC is implemented, integrate carrier-level quality dashboards alongside Twilio’s. Prioritise this as an enterprise readiness feature.</w:t>
      </w:r>
    </w:p>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60"/>
              <w:left w:type="dxa" w:w="280"/>
              <w:bottom w:type="dxa" w:w="160"/>
              <w:right w:type="dxa" w:w="280"/>
            </w:tcMar>
            <w:vAlign w:val="center"/>
          </w:tcPr>
          <w:p>
            <w:pPr>
              <w:spacing w:after="0" w:before="0"/>
              <w:jc w:val="center"/>
            </w:pPr>
            <w:r>
              <w:rPr>
                <w:b/>
                <w:bCs/>
                <w:color w:val="FFFFFF"/>
                <w:sz w:val="26"/>
                <w:szCs w:val="26"/>
              </w:rPr>
              <w:t xml:space="preserve">Overall Assessment</w:t>
            </w:r>
          </w:p>
          <w:p>
            <w:pPr>
              <w:spacing w:after="0" w:before="50"/>
              <w:jc w:val="center"/>
            </w:pPr>
            <w:r>
              <w:rPr>
                <w:b w:val="false"/>
                <w:bCs w:val="false"/>
                <w:color w:val="FFFFFF"/>
                <w:sz w:val="20"/>
                <w:szCs w:val="20"/>
              </w:rPr>
              <w:t xml:space="preserve"/>
            </w:r>
          </w:p>
          <w:p>
            <w:pPr>
              <w:spacing w:after="0" w:before="50"/>
              <w:jc w:val="center"/>
            </w:pPr>
            <w:r>
              <w:rPr>
                <w:b w:val="false"/>
                <w:bCs w:val="false"/>
                <w:color w:val="FFFFFF"/>
                <w:sz w:val="20"/>
                <w:szCs w:val="20"/>
              </w:rPr>
              <w:t xml:space="preserve">Steve is thinking like an enterprise buyer — exactly the right lens.</w:t>
            </w:r>
          </w:p>
          <w:p>
            <w:pPr>
              <w:spacing w:after="0" w:before="50"/>
              <w:jc w:val="center"/>
            </w:pPr>
            <w:r>
              <w:rPr>
                <w:b w:val="false"/>
                <w:bCs w:val="false"/>
                <w:color w:val="FFFFFF"/>
                <w:sz w:val="20"/>
                <w:szCs w:val="20"/>
              </w:rPr>
              <w:t xml:space="preserve">Every comment aligns with what bank IT teams and procurement</w:t>
            </w:r>
          </w:p>
          <w:p>
            <w:pPr>
              <w:spacing w:after="0" w:before="50"/>
              <w:jc w:val="center"/>
            </w:pPr>
            <w:r>
              <w:rPr>
                <w:b w:val="false"/>
                <w:bCs w:val="false"/>
                <w:color w:val="FFFFFF"/>
                <w:sz w:val="20"/>
                <w:szCs w:val="20"/>
              </w:rPr>
              <w:t xml:space="preserve">departments will ask during vendor assessment.</w:t>
            </w:r>
          </w:p>
          <w:p>
            <w:pPr>
              <w:spacing w:after="0" w:before="50"/>
              <w:jc w:val="center"/>
            </w:pPr>
            <w:r>
              <w:rPr>
                <w:b w:val="false"/>
                <w:bCs w:val="false"/>
                <w:color w:val="FFFFFF"/>
                <w:sz w:val="20"/>
                <w:szCs w:val="20"/>
              </w:rPr>
              <w:t xml:space="preserve"/>
            </w:r>
          </w:p>
          <w:p>
            <w:pPr>
              <w:spacing w:after="0" w:before="50"/>
              <w:jc w:val="center"/>
            </w:pPr>
            <w:r>
              <w:rPr>
                <w:b w:val="false"/>
                <w:bCs w:val="false"/>
                <w:color w:val="FFFFFF"/>
                <w:sz w:val="20"/>
                <w:szCs w:val="20"/>
              </w:rPr>
              <w:t xml:space="preserve">His operational experience (the Bandwidth dashboard reference)</w:t>
            </w:r>
          </w:p>
          <w:p>
            <w:pPr>
              <w:spacing w:after="0" w:before="50"/>
              <w:jc w:val="center"/>
            </w:pPr>
            <w:r>
              <w:rPr>
                <w:b w:val="false"/>
                <w:bCs w:val="false"/>
                <w:color w:val="FFFFFF"/>
                <w:sz w:val="20"/>
                <w:szCs w:val="20"/>
              </w:rPr>
              <w:t xml:space="preserve">is particularly valuable and should inform how the OCC evolves.</w:t>
            </w:r>
          </w:p>
        </w:tc>
      </w:tr>
    </w:tbl>
    <w:p>
      <w:pPr>
        <w:spacing w:after="0" w:before="400"/>
      </w:pPr>
    </w:p>
    <w:p>
      <w:pPr>
        <w:jc w:val="center"/>
      </w:pPr>
      <w:r>
        <w:rPr>
          <w:i/>
          <w:iCs/>
          <w:color w:val="9CA3AF"/>
          <w:sz w:val="16"/>
          <w:szCs w:val="16"/>
        </w:rPr>
        <w:t xml:space="preserve">CuraLive  —  Confidential  |  Response to Partner Comments  |  2026/03/13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 Mirroring Brief — Response to Steve’s Comments</dc:title>
  <dc:creator>CuraLive</dc:creator>
  <cp:lastModifiedBy>Un-named</cp:lastModifiedBy>
  <cp:revision>1</cp:revision>
  <dcterms:created xsi:type="dcterms:W3CDTF">2026-03-13T08:29:38.562Z</dcterms:created>
  <dcterms:modified xsi:type="dcterms:W3CDTF">2026-03-13T08:29:38.562Z</dcterms:modified>
</cp:coreProperties>
</file>

<file path=docProps/custom.xml><?xml version="1.0" encoding="utf-8"?>
<Properties xmlns="http://schemas.openxmlformats.org/officeDocument/2006/custom-properties" xmlns:vt="http://schemas.openxmlformats.org/officeDocument/2006/docPropsVTypes"/>
</file>