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pStyle w:val="Herotitle"/>
      </w:pPr>
      <w:r>
        <w:rPr>
          <w:rFonts w:ascii="Arial" w:cs="Arial" w:eastAsia="Arial" w:hAnsi="Arial"/>
          <w:color w:val="307162"/>
          <w:sz w:val="96"/>
          <w:szCs w:val="96"/>
        </w:rPr>
        <w:t xml:space="preserve">AI scribe
pilot evaluation</w:t>
      </w:r>
    </w:p>
    <w:p>
      <w:pPr>
        <w:pStyle w:val="Heading2"/>
      </w:pPr>
      <w:r>
        <w:rPr>
          <w:rFonts w:ascii="Arial" w:cs="Arial" w:eastAsia="Arial" w:hAnsi="Arial"/>
          <w:color w:val="007361"/>
          <w:sz w:val="32"/>
          <w:szCs w:val="32"/>
        </w:rPr>
        <w:t xml:space="preserve">Combined report: CTM &amp; Hywel Dda University Health Board</w:t>
      </w:r>
      <w:r>
        <w:br/>
      </w:r>
      <w:r>
        <w:rPr>
          <w:rFonts w:ascii="Arial" w:cs="Arial" w:eastAsia="Arial" w:hAnsi="Arial"/>
          <w:color w:val="007361"/>
          <w:sz w:val="32"/>
          <w:szCs w:val="32"/>
        </w:rPr>
        <w:t xml:space="preserve">March 2026</w:t>
      </w:r>
    </w:p>
    <w:p>
      <w:r>
        <w:br w:type="page"/>
      </w:r>
    </w:p>
    <w:p>
      <w:pPr>
        <w:pStyle w:val="Heading1"/>
      </w:pPr>
      <w:r>
        <w:rPr>
          <w:rFonts w:ascii="Arial" w:cs="Arial" w:eastAsia="Arial" w:hAnsi="Arial"/>
          <w:b/>
          <w:bCs/>
          <w:color w:val="000000"/>
          <w:sz w:val="56"/>
          <w:szCs w:val="56"/>
        </w:rPr>
        <w:t xml:space="preserve">Contents</w:t>
      </w:r>
    </w:p>
    <w:p>
      <w:pPr>
        <w:spacing w:before="60" w:after="120"/>
      </w:pPr>
      <w:r>
        <w:rPr>
          <w:rFonts w:ascii="Arial" w:cs="Arial" w:eastAsia="Arial" w:hAnsi="Arial"/>
          <w:sz w:val="36"/>
          <w:szCs w:val="36"/>
        </w:rPr>
        <w:t xml:space="preserve">Executive summary</w:t>
      </w:r>
      <w:r>
        <w:br/>
      </w:r>
      <w:r>
        <w:rPr>
          <w:rFonts w:ascii="Arial" w:cs="Arial" w:eastAsia="Arial" w:hAnsi="Arial"/>
          <w:sz w:val="36"/>
          <w:szCs w:val="36"/>
        </w:rPr>
        <w:t xml:space="preserve">1. Introduction</w:t>
      </w:r>
      <w:r>
        <w:br/>
      </w:r>
      <w:r>
        <w:rPr>
          <w:rFonts w:ascii="Arial" w:cs="Arial" w:eastAsia="Arial" w:hAnsi="Arial"/>
          <w:sz w:val="36"/>
          <w:szCs w:val="36"/>
        </w:rPr>
        <w:t xml:space="preserve">2. Cross-pilot headline numbers</w:t>
      </w:r>
      <w:r>
        <w:br/>
      </w:r>
      <w:r>
        <w:rPr>
          <w:rFonts w:ascii="Arial" w:cs="Arial" w:eastAsia="Arial" w:hAnsi="Arial"/>
          <w:sz w:val="36"/>
          <w:szCs w:val="36"/>
        </w:rPr>
        <w:t xml:space="preserve">3. CTM pilot results</w:t>
      </w:r>
      <w:r>
        <w:br/>
      </w:r>
      <w:r>
        <w:rPr>
          <w:rFonts w:ascii="Arial" w:cs="Arial" w:eastAsia="Arial" w:hAnsi="Arial"/>
          <w:sz w:val="36"/>
          <w:szCs w:val="36"/>
        </w:rPr>
        <w:t xml:space="preserve">4. Hywel Dda results — Autism team</w:t>
      </w:r>
      <w:r>
        <w:br/>
      </w:r>
      <w:r>
        <w:rPr>
          <w:rFonts w:ascii="Arial" w:cs="Arial" w:eastAsia="Arial" w:hAnsi="Arial"/>
          <w:sz w:val="36"/>
          <w:szCs w:val="36"/>
        </w:rPr>
        <w:t xml:space="preserve">5. Hywel Dda results — ADHD team</w:t>
      </w:r>
      <w:r>
        <w:br/>
      </w:r>
      <w:r>
        <w:rPr>
          <w:rFonts w:ascii="Arial" w:cs="Arial" w:eastAsia="Arial" w:hAnsi="Arial"/>
          <w:sz w:val="36"/>
          <w:szCs w:val="36"/>
        </w:rPr>
        <w:t xml:space="preserve">6. What both pilots agree on</w:t>
      </w:r>
      <w:r>
        <w:br/>
      </w:r>
      <w:r>
        <w:rPr>
          <w:rFonts w:ascii="Arial" w:cs="Arial" w:eastAsia="Arial" w:hAnsi="Arial"/>
          <w:sz w:val="36"/>
          <w:szCs w:val="36"/>
        </w:rPr>
        <w:t xml:space="preserve">7. Challenges and limitations</w:t>
      </w:r>
      <w:r>
        <w:br/>
      </w:r>
      <w:r>
        <w:rPr>
          <w:rFonts w:ascii="Arial" w:cs="Arial" w:eastAsia="Arial" w:hAnsi="Arial"/>
          <w:sz w:val="36"/>
          <w:szCs w:val="36"/>
        </w:rPr>
        <w:t xml:space="preserve">8. Cross-pilot comparison</w:t>
      </w:r>
      <w:r>
        <w:br/>
      </w:r>
      <w:r>
        <w:rPr>
          <w:rFonts w:ascii="Arial" w:cs="Arial" w:eastAsia="Arial" w:hAnsi="Arial"/>
          <w:sz w:val="36"/>
          <w:szCs w:val="36"/>
        </w:rPr>
        <w:t xml:space="preserve">9. Recommendations</w:t>
      </w:r>
      <w:r>
        <w:br/>
      </w:r>
      <w:r>
        <w:rPr>
          <w:rFonts w:ascii="Arial" w:cs="Arial" w:eastAsia="Arial" w:hAnsi="Arial"/>
          <w:sz w:val="36"/>
          <w:szCs w:val="36"/>
        </w:rPr>
        <w:t xml:space="preserve">10. Conclusion</w:t>
      </w:r>
      <w:r>
        <w:br/>
      </w:r>
      <w:r>
        <w:rPr>
          <w:rFonts w:ascii="Arial" w:cs="Arial" w:eastAsia="Arial" w:hAnsi="Arial"/>
          <w:sz w:val="36"/>
          <w:szCs w:val="36"/>
        </w:rPr>
        <w:t xml:space="preserve">11. Project team</w:t>
      </w:r>
    </w:p>
    <w:p>
      <w:r>
        <w:br w:type="page"/>
      </w:r>
    </w:p>
    <w:p>
      <w:pPr>
        <w:pStyle w:val="Heading1"/>
      </w:pPr>
      <w:r>
        <w:rPr>
          <w:rFonts w:ascii="Arial" w:cs="Arial" w:eastAsia="Arial" w:hAnsi="Arial"/>
          <w:b/>
          <w:bCs/>
          <w:color w:val="000000"/>
          <w:sz w:val="56"/>
          <w:szCs w:val="56"/>
        </w:rPr>
        <w:t xml:space="preserve">Executive summary</w:t>
      </w:r>
    </w:p>
    <w:p>
      <w:pPr>
        <w:spacing w:before="60" w:after="120"/>
      </w:pPr>
      <w:r>
        <w:rPr>
          <w:rFonts w:ascii="Arial" w:cs="Arial" w:eastAsia="Arial" w:hAnsi="Arial"/>
          <w:color w:val="000000"/>
          <w:sz w:val="28"/>
          <w:szCs w:val="28"/>
        </w:rPr>
        <w:t xml:space="preserve">Two NHS Wales neurodevelopmental teams have now piloted Magic Notes, an AI-assisted clinical documentation tool. Across both pilots, clinicians consistently reported more time with patients, less time writing, and reduced cognitive load — particularly during assessments with children. The evidence base is stronger in some task types than others, and the teams have encountered distinct challenges that reflect the complexity of specialist ND work.</w:t>
      </w:r>
    </w:p>
    <w:p>
      <w:pPr>
        <w:pStyle w:val="Leadquote"/>
      </w:pPr>
      <w:r>
        <w:rPr>
          <w:rFonts w:ascii="Arial" w:cs="Arial" w:eastAsia="Arial" w:hAnsi="Arial"/>
          <w:i/>
          <w:iCs/>
          <w:color w:val="307162"/>
          <w:sz w:val="36"/>
          <w:szCs w:val="36"/>
        </w:rPr>
        <w:t xml:space="preserve">“Magic Notes gave me back the part of my job I love.”</w:t>
      </w:r>
    </w:p>
    <w:p>
      <w:pPr>
        <w:spacing w:before="60" w:after="120"/>
      </w:pPr>
      <w:r>
        <w:rPr>
          <w:rFonts w:ascii="Arial" w:cs="Arial" w:eastAsia="Arial" w:hAnsi="Arial"/>
          <w:color w:val="000000"/>
          <w:sz w:val="28"/>
          <w:szCs w:val="28"/>
        </w:rPr>
        <w:t xml:space="preserve">Together, the CTM pilot and the Hywel Dda diary study represent the first cross-health-board evidence base for AI-assisted clinical documentation in Welsh ND services. This report brings those findings together.</w:t>
      </w:r>
    </w:p>
    <w:p>
      <w:pPr>
        <w:pStyle w:val="H1-CDPS"/>
      </w:pPr>
      <w:r>
        <w:rPr>
          <w:rFonts w:ascii="Arial" w:cs="Arial" w:eastAsia="Arial" w:hAnsi="Arial"/>
          <w:b/>
          <w:bCs/>
          <w:color w:val="007361"/>
          <w:sz w:val="48"/>
          <w:szCs w:val="48"/>
        </w:rPr>
        <w:t xml:space="preserve">Combined headline numbers</w:t>
      </w:r>
    </w:p>
    <w:tbl>
      <w:tblPr>
        <w:tblW w:type="dxa" w:w="9639"/>
        <w:tblBorders>
          <w:top w:val="single" w:color="AAAAAA" w:sz="4"/>
          <w:left w:val="single" w:color="AAAAAA" w:sz="4"/>
          <w:bottom w:val="single" w:color="AAAAAA" w:sz="4"/>
          <w:right w:val="single" w:color="AAAAAA" w:sz="4"/>
          <w:insideH w:val="single" w:color="auto" w:sz="4"/>
          <w:insideV w:val="single" w:color="auto" w:sz="4"/>
        </w:tblBorders>
      </w:tblPr>
      <w:tblGrid>
        <w:gridCol w:w="2800"/>
        <w:gridCol w:w="1600"/>
        <w:gridCol w:w="2600"/>
        <w:gridCol w:w="2639"/>
      </w:tblGrid>
      <w:tr>
        <w:trPr>
          <w:tblHeader/>
        </w:trPr>
        <w:tc>
          <w:tcPr>
            <w:tcW w:type="dxa" w:w="28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Team / pilot</w:t>
            </w:r>
          </w:p>
        </w:tc>
        <w:tc>
          <w:tcPr>
            <w:tcW w:type="dxa" w:w="16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Sessions</w:t>
            </w:r>
          </w:p>
        </w:tc>
        <w:tc>
          <w:tcPr>
            <w:tcW w:type="dxa" w:w="26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Key saving</w:t>
            </w:r>
          </w:p>
        </w:tc>
        <w:tc>
          <w:tcPr>
            <w:tcW w:type="dxa" w:w="2639"/>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Quality</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CTM — 6 weeks, 5 clinicians</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726 tasks</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35–80% across task types</w:t>
            </w:r>
          </w:p>
        </w:tc>
        <w:tc>
          <w:tcPr>
            <w:tcW w:type="dxa" w:w="26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149/153 improved (97%)</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HD Autism team — diary study</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57+ entries</w:t>
            </w:r>
          </w:p>
        </w:tc>
        <w:tc>
          <w:tcPr>
            <w:tcW w:type="dxa" w:w="2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44–76% across task types</w:t>
            </w:r>
          </w:p>
        </w:tc>
        <w:tc>
          <w:tcPr>
            <w:tcW w:type="dxa" w:w="26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~85% (excl. panel)</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HD ADHD team — diary study</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 entries</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50–81% across task types</w:t>
            </w:r>
          </w:p>
        </w:tc>
        <w:tc>
          <w:tcPr>
            <w:tcW w:type="dxa" w:w="26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100%</w:t>
            </w:r>
          </w:p>
        </w:tc>
      </w:tr>
    </w:tbl>
    <w:p>
      <w:pPr>
        <w:spacing w:before="0" w:after="0"/>
      </w:pPr>
      <w:r>
        <w:t xml:space="preserve"/>
      </w:r>
    </w:p>
    <w:p>
      <w:pPr>
        <w:pStyle w:val="Heading2"/>
      </w:pPr>
      <w:r>
        <w:rPr>
          <w:rFonts w:ascii="Arial" w:cs="Arial" w:eastAsia="Arial" w:hAnsi="Arial"/>
          <w:b/>
          <w:bCs/>
          <w:color w:val="007361"/>
          <w:sz w:val="40"/>
          <w:szCs w:val="40"/>
        </w:rPr>
        <w:t xml:space="preserve">What both pilots agree on</w:t>
      </w:r>
    </w:p>
    <w:p>
      <w:pPr>
        <w:pStyle w:val="ListParagraph"/>
        <w:numPr>
          <w:ilvl w:val="0"/>
          <w:numId w:val="2"/>
        </w:numPr>
      </w:pPr>
      <w:r>
        <w:rPr>
          <w:rFonts w:ascii="Arial" w:cs="Arial" w:eastAsia="Arial" w:hAnsi="Arial"/>
          <w:color w:val="000000"/>
          <w:sz w:val="28"/>
          <w:szCs w:val="28"/>
        </w:rPr>
        <w:t xml:space="preserve">Clinicians are more present in sessions when not simultaneously taking notes — and families notice</w:t>
      </w:r>
    </w:p>
    <w:p>
      <w:pPr>
        <w:pStyle w:val="ListParagraph"/>
        <w:numPr>
          <w:ilvl w:val="0"/>
          <w:numId w:val="2"/>
        </w:numPr>
      </w:pPr>
      <w:r>
        <w:rPr>
          <w:rFonts w:ascii="Arial" w:cs="Arial" w:eastAsia="Arial" w:hAnsi="Arial"/>
          <w:color w:val="000000"/>
          <w:sz w:val="28"/>
          <w:szCs w:val="28"/>
        </w:rPr>
        <w:t xml:space="preserve">Write-up time is significantly reduced for most task types</w:t>
      </w:r>
    </w:p>
    <w:p>
      <w:pPr>
        <w:pStyle w:val="ListParagraph"/>
        <w:numPr>
          <w:ilvl w:val="0"/>
          <w:numId w:val="2"/>
        </w:numPr>
      </w:pPr>
      <w:r>
        <w:rPr>
          <w:rFonts w:ascii="Arial" w:cs="Arial" w:eastAsia="Arial" w:hAnsi="Arial"/>
          <w:color w:val="000000"/>
          <w:sz w:val="28"/>
          <w:szCs w:val="28"/>
        </w:rPr>
        <w:t xml:space="preserve">Reports contain more detail than clinicians can produce manually in the same time</w:t>
      </w:r>
    </w:p>
    <w:p>
      <w:pPr>
        <w:pStyle w:val="ListParagraph"/>
        <w:numPr>
          <w:ilvl w:val="0"/>
          <w:numId w:val="2"/>
        </w:numPr>
      </w:pPr>
      <w:r>
        <w:rPr>
          <w:rFonts w:ascii="Arial" w:cs="Arial" w:eastAsia="Arial" w:hAnsi="Arial"/>
          <w:color w:val="000000"/>
          <w:sz w:val="28"/>
          <w:szCs w:val="28"/>
        </w:rPr>
        <w:t xml:space="preserve">The tool works best for live session capture; upload-and-merge workflows are more complex and variable</w:t>
      </w:r>
    </w:p>
    <w:p>
      <w:pPr>
        <w:pStyle w:val="ListParagraph"/>
        <w:numPr>
          <w:ilvl w:val="0"/>
          <w:numId w:val="2"/>
        </w:numPr>
      </w:pPr>
      <w:r>
        <w:rPr>
          <w:rFonts w:ascii="Arial" w:cs="Arial" w:eastAsia="Arial" w:hAnsi="Arial"/>
          <w:color w:val="000000"/>
          <w:sz w:val="28"/>
          <w:szCs w:val="28"/>
        </w:rPr>
        <w:t xml:space="preserve">Accuracy requires checking — clinicians must review all AI output before finalising</w:t>
      </w:r>
    </w:p>
    <w:p>
      <w:pPr>
        <w:pStyle w:val="Heading2"/>
      </w:pPr>
      <w:r>
        <w:rPr>
          <w:rFonts w:ascii="Arial" w:cs="Arial" w:eastAsia="Arial" w:hAnsi="Arial"/>
          <w:b/>
          <w:bCs/>
          <w:color w:val="007361"/>
          <w:sz w:val="40"/>
          <w:szCs w:val="40"/>
        </w:rPr>
        <w:t xml:space="preserve">Key differences</w:t>
      </w:r>
    </w:p>
    <w:p>
      <w:pPr>
        <w:spacing w:before="60" w:after="120"/>
      </w:pPr>
      <w:r>
        <w:rPr>
          <w:rFonts w:ascii="Arial" w:cs="Arial" w:eastAsia="Arial" w:hAnsi="Arial"/>
          <w:color w:val="000000"/>
          <w:sz w:val="28"/>
          <w:szCs w:val="28"/>
        </w:rPr>
        <w:t xml:space="preserve">The CTM pilot tested a range of ND tasks across a general children’s service. The Hywel Dda teams have tested Magic Notes across specialist autism and ADHD workflows, surfacing specific challenges around multi-source document assembly — an area where further development is needed.</w:t>
      </w:r>
    </w:p>
    <w:p>
      <w:r>
        <w:br w:type="page"/>
      </w:r>
    </w:p>
    <w:p>
      <w:pPr>
        <w:pStyle w:val="Heading1"/>
      </w:pPr>
      <w:r>
        <w:rPr>
          <w:rFonts w:ascii="Arial" w:cs="Arial" w:eastAsia="Arial" w:hAnsi="Arial"/>
          <w:b/>
          <w:bCs/>
          <w:color w:val="000000"/>
          <w:sz w:val="56"/>
          <w:szCs w:val="56"/>
        </w:rPr>
        <w:t xml:space="preserve">1. Introduction</w:t>
      </w:r>
    </w:p>
    <w:p>
      <w:pPr>
        <w:spacing w:before="60" w:after="120"/>
      </w:pPr>
      <w:r>
        <w:rPr>
          <w:rFonts w:ascii="Arial" w:cs="Arial" w:eastAsia="Arial" w:hAnsi="Arial"/>
          <w:color w:val="000000"/>
          <w:sz w:val="28"/>
          <w:szCs w:val="28"/>
        </w:rPr>
        <w:t xml:space="preserve">The Centre for Digital Public Services (CDPS) commissioned two parallel evaluations of Magic Notes, an AI-assisted clinical documentation tool developed by Beam, across NHS Wales neurodevelopmental services.</w:t>
      </w:r>
    </w:p>
    <w:p>
      <w:pPr>
        <w:spacing w:before="60" w:after="120"/>
      </w:pPr>
      <w:r>
        <w:rPr>
          <w:rFonts w:ascii="Arial" w:cs="Arial" w:eastAsia="Arial" w:hAnsi="Arial"/>
          <w:b/>
          <w:bCs/>
          <w:sz w:val="28"/>
          <w:szCs w:val="28"/>
        </w:rPr>
        <w:t xml:space="preserve">CTM pilot (Oct–Nov 2025): </w:t>
      </w:r>
      <w:r>
        <w:rPr>
          <w:rFonts w:ascii="Arial" w:cs="Arial" w:eastAsia="Arial" w:hAnsi="Arial"/>
          <w:sz w:val="28"/>
          <w:szCs w:val="28"/>
        </w:rPr>
        <w:t xml:space="preserve">A structured 6-week experiment with 5 clinicians in Cwm Taf Morgannwg University Health Board’s Children’s ND Service. Clinicians used the tool across 726 tasks in three structured experiments and numerous additional uses.</w:t>
      </w:r>
    </w:p>
    <w:p>
      <w:pPr>
        <w:spacing w:before="60" w:after="120"/>
      </w:pPr>
      <w:r>
        <w:rPr>
          <w:rFonts w:ascii="Arial" w:cs="Arial" w:eastAsia="Arial" w:hAnsi="Arial"/>
          <w:b/>
          <w:bCs/>
          <w:sz w:val="28"/>
          <w:szCs w:val="28"/>
        </w:rPr>
        <w:t xml:space="preserve">Hywel Dda diary study (Oct 2025–ongoing): </w:t>
      </w:r>
      <w:r>
        <w:rPr>
          <w:rFonts w:ascii="Arial" w:cs="Arial" w:eastAsia="Arial" w:hAnsi="Arial"/>
          <w:sz w:val="28"/>
          <w:szCs w:val="28"/>
        </w:rPr>
        <w:t xml:space="preserve">A continuous diary study across the Autism and ADHD assessment teams in Hywel Dda University Health Board. Clinicians logged 57+ structured diary entries across 5 task types.</w:t>
      </w:r>
    </w:p>
    <w:p>
      <w:pPr>
        <w:spacing w:before="60" w:after="120"/>
      </w:pPr>
      <w:r>
        <w:rPr>
          <w:rFonts w:ascii="Arial" w:cs="Arial" w:eastAsia="Arial" w:hAnsi="Arial"/>
          <w:color w:val="000000"/>
          <w:sz w:val="28"/>
          <w:szCs w:val="28"/>
        </w:rPr>
        <w:t xml:space="preserve">This report synthesises findings across both evaluations. Individual reports for each pilot are also available.</w:t>
      </w:r>
    </w:p>
    <w:p>
      <w:r>
        <w:br w:type="page"/>
      </w:r>
    </w:p>
    <w:p>
      <w:pPr>
        <w:pStyle w:val="Heading1"/>
      </w:pPr>
      <w:r>
        <w:rPr>
          <w:rFonts w:ascii="Arial" w:cs="Arial" w:eastAsia="Arial" w:hAnsi="Arial"/>
          <w:b/>
          <w:bCs/>
          <w:color w:val="000000"/>
          <w:sz w:val="56"/>
          <w:szCs w:val="56"/>
        </w:rPr>
        <w:t xml:space="preserve">2. Cross-pilot headline numbers</w:t>
      </w:r>
    </w:p>
    <w:tbl>
      <w:tblPr>
        <w:tblW w:type="dxa" w:w="9639"/>
        <w:tblBorders>
          <w:top w:val="single" w:color="AAAAAA" w:sz="4"/>
          <w:left w:val="single" w:color="AAAAAA" w:sz="4"/>
          <w:bottom w:val="single" w:color="AAAAAA" w:sz="4"/>
          <w:right w:val="single" w:color="AAAAAA" w:sz="4"/>
          <w:insideH w:val="single" w:color="auto" w:sz="4"/>
          <w:insideV w:val="single" w:color="auto" w:sz="4"/>
        </w:tblBorders>
      </w:tblPr>
      <w:tblGrid>
        <w:gridCol w:w="2800"/>
        <w:gridCol w:w="2000"/>
        <w:gridCol w:w="2000"/>
        <w:gridCol w:w="2839"/>
      </w:tblGrid>
      <w:tr>
        <w:trPr>
          <w:tblHeader/>
        </w:trPr>
        <w:tc>
          <w:tcPr>
            <w:tcW w:type="dxa" w:w="28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Metric</w:t>
            </w:r>
          </w:p>
        </w:tc>
        <w:tc>
          <w:tcPr>
            <w:tcW w:type="dxa" w:w="2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CTM</w:t>
            </w:r>
          </w:p>
        </w:tc>
        <w:tc>
          <w:tcPr>
            <w:tcW w:type="dxa" w:w="2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HD Autism</w:t>
            </w:r>
          </w:p>
        </w:tc>
        <w:tc>
          <w:tcPr>
            <w:tcW w:type="dxa" w:w="2839"/>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HD ADHD</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Sessions / entries</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726</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57+</w:t>
            </w:r>
          </w:p>
        </w:tc>
        <w:tc>
          <w:tcPr>
            <w:tcW w:type="dxa" w:w="28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Avg ease of use</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4.9 / 5</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3.94 / 5</w:t>
            </w:r>
          </w:p>
        </w:tc>
        <w:tc>
          <w:tcPr>
            <w:tcW w:type="dxa" w:w="28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4.5 / 5</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Quality improved</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97% (149/153)</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81% (38/47)</w:t>
            </w:r>
          </w:p>
        </w:tc>
        <w:tc>
          <w:tcPr>
            <w:tcW w:type="dxa" w:w="28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100% (10/10)</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Quality worse</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0%</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19% (9/47)</w:t>
            </w:r>
          </w:p>
        </w:tc>
        <w:tc>
          <w:tcPr>
            <w:tcW w:type="dxa" w:w="28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0%</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Top time saving</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72–80% (write-up)</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76% (final report)</w:t>
            </w:r>
          </w:p>
        </w:tc>
        <w:tc>
          <w:tcPr>
            <w:tcW w:type="dxa" w:w="28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81% (other uses)</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Strongest task</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New patient write-up</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Final report</w:t>
            </w:r>
          </w:p>
        </w:tc>
        <w:tc>
          <w:tcPr>
            <w:tcW w:type="dxa" w:w="28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Letters / admin</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Most variable task</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Back-to-back write-up</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Panel preparation</w:t>
            </w:r>
          </w:p>
        </w:tc>
        <w:tc>
          <w:tcPr>
            <w:tcW w:type="dxa" w:w="28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N/A (all consistent)</w:t>
            </w:r>
          </w:p>
        </w:tc>
      </w:tr>
    </w:tbl>
    <w:p>
      <w:r>
        <w:br w:type="page"/>
      </w:r>
    </w:p>
    <w:p>
      <w:pPr>
        <w:pStyle w:val="Heading1"/>
      </w:pPr>
      <w:r>
        <w:rPr>
          <w:rFonts w:ascii="Arial" w:cs="Arial" w:eastAsia="Arial" w:hAnsi="Arial"/>
          <w:b/>
          <w:bCs/>
          <w:color w:val="000000"/>
          <w:sz w:val="56"/>
          <w:szCs w:val="56"/>
        </w:rPr>
        <w:t xml:space="preserve">3. CTM pilot results</w:t>
      </w:r>
    </w:p>
    <w:p>
      <w:pPr>
        <w:spacing w:before="60" w:after="120"/>
      </w:pPr>
      <w:r>
        <w:rPr>
          <w:rFonts w:ascii="Arial" w:cs="Arial" w:eastAsia="Arial" w:hAnsi="Arial"/>
          <w:color w:val="000000"/>
          <w:sz w:val="28"/>
          <w:szCs w:val="28"/>
        </w:rPr>
        <w:t xml:space="preserve">The CTM pilot ran for six weeks in October–November 2025. Five clinicians used Magic Notes across 726 documented tasks in three structured experiments and numerous additional uses.</w:t>
      </w:r>
    </w:p>
    <w:p>
      <w:pPr>
        <w:pStyle w:val="Heading2"/>
      </w:pPr>
      <w:r>
        <w:rPr>
          <w:rFonts w:ascii="Arial" w:cs="Arial" w:eastAsia="Arial" w:hAnsi="Arial"/>
          <w:b/>
          <w:bCs/>
          <w:color w:val="007361"/>
          <w:sz w:val="40"/>
          <w:szCs w:val="40"/>
        </w:rPr>
        <w:t xml:space="preserve">Time savings</w:t>
      </w:r>
    </w:p>
    <w:tbl>
      <w:tblPr>
        <w:tblW w:type="dxa" w:w="9639"/>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700"/>
        <w:gridCol w:w="1700"/>
        <w:gridCol w:w="3239"/>
      </w:tblGrid>
      <w:tr>
        <w:trPr>
          <w:tblHeader/>
        </w:trPr>
        <w:tc>
          <w:tcPr>
            <w:tcW w:type="dxa" w:w="3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Task type</w:t>
            </w:r>
          </w:p>
        </w:tc>
        <w:tc>
          <w:tcPr>
            <w:tcW w:type="dxa" w:w="17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Before</w:t>
            </w:r>
          </w:p>
        </w:tc>
        <w:tc>
          <w:tcPr>
            <w:tcW w:type="dxa" w:w="17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After</w:t>
            </w:r>
          </w:p>
        </w:tc>
        <w:tc>
          <w:tcPr>
            <w:tcW w:type="dxa" w:w="3239"/>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Saved</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New patient assessment — in-person</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70–90 min</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40–55 min</w:t>
            </w:r>
          </w:p>
        </w:tc>
        <w:tc>
          <w:tcPr>
            <w:tcW w:type="dxa" w:w="32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25–35 min (35–45%)</w:t>
            </w:r>
          </w:p>
        </w:tc>
      </w:tr>
      <w:tr>
        <w:tc>
          <w:tcPr>
            <w:tcW w:type="dxa" w:w="3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New patient assessment — write-up</w:t>
            </w:r>
          </w:p>
        </w:tc>
        <w:tc>
          <w:tcPr>
            <w:tcW w:type="dxa" w:w="17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75–330 min</w:t>
            </w:r>
          </w:p>
        </w:tc>
        <w:tc>
          <w:tcPr>
            <w:tcW w:type="dxa" w:w="17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30–45 min</w:t>
            </w:r>
          </w:p>
        </w:tc>
        <w:tc>
          <w:tcPr>
            <w:tcW w:type="dxa" w:w="32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117–132 min (72–80%)</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Patient summary / document review</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45–90 min</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15–30 min</w:t>
            </w:r>
          </w:p>
        </w:tc>
        <w:tc>
          <w:tcPr>
            <w:tcW w:type="dxa" w:w="32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41 min (67%)</w:t>
            </w:r>
          </w:p>
        </w:tc>
      </w:tr>
      <w:tr>
        <w:tc>
          <w:tcPr>
            <w:tcW w:type="dxa" w:w="3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ADHD medication review</w:t>
            </w:r>
          </w:p>
        </w:tc>
        <w:tc>
          <w:tcPr>
            <w:tcW w:type="dxa" w:w="17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30–60 min</w:t>
            </w:r>
          </w:p>
        </w:tc>
        <w:tc>
          <w:tcPr>
            <w:tcW w:type="dxa" w:w="17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10–25 min</w:t>
            </w:r>
          </w:p>
        </w:tc>
        <w:tc>
          <w:tcPr>
            <w:tcW w:type="dxa" w:w="32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15–40 min (50–65%)</w:t>
            </w:r>
          </w:p>
        </w:tc>
      </w:tr>
    </w:tbl>
    <w:p>
      <w:pPr>
        <w:spacing w:before="0" w:after="0"/>
      </w:pPr>
      <w:r>
        <w:t xml:space="preserve"/>
      </w:r>
    </w:p>
    <w:p>
      <w:pPr>
        <w:pStyle w:val="Heading2"/>
      </w:pPr>
      <w:r>
        <w:rPr>
          <w:rFonts w:ascii="Arial" w:cs="Arial" w:eastAsia="Arial" w:hAnsi="Arial"/>
          <w:b/>
          <w:bCs/>
          <w:color w:val="007361"/>
          <w:sz w:val="40"/>
          <w:szCs w:val="40"/>
        </w:rPr>
        <w:t xml:space="preserve">Extrapolated potential savings</w:t>
      </w:r>
    </w:p>
    <w:p>
      <w:pPr>
        <w:spacing w:before="60" w:after="120"/>
      </w:pPr>
      <w:r>
        <w:rPr>
          <w:rFonts w:ascii="Arial" w:cs="Arial" w:eastAsia="Arial" w:hAnsi="Arial"/>
          <w:color w:val="000000"/>
          <w:sz w:val="28"/>
          <w:szCs w:val="28"/>
        </w:rPr>
        <w:t xml:space="preserve">Applying the pilot savings to the service’s existing workload (approximately 40 new patient assessments per week):</w:t>
      </w:r>
    </w:p>
    <w:p>
      <w:pPr>
        <w:pStyle w:val="ListParagraph"/>
        <w:numPr>
          <w:ilvl w:val="0"/>
          <w:numId w:val="2"/>
        </w:numPr>
      </w:pPr>
      <w:r>
        <w:rPr>
          <w:rFonts w:ascii="Arial" w:cs="Arial" w:eastAsia="Arial" w:hAnsi="Arial"/>
          <w:color w:val="000000"/>
          <w:sz w:val="28"/>
          <w:szCs w:val="28"/>
        </w:rPr>
        <w:t xml:space="preserve">In-person assessment time saved: approximately 20 hours per week</w:t>
      </w:r>
    </w:p>
    <w:p>
      <w:pPr>
        <w:pStyle w:val="ListParagraph"/>
        <w:numPr>
          <w:ilvl w:val="0"/>
          <w:numId w:val="2"/>
        </w:numPr>
      </w:pPr>
      <w:r>
        <w:rPr>
          <w:rFonts w:ascii="Arial" w:cs="Arial" w:eastAsia="Arial" w:hAnsi="Arial"/>
          <w:color w:val="000000"/>
          <w:sz w:val="28"/>
          <w:szCs w:val="28"/>
        </w:rPr>
        <w:t xml:space="preserve">Write-up time saved: approximately 80 hours per week</w:t>
      </w:r>
    </w:p>
    <w:p>
      <w:pPr>
        <w:pStyle w:val="ListParagraph"/>
        <w:numPr>
          <w:ilvl w:val="0"/>
          <w:numId w:val="2"/>
        </w:numPr>
      </w:pPr>
      <w:r>
        <w:rPr>
          <w:rFonts w:ascii="Arial" w:cs="Arial" w:eastAsia="Arial" w:hAnsi="Arial"/>
          <w:color w:val="000000"/>
          <w:sz w:val="28"/>
          <w:szCs w:val="28"/>
        </w:rPr>
        <w:t xml:space="preserve">Total potential time released: ~100 clinical hours per week</w:t>
      </w:r>
    </w:p>
    <w:p>
      <w:pPr>
        <w:spacing w:before="0" w:after="0"/>
      </w:pPr>
      <w:r>
        <w:t xml:space="preserve"/>
      </w:r>
    </w:p>
    <w:p>
      <w:pPr>
        <w:spacing w:before="60" w:after="120"/>
      </w:pPr>
      <w:r>
        <w:rPr>
          <w:rFonts w:ascii="Arial" w:cs="Arial" w:eastAsia="Arial" w:hAnsi="Arial"/>
          <w:color w:val="000000"/>
          <w:sz w:val="28"/>
          <w:szCs w:val="28"/>
        </w:rPr>
        <w:t xml:space="preserve">This equates to approximately £260,000 of clinical time per year, or around 2.6 WTE clinicians (based on £50/hour).</w:t>
      </w:r>
    </w:p>
    <w:p>
      <w:pPr>
        <w:spacing w:before="60" w:after="120"/>
      </w:pPr>
      <w:r>
        <w:rPr>
          <w:rFonts w:ascii="Arial" w:cs="Arial" w:eastAsia="Arial" w:hAnsi="Arial"/>
          <w:i/>
          <w:iCs/>
          <w:sz w:val="28"/>
          <w:szCs w:val="28"/>
        </w:rPr>
        <w:t xml:space="preserve">These figures are extrapolated estimates based on pilot data. Real-world system impact would depend on local workflows, volumes, and adoption levels.</w:t>
      </w:r>
    </w:p>
    <w:p>
      <w:pPr>
        <w:spacing w:before="0" w:after="0"/>
      </w:pPr>
      <w:r>
        <w:t xml:space="preserve"/>
      </w:r>
    </w:p>
    <w:p>
      <w:pPr>
        <w:pStyle w:val="Heading2"/>
      </w:pPr>
      <w:r>
        <w:rPr>
          <w:rFonts w:ascii="Arial" w:cs="Arial" w:eastAsia="Arial" w:hAnsi="Arial"/>
          <w:b/>
          <w:bCs/>
          <w:color w:val="007361"/>
          <w:sz w:val="40"/>
          <w:szCs w:val="40"/>
        </w:rPr>
        <w:t xml:space="preserve">Ease of use and quality</w:t>
      </w:r>
    </w:p>
    <w:p>
      <w:pPr>
        <w:pStyle w:val="ListParagraph"/>
        <w:numPr>
          <w:ilvl w:val="0"/>
          <w:numId w:val="2"/>
        </w:numPr>
      </w:pPr>
      <w:r>
        <w:rPr>
          <w:rFonts w:ascii="Arial" w:cs="Arial" w:eastAsia="Arial" w:hAnsi="Arial"/>
          <w:b/>
          <w:bCs/>
          <w:sz w:val="28"/>
          <w:szCs w:val="28"/>
        </w:rPr>
        <w:t xml:space="preserve">Average ease-of-use score: </w:t>
      </w:r>
      <w:r>
        <w:rPr>
          <w:rFonts w:ascii="Arial" w:cs="Arial" w:eastAsia="Arial" w:hAnsi="Arial"/>
          <w:sz w:val="28"/>
          <w:szCs w:val="28"/>
        </w:rPr>
        <w:t xml:space="preserve">4.9 / 5</w:t>
      </w:r>
    </w:p>
    <w:p>
      <w:pPr>
        <w:pStyle w:val="ListParagraph"/>
        <w:numPr>
          <w:ilvl w:val="0"/>
          <w:numId w:val="2"/>
        </w:numPr>
      </w:pPr>
      <w:r>
        <w:rPr>
          <w:rFonts w:ascii="Arial" w:cs="Arial" w:eastAsia="Arial" w:hAnsi="Arial"/>
          <w:b/>
          <w:bCs/>
          <w:sz w:val="28"/>
          <w:szCs w:val="28"/>
        </w:rPr>
        <w:t xml:space="preserve">Quality improved: </w:t>
      </w:r>
      <w:r>
        <w:rPr>
          <w:rFonts w:ascii="Arial" w:cs="Arial" w:eastAsia="Arial" w:hAnsi="Arial"/>
          <w:sz w:val="28"/>
          <w:szCs w:val="28"/>
        </w:rPr>
        <w:t xml:space="preserve">149 out of 153 rated sessions (97%)</w:t>
      </w:r>
    </w:p>
    <w:p>
      <w:pPr>
        <w:pStyle w:val="ListParagraph"/>
        <w:numPr>
          <w:ilvl w:val="0"/>
          <w:numId w:val="2"/>
        </w:numPr>
      </w:pPr>
      <w:r>
        <w:rPr>
          <w:rFonts w:ascii="Arial" w:cs="Arial" w:eastAsia="Arial" w:hAnsi="Arial"/>
          <w:b/>
          <w:bCs/>
          <w:sz w:val="28"/>
          <w:szCs w:val="28"/>
        </w:rPr>
        <w:t xml:space="preserve">Cases where quality was worse: </w:t>
      </w:r>
      <w:r>
        <w:rPr>
          <w:rFonts w:ascii="Arial" w:cs="Arial" w:eastAsia="Arial" w:hAnsi="Arial"/>
          <w:sz w:val="28"/>
          <w:szCs w:val="28"/>
        </w:rPr>
        <w:t xml:space="preserve">0</w:t>
      </w:r>
    </w:p>
    <w:p>
      <w:pPr>
        <w:spacing w:before="0" w:after="0"/>
      </w:pPr>
      <w:r>
        <w:t xml:space="preserve"/>
      </w:r>
    </w:p>
    <w:p>
      <w:pPr>
        <w:pStyle w:val="Heading2"/>
      </w:pPr>
      <w:r>
        <w:rPr>
          <w:rFonts w:ascii="Arial" w:cs="Arial" w:eastAsia="Arial" w:hAnsi="Arial"/>
          <w:b/>
          <w:bCs/>
          <w:color w:val="007361"/>
          <w:sz w:val="40"/>
          <w:szCs w:val="40"/>
        </w:rPr>
        <w:t xml:space="preserve">What clinicians said</w:t>
      </w:r>
    </w:p>
    <w:p>
      <w:pPr>
        <w:pStyle w:val="Bodyquote"/>
      </w:pPr>
      <w:r>
        <w:rPr>
          <w:rFonts w:ascii="Arial" w:cs="Arial" w:eastAsia="Arial" w:hAnsi="Arial"/>
          <w:i/>
          <w:iCs/>
          <w:color w:val="307162"/>
          <w:sz w:val="28"/>
          <w:szCs w:val="28"/>
        </w:rPr>
        <w:t xml:space="preserve">“I played Connect 4 for an entire session… and I was still able to ask Mum questions and really engage with the child. I could see how he communicated, how he focused, how he coped with stress, how he took turns…”</w:t>
      </w:r>
    </w:p>
    <w:p>
      <w:pPr>
        <w:pStyle w:val="Bodyquote"/>
      </w:pPr>
      <w:r>
        <w:rPr>
          <w:rFonts w:ascii="Arial" w:cs="Arial" w:eastAsia="Arial" w:hAnsi="Arial"/>
          <w:i/>
          <w:iCs/>
          <w:color w:val="307162"/>
          <w:sz w:val="28"/>
          <w:szCs w:val="28"/>
        </w:rPr>
        <w:t xml:space="preserve">“That has only been possible because of Magic Notes. I can sit there, listen, and connect. And I leave with a real picture of that child and that family.”</w:t>
      </w:r>
    </w:p>
    <w:p>
      <w:pPr>
        <w:pStyle w:val="Bodyquote"/>
      </w:pPr>
      <w:r>
        <w:rPr>
          <w:rFonts w:ascii="Arial" w:cs="Arial" w:eastAsia="Arial" w:hAnsi="Arial"/>
          <w:i/>
          <w:iCs/>
          <w:color w:val="307162"/>
          <w:sz w:val="28"/>
          <w:szCs w:val="28"/>
        </w:rPr>
        <w:t xml:space="preserve">“We were able to have quite a human conversation… I didn’t have my head deep into the computer.”</w:t>
      </w:r>
    </w:p>
    <w:p>
      <w:r>
        <w:br w:type="page"/>
      </w:r>
    </w:p>
    <w:p>
      <w:pPr>
        <w:pStyle w:val="Heading1"/>
      </w:pPr>
      <w:r>
        <w:rPr>
          <w:rFonts w:ascii="Arial" w:cs="Arial" w:eastAsia="Arial" w:hAnsi="Arial"/>
          <w:b/>
          <w:bCs/>
          <w:color w:val="000000"/>
          <w:sz w:val="56"/>
          <w:szCs w:val="56"/>
        </w:rPr>
        <w:t xml:space="preserve">4. Hywel Dda results — Autism team</w:t>
      </w:r>
    </w:p>
    <w:p>
      <w:pPr>
        <w:spacing w:before="60" w:after="120"/>
      </w:pPr>
      <w:r>
        <w:rPr>
          <w:rFonts w:ascii="Arial" w:cs="Arial" w:eastAsia="Arial" w:hAnsi="Arial"/>
          <w:color w:val="000000"/>
          <w:sz w:val="28"/>
          <w:szCs w:val="28"/>
        </w:rPr>
        <w:t xml:space="preserve">The Hywel Dda Autism team completed 57+ structured diary entries across five task types from October 2025 onwards.</w:t>
      </w:r>
    </w:p>
    <w:p>
      <w:pPr>
        <w:pStyle w:val="Heading2"/>
      </w:pPr>
      <w:r>
        <w:rPr>
          <w:rFonts w:ascii="Arial" w:cs="Arial" w:eastAsia="Arial" w:hAnsi="Arial"/>
          <w:b/>
          <w:bCs/>
          <w:color w:val="007361"/>
          <w:sz w:val="40"/>
          <w:szCs w:val="40"/>
        </w:rPr>
        <w:t xml:space="preserve">Time savings by task type</w:t>
      </w:r>
    </w:p>
    <w:tbl>
      <w:tblPr>
        <w:tblW w:type="dxa" w:w="9639"/>
        <w:tblBorders>
          <w:top w:val="single" w:color="AAAAAA" w:sz="4"/>
          <w:left w:val="single" w:color="AAAAAA" w:sz="4"/>
          <w:bottom w:val="single" w:color="AAAAAA" w:sz="4"/>
          <w:right w:val="single" w:color="AAAAAA" w:sz="4"/>
          <w:insideH w:val="single" w:color="auto" w:sz="4"/>
          <w:insideV w:val="single" w:color="auto" w:sz="4"/>
        </w:tblBorders>
      </w:tblPr>
      <w:tblGrid>
        <w:gridCol w:w="2800"/>
        <w:gridCol w:w="1200"/>
        <w:gridCol w:w="1500"/>
        <w:gridCol w:w="1700"/>
        <w:gridCol w:w="2439"/>
      </w:tblGrid>
      <w:tr>
        <w:trPr>
          <w:tblHeader/>
        </w:trPr>
        <w:tc>
          <w:tcPr>
            <w:tcW w:type="dxa" w:w="28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Task type</w:t>
            </w:r>
          </w:p>
        </w:tc>
        <w:tc>
          <w:tcPr>
            <w:tcW w:type="dxa" w:w="12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Sessions</w:t>
            </w:r>
          </w:p>
        </w:tc>
        <w:tc>
          <w:tcPr>
            <w:tcW w:type="dxa" w:w="15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Avg before</w:t>
            </w:r>
          </w:p>
        </w:tc>
        <w:tc>
          <w:tcPr>
            <w:tcW w:type="dxa" w:w="17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Avg with MN</w:t>
            </w:r>
          </w:p>
        </w:tc>
        <w:tc>
          <w:tcPr>
            <w:tcW w:type="dxa" w:w="2439"/>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Saving</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Final report</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132 min</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32 min</w:t>
            </w:r>
          </w:p>
        </w:tc>
        <w:tc>
          <w:tcPr>
            <w:tcW w:type="dxa" w:w="24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100 min (76%)</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New patient assessment</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8</w:t>
            </w:r>
          </w:p>
        </w:tc>
        <w:tc>
          <w:tcPr>
            <w:tcW w:type="dxa" w:w="1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135 min</w:t>
            </w:r>
          </w:p>
        </w:tc>
        <w:tc>
          <w:tcPr>
            <w:tcW w:type="dxa" w:w="17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50 min</w:t>
            </w:r>
          </w:p>
        </w:tc>
        <w:tc>
          <w:tcPr>
            <w:tcW w:type="dxa" w:w="24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85 min (63%)</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Other uses (varied)</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13</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84 min</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39 min</w:t>
            </w:r>
          </w:p>
        </w:tc>
        <w:tc>
          <w:tcPr>
            <w:tcW w:type="dxa" w:w="24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45 min (54%)</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Clinical assessment / ADOS</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6</w:t>
            </w:r>
          </w:p>
        </w:tc>
        <w:tc>
          <w:tcPr>
            <w:tcW w:type="dxa" w:w="1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98 min</w:t>
            </w:r>
          </w:p>
        </w:tc>
        <w:tc>
          <w:tcPr>
            <w:tcW w:type="dxa" w:w="17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55 min</w:t>
            </w:r>
          </w:p>
        </w:tc>
        <w:tc>
          <w:tcPr>
            <w:tcW w:type="dxa" w:w="24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43 min (44%)</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Panel case presentation</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19</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44 min</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38 min</w:t>
            </w:r>
          </w:p>
        </w:tc>
        <w:tc>
          <w:tcPr>
            <w:tcW w:type="dxa" w:w="24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6 min (14%)</w:t>
            </w:r>
          </w:p>
        </w:tc>
      </w:tr>
    </w:tbl>
    <w:p>
      <w:pPr>
        <w:spacing w:before="0" w:after="0"/>
      </w:pPr>
      <w:r>
        <w:t xml:space="preserve"/>
      </w:r>
    </w:p>
    <w:p>
      <w:pPr>
        <w:pStyle w:val="Heading2"/>
      </w:pPr>
      <w:r>
        <w:rPr>
          <w:rFonts w:ascii="Arial" w:cs="Arial" w:eastAsia="Arial" w:hAnsi="Arial"/>
          <w:b/>
          <w:bCs/>
          <w:color w:val="007361"/>
          <w:sz w:val="40"/>
          <w:szCs w:val="40"/>
        </w:rPr>
        <w:t xml:space="preserve">Quality and ease of use</w:t>
      </w:r>
    </w:p>
    <w:p>
      <w:pPr>
        <w:pStyle w:val="ListParagraph"/>
        <w:numPr>
          <w:ilvl w:val="0"/>
          <w:numId w:val="2"/>
        </w:numPr>
      </w:pPr>
      <w:r>
        <w:rPr>
          <w:rFonts w:ascii="Arial" w:cs="Arial" w:eastAsia="Arial" w:hAnsi="Arial"/>
          <w:color w:val="000000"/>
          <w:sz w:val="28"/>
          <w:szCs w:val="28"/>
        </w:rPr>
        <w:t xml:space="preserve">Quality improved (excl. panel): approximately 85% of rated sessions</w:t>
      </w:r>
    </w:p>
    <w:p>
      <w:pPr>
        <w:pStyle w:val="ListParagraph"/>
        <w:numPr>
          <w:ilvl w:val="0"/>
          <w:numId w:val="2"/>
        </w:numPr>
      </w:pPr>
      <w:r>
        <w:rPr>
          <w:rFonts w:ascii="Arial" w:cs="Arial" w:eastAsia="Arial" w:hAnsi="Arial"/>
          <w:color w:val="000000"/>
          <w:sz w:val="28"/>
          <w:szCs w:val="28"/>
        </w:rPr>
        <w:t xml:space="preserve">Panel case preparation: 64% quality improved, 36% no improvement (mixed results)</w:t>
      </w:r>
    </w:p>
    <w:p>
      <w:pPr>
        <w:pStyle w:val="ListParagraph"/>
        <w:numPr>
          <w:ilvl w:val="0"/>
          <w:numId w:val="2"/>
        </w:numPr>
      </w:pPr>
      <w:r>
        <w:rPr>
          <w:rFonts w:ascii="Arial" w:cs="Arial" w:eastAsia="Arial" w:hAnsi="Arial"/>
          <w:color w:val="000000"/>
          <w:sz w:val="28"/>
          <w:szCs w:val="28"/>
        </w:rPr>
        <w:t xml:space="preserve">Average ease of use: 3.94 / 5 across 50 ratings</w:t>
      </w:r>
    </w:p>
    <w:p>
      <w:pPr>
        <w:spacing w:before="0" w:after="0"/>
      </w:pPr>
      <w:r>
        <w:t xml:space="preserve"/>
      </w:r>
    </w:p>
    <w:p>
      <w:pPr>
        <w:pStyle w:val="Heading2"/>
      </w:pPr>
      <w:r>
        <w:rPr>
          <w:rFonts w:ascii="Arial" w:cs="Arial" w:eastAsia="Arial" w:hAnsi="Arial"/>
          <w:b/>
          <w:bCs/>
          <w:color w:val="007361"/>
          <w:sz w:val="40"/>
          <w:szCs w:val="40"/>
        </w:rPr>
        <w:t xml:space="preserve">What clinicians said</w:t>
      </w:r>
    </w:p>
    <w:p>
      <w:pPr>
        <w:pStyle w:val="Bodyquote"/>
      </w:pPr>
      <w:r>
        <w:rPr>
          <w:rFonts w:ascii="Arial" w:cs="Arial" w:eastAsia="Arial" w:hAnsi="Arial"/>
          <w:i/>
          <w:iCs/>
          <w:color w:val="307162"/>
          <w:sz w:val="28"/>
          <w:szCs w:val="28"/>
        </w:rPr>
        <w:t xml:space="preserve">“The play task was so much easier to do as I could engage fully with the young person rather than having to make notes at the same time which always takes away from the play.”</w:t>
      </w:r>
    </w:p>
    <w:p>
      <w:pPr>
        <w:pStyle w:val="Bodyquote"/>
      </w:pPr>
      <w:r>
        <w:rPr>
          <w:rFonts w:ascii="Arial" w:cs="Arial" w:eastAsia="Arial" w:hAnsi="Arial"/>
          <w:i/>
          <w:iCs/>
          <w:color w:val="307162"/>
          <w:sz w:val="28"/>
          <w:szCs w:val="28"/>
        </w:rPr>
        <w:t xml:space="preserve">“Being able to add the parent information, school information etc into the panel form was a MASSIVE time save.”</w:t>
      </w:r>
    </w:p>
    <w:p>
      <w:pPr>
        <w:pStyle w:val="Bodyquote"/>
      </w:pPr>
      <w:r>
        <w:rPr>
          <w:rFonts w:ascii="Arial" w:cs="Arial" w:eastAsia="Arial" w:hAnsi="Arial"/>
          <w:i/>
          <w:iCs/>
          <w:color w:val="307162"/>
          <w:sz w:val="28"/>
          <w:szCs w:val="28"/>
        </w:rPr>
        <w:t xml:space="preserve">“Family commented that they felt it was good that all of their information was being captured as part of the assessment.”</w:t>
      </w:r>
    </w:p>
    <w:p>
      <w:r>
        <w:br w:type="page"/>
      </w:r>
    </w:p>
    <w:p>
      <w:pPr>
        <w:pStyle w:val="Heading1"/>
      </w:pPr>
      <w:r>
        <w:rPr>
          <w:rFonts w:ascii="Arial" w:cs="Arial" w:eastAsia="Arial" w:hAnsi="Arial"/>
          <w:b/>
          <w:bCs/>
          <w:color w:val="000000"/>
          <w:sz w:val="56"/>
          <w:szCs w:val="56"/>
        </w:rPr>
        <w:t xml:space="preserve">5. Hywel Dda results — ADHD team</w:t>
      </w:r>
    </w:p>
    <w:p>
      <w:pPr>
        <w:spacing w:before="60" w:after="120"/>
      </w:pPr>
      <w:r>
        <w:rPr>
          <w:rFonts w:ascii="Arial" w:cs="Arial" w:eastAsia="Arial" w:hAnsi="Arial"/>
          <w:color w:val="000000"/>
          <w:sz w:val="28"/>
          <w:szCs w:val="28"/>
        </w:rPr>
        <w:t xml:space="preserve">The Hywel Dda ADHD team completed 10 diary entries across regular reviews, DIVA assessments, and ratification tasks.</w:t>
      </w:r>
    </w:p>
    <w:p>
      <w:pPr>
        <w:pStyle w:val="Heading2"/>
      </w:pPr>
      <w:r>
        <w:rPr>
          <w:rFonts w:ascii="Arial" w:cs="Arial" w:eastAsia="Arial" w:hAnsi="Arial"/>
          <w:b/>
          <w:bCs/>
          <w:color w:val="007361"/>
          <w:sz w:val="40"/>
          <w:szCs w:val="40"/>
        </w:rPr>
        <w:t xml:space="preserve">Time savings by task type</w:t>
      </w:r>
    </w:p>
    <w:tbl>
      <w:tblPr>
        <w:tblW w:type="dxa" w:w="9639"/>
        <w:tblBorders>
          <w:top w:val="single" w:color="AAAAAA" w:sz="4"/>
          <w:left w:val="single" w:color="AAAAAA" w:sz="4"/>
          <w:bottom w:val="single" w:color="AAAAAA" w:sz="4"/>
          <w:right w:val="single" w:color="AAAAAA" w:sz="4"/>
          <w:insideH w:val="single" w:color="auto" w:sz="4"/>
          <w:insideV w:val="single" w:color="auto" w:sz="4"/>
        </w:tblBorders>
      </w:tblPr>
      <w:tblGrid>
        <w:gridCol w:w="3200"/>
        <w:gridCol w:w="1200"/>
        <w:gridCol w:w="2000"/>
        <w:gridCol w:w="3239"/>
      </w:tblGrid>
      <w:tr>
        <w:trPr>
          <w:tblHeader/>
        </w:trPr>
        <w:tc>
          <w:tcPr>
            <w:tcW w:type="dxa" w:w="32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Task type</w:t>
            </w:r>
          </w:p>
        </w:tc>
        <w:tc>
          <w:tcPr>
            <w:tcW w:type="dxa" w:w="12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Entries</w:t>
            </w:r>
          </w:p>
        </w:tc>
        <w:tc>
          <w:tcPr>
            <w:tcW w:type="dxa" w:w="20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Avg saving</w:t>
            </w:r>
          </w:p>
        </w:tc>
        <w:tc>
          <w:tcPr>
            <w:tcW w:type="dxa" w:w="3239"/>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Quality: Yes</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Other uses (letters, admin, dictation)</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81%</w:t>
            </w:r>
          </w:p>
        </w:tc>
        <w:tc>
          <w:tcPr>
            <w:tcW w:type="dxa" w:w="32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100%</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Regular review / DIVA assessment</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~55%</w:t>
            </w:r>
          </w:p>
        </w:tc>
        <w:tc>
          <w:tcPr>
            <w:tcW w:type="dxa" w:w="32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100%</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Ratification</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2</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~50%</w:t>
            </w:r>
          </w:p>
        </w:tc>
        <w:tc>
          <w:tcPr>
            <w:tcW w:type="dxa" w:w="32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100%</w:t>
            </w:r>
          </w:p>
        </w:tc>
      </w:tr>
    </w:tbl>
    <w:p>
      <w:pPr>
        <w:spacing w:before="0" w:after="0"/>
      </w:pPr>
      <w:r>
        <w:t xml:space="preserve"/>
      </w:r>
    </w:p>
    <w:p>
      <w:pPr>
        <w:spacing w:before="60" w:after="120"/>
      </w:pPr>
      <w:r>
        <w:rPr>
          <w:rFonts w:ascii="Arial" w:cs="Arial" w:eastAsia="Arial" w:hAnsi="Arial"/>
          <w:b/>
          <w:bCs/>
          <w:sz w:val="28"/>
          <w:szCs w:val="28"/>
        </w:rPr>
        <w:t xml:space="preserve">The ADHD team showed the strongest and most consistent results in the programme.</w:t>
      </w:r>
      <w:r>
        <w:rPr>
          <w:rFonts w:ascii="Arial" w:cs="Arial" w:eastAsia="Arial" w:hAnsi="Arial"/>
          <w:sz w:val="28"/>
          <w:szCs w:val="28"/>
        </w:rPr>
        <w:t xml:space="preserve"> Average ease-of-use score was 4.5 / 5 — the highest across any team in either pilot — and 100% of sessions rated quality as improved.</w:t>
      </w:r>
    </w:p>
    <w:p>
      <w:pPr>
        <w:spacing w:before="0" w:after="0"/>
      </w:pPr>
      <w:r>
        <w:t xml:space="preserve"/>
      </w:r>
    </w:p>
    <w:p>
      <w:pPr>
        <w:spacing w:before="60" w:after="120"/>
      </w:pPr>
      <w:r>
        <w:rPr>
          <w:rFonts w:ascii="Arial" w:cs="Arial" w:eastAsia="Arial" w:hAnsi="Arial"/>
          <w:b/>
          <w:bCs/>
          <w:color w:val="C00000"/>
          <w:sz w:val="28"/>
          <w:szCs w:val="28"/>
        </w:rPr>
        <w:t xml:space="preserve">Important: </w:t>
      </w:r>
      <w:r>
        <w:rPr>
          <w:rFonts w:ascii="Arial" w:cs="Arial" w:eastAsia="Arial" w:hAnsi="Arial"/>
          <w:sz w:val="28"/>
          <w:szCs w:val="28"/>
        </w:rPr>
        <w:t xml:space="preserve">The ADHD team identified hallucinated medication names and dosages in two review sessions. All medication references in Magic Notes output must be independently verified before finalising notes. This risk should be formally communicated to any team using the tool for ADHD medication reviews.</w:t>
      </w:r>
    </w:p>
    <w:p>
      <w:r>
        <w:br w:type="page"/>
      </w:r>
    </w:p>
    <w:p>
      <w:pPr>
        <w:pStyle w:val="Heading1"/>
      </w:pPr>
      <w:r>
        <w:rPr>
          <w:rFonts w:ascii="Arial" w:cs="Arial" w:eastAsia="Arial" w:hAnsi="Arial"/>
          <w:b/>
          <w:bCs/>
          <w:color w:val="000000"/>
          <w:sz w:val="56"/>
          <w:szCs w:val="56"/>
        </w:rPr>
        <w:t xml:space="preserve">6. What both pilots agree on</w:t>
      </w:r>
    </w:p>
    <w:p>
      <w:pPr>
        <w:pStyle w:val="Heading2"/>
      </w:pPr>
      <w:r>
        <w:rPr>
          <w:rFonts w:ascii="Arial" w:cs="Arial" w:eastAsia="Arial" w:hAnsi="Arial"/>
          <w:b/>
          <w:bCs/>
          <w:color w:val="007361"/>
          <w:sz w:val="40"/>
          <w:szCs w:val="40"/>
        </w:rPr>
        <w:t xml:space="preserve">Clinicians are more present in sessions</w:t>
      </w:r>
    </w:p>
    <w:p>
      <w:pPr>
        <w:spacing w:before="60" w:after="120"/>
      </w:pPr>
      <w:r>
        <w:rPr>
          <w:rFonts w:ascii="Arial" w:cs="Arial" w:eastAsia="Arial" w:hAnsi="Arial"/>
          <w:color w:val="000000"/>
          <w:sz w:val="28"/>
          <w:szCs w:val="28"/>
        </w:rPr>
        <w:t xml:space="preserve">Both pilots produced consistent, unprompted feedback that removing the need to type during sessions changed the quality of clinical interaction. Clinicians observed more, followed the child’s lead more naturally, and described richer assessments as a result. Families felt more heard.</w:t>
      </w:r>
    </w:p>
    <w:p>
      <w:pPr>
        <w:pStyle w:val="Bodyquote"/>
      </w:pPr>
      <w:r>
        <w:rPr>
          <w:rFonts w:ascii="Arial" w:cs="Arial" w:eastAsia="Arial" w:hAnsi="Arial"/>
          <w:i/>
          <w:iCs/>
          <w:color w:val="307162"/>
          <w:sz w:val="28"/>
          <w:szCs w:val="28"/>
        </w:rPr>
        <w:t xml:space="preserve">“It takes the pressure off trying to play and write at the same time.”</w:t>
      </w:r>
    </w:p>
    <w:p>
      <w:pPr>
        <w:pStyle w:val="Heading2"/>
      </w:pPr>
      <w:r>
        <w:rPr>
          <w:rFonts w:ascii="Arial" w:cs="Arial" w:eastAsia="Arial" w:hAnsi="Arial"/>
          <w:b/>
          <w:bCs/>
          <w:color w:val="007361"/>
          <w:sz w:val="40"/>
          <w:szCs w:val="40"/>
        </w:rPr>
        <w:t xml:space="preserve">Reports contain more detail</w:t>
      </w:r>
    </w:p>
    <w:p>
      <w:pPr>
        <w:spacing w:before="60" w:after="120"/>
      </w:pPr>
      <w:r>
        <w:rPr>
          <w:rFonts w:ascii="Arial" w:cs="Arial" w:eastAsia="Arial" w:hAnsi="Arial"/>
          <w:color w:val="000000"/>
          <w:sz w:val="28"/>
          <w:szCs w:val="28"/>
        </w:rPr>
        <w:t xml:space="preserve">Across both pilots, clinicians noted that Magic Notes produced reports with more detail, more verbatim quotes, and better-structured information than they could produce manually in the same time. The quality ratings reflect this: 97% of CTM ratings, and approximately 85% of HD Autism ratings (excl. panel), reported improvement.</w:t>
      </w:r>
    </w:p>
    <w:p>
      <w:pPr>
        <w:pStyle w:val="Heading2"/>
      </w:pPr>
      <w:r>
        <w:rPr>
          <w:rFonts w:ascii="Arial" w:cs="Arial" w:eastAsia="Arial" w:hAnsi="Arial"/>
          <w:b/>
          <w:bCs/>
          <w:color w:val="007361"/>
          <w:sz w:val="40"/>
          <w:szCs w:val="40"/>
        </w:rPr>
        <w:t xml:space="preserve">The tool works best for live session capture</w:t>
      </w:r>
    </w:p>
    <w:p>
      <w:pPr>
        <w:spacing w:before="60" w:after="120"/>
      </w:pPr>
      <w:r>
        <w:rPr>
          <w:rFonts w:ascii="Arial" w:cs="Arial" w:eastAsia="Arial" w:hAnsi="Arial"/>
          <w:color w:val="000000"/>
          <w:sz w:val="28"/>
          <w:szCs w:val="28"/>
        </w:rPr>
        <w:t xml:space="preserve">The clearest consensus across both teams is that Magic Notes performs most reliably when used for a live session — capturing conversation in real time and producing a draft report from that recording. The more a workflow involves assembling pre-existing documents, the more variable the experience becomes.</w:t>
      </w:r>
    </w:p>
    <w:p>
      <w:pPr>
        <w:pStyle w:val="Heading2"/>
      </w:pPr>
      <w:r>
        <w:rPr>
          <w:rFonts w:ascii="Arial" w:cs="Arial" w:eastAsia="Arial" w:hAnsi="Arial"/>
          <w:b/>
          <w:bCs/>
          <w:color w:val="007361"/>
          <w:sz w:val="40"/>
          <w:szCs w:val="40"/>
        </w:rPr>
        <w:t xml:space="preserve">Accuracy requires checking</w:t>
      </w:r>
    </w:p>
    <w:p>
      <w:pPr>
        <w:spacing w:before="60" w:after="120"/>
      </w:pPr>
      <w:r>
        <w:rPr>
          <w:rFonts w:ascii="Arial" w:cs="Arial" w:eastAsia="Arial" w:hAnsi="Arial"/>
          <w:color w:val="000000"/>
          <w:sz w:val="28"/>
          <w:szCs w:val="28"/>
        </w:rPr>
        <w:t xml:space="preserve">Both teams were clear that Magic Notes output is a draft requiring review, not a final document. Specific risks — medication hallucinations (ADHD), summarisation of clinical nuance (ADOS), Welsh-medium sessions (CTM) — require clinician oversight before any output is used.</w:t>
      </w:r>
    </w:p>
    <w:p>
      <w:r>
        <w:br w:type="page"/>
      </w:r>
    </w:p>
    <w:p>
      <w:pPr>
        <w:pStyle w:val="Heading1"/>
      </w:pPr>
      <w:r>
        <w:rPr>
          <w:rFonts w:ascii="Arial" w:cs="Arial" w:eastAsia="Arial" w:hAnsi="Arial"/>
          <w:b/>
          <w:bCs/>
          <w:color w:val="000000"/>
          <w:sz w:val="56"/>
          <w:szCs w:val="56"/>
        </w:rPr>
        <w:t xml:space="preserve">7. Challenges and limitations</w:t>
      </w:r>
    </w:p>
    <w:p>
      <w:pPr>
        <w:pStyle w:val="Heading2"/>
      </w:pPr>
      <w:r>
        <w:rPr>
          <w:rFonts w:ascii="Arial" w:cs="Arial" w:eastAsia="Arial" w:hAnsi="Arial"/>
          <w:b/>
          <w:bCs/>
          <w:color w:val="007361"/>
          <w:sz w:val="40"/>
          <w:szCs w:val="40"/>
        </w:rPr>
        <w:t xml:space="preserve">Multi-source document merging (HD Autism team)</w:t>
      </w:r>
    </w:p>
    <w:p>
      <w:pPr>
        <w:spacing w:before="60" w:after="120"/>
      </w:pPr>
      <w:r>
        <w:rPr>
          <w:rFonts w:ascii="Arial" w:cs="Arial" w:eastAsia="Arial" w:hAnsi="Arial"/>
          <w:color w:val="000000"/>
          <w:sz w:val="28"/>
          <w:szCs w:val="28"/>
        </w:rPr>
        <w:t xml:space="preserve">When multiple documents are uploaded to a single panel report, the tool merges content across sections in ways that require significant checking and correction. School questionnaire information was placed in the clinical observation section; parental reports were attributed as clinician observations. Several clinicians found panel preparation took longer with Magic Notes than without as a result.</w:t>
      </w:r>
    </w:p>
    <w:p>
      <w:pPr>
        <w:spacing w:before="60" w:after="120"/>
      </w:pPr>
      <w:r>
        <w:rPr>
          <w:rFonts w:ascii="Arial" w:cs="Arial" w:eastAsia="Arial" w:hAnsi="Arial"/>
          <w:color w:val="000000"/>
          <w:sz w:val="28"/>
          <w:szCs w:val="28"/>
        </w:rPr>
        <w:t xml:space="preserve">A blank template or plain document output option was the most consistently requested improvement. This is the priority development item for specialist autism pathway use.</w:t>
      </w:r>
    </w:p>
    <w:p>
      <w:pPr>
        <w:pStyle w:val="Heading2"/>
      </w:pPr>
      <w:r>
        <w:rPr>
          <w:rFonts w:ascii="Arial" w:cs="Arial" w:eastAsia="Arial" w:hAnsi="Arial"/>
          <w:b/>
          <w:bCs/>
          <w:color w:val="007361"/>
          <w:sz w:val="40"/>
          <w:szCs w:val="40"/>
        </w:rPr>
        <w:t xml:space="preserve">Welsh language (CTM)</w:t>
      </w:r>
    </w:p>
    <w:p>
      <w:pPr>
        <w:spacing w:before="60" w:after="120"/>
      </w:pPr>
      <w:r>
        <w:rPr>
          <w:rFonts w:ascii="Arial" w:cs="Arial" w:eastAsia="Arial" w:hAnsi="Arial"/>
          <w:color w:val="000000"/>
          <w:sz w:val="28"/>
          <w:szCs w:val="28"/>
        </w:rPr>
        <w:t xml:space="preserve">Hallucinations were observed in Welsh-medium sessions during the CTM pilot. The tool is not currently safe for Welsh-only clinical use. This must be addressed — and tested — before Magic Notes is recommended for Welsh-language services.</w:t>
      </w:r>
    </w:p>
    <w:p>
      <w:pPr>
        <w:pStyle w:val="Heading2"/>
      </w:pPr>
      <w:r>
        <w:rPr>
          <w:rFonts w:ascii="Arial" w:cs="Arial" w:eastAsia="Arial" w:hAnsi="Arial"/>
          <w:b/>
          <w:bCs/>
          <w:color w:val="007361"/>
          <w:sz w:val="40"/>
          <w:szCs w:val="40"/>
        </w:rPr>
        <w:t xml:space="preserve">Medication hallucinations (HD ADHD team)</w:t>
      </w:r>
    </w:p>
    <w:p>
      <w:pPr>
        <w:spacing w:before="60" w:after="120"/>
      </w:pPr>
      <w:r>
        <w:rPr>
          <w:rFonts w:ascii="Arial" w:cs="Arial" w:eastAsia="Arial" w:hAnsi="Arial"/>
          <w:color w:val="000000"/>
          <w:sz w:val="28"/>
          <w:szCs w:val="28"/>
        </w:rPr>
        <w:t xml:space="preserve">Magic Notes hallucinated medication names and dosages in two ADHD review sessions. All medication references must be independently verified. This risk must be formally documented and communicated to any service using the tool for medication-related tasks.</w:t>
      </w:r>
    </w:p>
    <w:p>
      <w:pPr>
        <w:pStyle w:val="Heading2"/>
      </w:pPr>
      <w:r>
        <w:rPr>
          <w:rFonts w:ascii="Arial" w:cs="Arial" w:eastAsia="Arial" w:hAnsi="Arial"/>
          <w:b/>
          <w:bCs/>
          <w:color w:val="007361"/>
          <w:sz w:val="40"/>
          <w:szCs w:val="40"/>
        </w:rPr>
        <w:t xml:space="preserve">ADOS clinical nuance (HD Autism team)</w:t>
      </w:r>
    </w:p>
    <w:p>
      <w:pPr>
        <w:spacing w:before="60" w:after="120"/>
      </w:pPr>
      <w:r>
        <w:rPr>
          <w:rFonts w:ascii="Arial" w:cs="Arial" w:eastAsia="Arial" w:hAnsi="Arial"/>
          <w:color w:val="000000"/>
          <w:sz w:val="28"/>
          <w:szCs w:val="28"/>
        </w:rPr>
        <w:t xml:space="preserve">In ADOS sessions, the tool sometimes generalised communication ability from limited cues, losing clinically significant detail. This is not a reason to avoid using the tool for ADOS, but it requires careful review of the relevant sections.</w:t>
      </w:r>
    </w:p>
    <w:p>
      <w:pPr>
        <w:pStyle w:val="Heading2"/>
      </w:pPr>
      <w:r>
        <w:rPr>
          <w:rFonts w:ascii="Arial" w:cs="Arial" w:eastAsia="Arial" w:hAnsi="Arial"/>
          <w:b/>
          <w:bCs/>
          <w:color w:val="007361"/>
          <w:sz w:val="40"/>
          <w:szCs w:val="40"/>
        </w:rPr>
        <w:t xml:space="preserve">Technical access</w:t>
      </w:r>
    </w:p>
    <w:p>
      <w:pPr>
        <w:pStyle w:val="ListParagraph"/>
        <w:numPr>
          <w:ilvl w:val="0"/>
          <w:numId w:val="2"/>
        </w:numPr>
      </w:pPr>
      <w:r>
        <w:rPr>
          <w:rFonts w:ascii="Arial" w:cs="Arial" w:eastAsia="Arial" w:hAnsi="Arial"/>
          <w:color w:val="000000"/>
          <w:sz w:val="28"/>
          <w:szCs w:val="28"/>
        </w:rPr>
        <w:t xml:space="preserve">Phone screen locking during sessions stopped recording mid-appointment</w:t>
      </w:r>
    </w:p>
    <w:p>
      <w:pPr>
        <w:pStyle w:val="ListParagraph"/>
        <w:numPr>
          <w:ilvl w:val="0"/>
          <w:numId w:val="2"/>
        </w:numPr>
      </w:pPr>
      <w:r>
        <w:rPr>
          <w:rFonts w:ascii="Arial" w:cs="Arial" w:eastAsia="Arial" w:hAnsi="Arial"/>
          <w:color w:val="000000"/>
          <w:sz w:val="28"/>
          <w:szCs w:val="28"/>
        </w:rPr>
        <w:t xml:space="preserve">Login passcode delays caused families to wait</w:t>
      </w:r>
    </w:p>
    <w:p>
      <w:pPr>
        <w:pStyle w:val="ListParagraph"/>
        <w:numPr>
          <w:ilvl w:val="0"/>
          <w:numId w:val="2"/>
        </w:numPr>
      </w:pPr>
      <w:r>
        <w:rPr>
          <w:rFonts w:ascii="Arial" w:cs="Arial" w:eastAsia="Arial" w:hAnsi="Arial"/>
          <w:color w:val="000000"/>
          <w:sz w:val="28"/>
          <w:szCs w:val="28"/>
        </w:rPr>
        <w:t xml:space="preserve">Intermittent connectivity affected reliability in some locations</w:t>
      </w:r>
    </w:p>
    <w:p>
      <w:pPr>
        <w:pStyle w:val="ListParagraph"/>
        <w:numPr>
          <w:ilvl w:val="0"/>
          <w:numId w:val="2"/>
        </w:numPr>
      </w:pPr>
      <w:r>
        <w:rPr>
          <w:rFonts w:ascii="Arial" w:cs="Arial" w:eastAsia="Arial" w:hAnsi="Arial"/>
          <w:color w:val="000000"/>
          <w:sz w:val="28"/>
          <w:szCs w:val="28"/>
        </w:rPr>
        <w:t xml:space="preserve">Some IT policies initially blocked access (resolved during CTM pilot)</w:t>
      </w:r>
    </w:p>
    <w:p>
      <w:r>
        <w:br w:type="page"/>
      </w:r>
    </w:p>
    <w:p>
      <w:pPr>
        <w:pStyle w:val="Heading1"/>
      </w:pPr>
      <w:r>
        <w:rPr>
          <w:rFonts w:ascii="Arial" w:cs="Arial" w:eastAsia="Arial" w:hAnsi="Arial"/>
          <w:b/>
          <w:bCs/>
          <w:color w:val="000000"/>
          <w:sz w:val="56"/>
          <w:szCs w:val="56"/>
        </w:rPr>
        <w:t xml:space="preserve">8. Cross-pilot comparison</w:t>
      </w:r>
    </w:p>
    <w:tbl>
      <w:tblPr>
        <w:tblW w:type="dxa" w:w="9639"/>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3400"/>
        <w:gridCol w:w="3839"/>
      </w:tblGrid>
      <w:tr>
        <w:trPr>
          <w:tblHeader/>
        </w:trPr>
        <w:tc>
          <w:tcPr>
            <w:tcW w:type="dxa" w:w="24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Dimension</w:t>
            </w:r>
          </w:p>
        </w:tc>
        <w:tc>
          <w:tcPr>
            <w:tcW w:type="dxa" w:w="3400"/>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CTM (Oct–Nov 2025)</w:t>
            </w:r>
          </w:p>
        </w:tc>
        <w:tc>
          <w:tcPr>
            <w:tcW w:type="dxa" w:w="3839"/>
            <w:tcBorders>
              <w:top w:val="single" w:color="AAAAAA" w:sz="4"/>
              <w:left w:val="single" w:color="AAAAAA" w:sz="4"/>
              <w:bottom w:val="single" w:color="AAAAAA" w:sz="4"/>
              <w:right w:val="single" w:color="AAAAAA" w:sz="4"/>
            </w:tcBorders>
            <w:shd w:fill="00313F" w:val="clear"/>
            <w:tcMar>
              <w:top w:type="dxa" w:w="80"/>
              <w:left w:type="dxa" w:w="120"/>
              <w:bottom w:type="dxa" w:w="80"/>
              <w:right w:type="dxa" w:w="120"/>
            </w:tcMar>
          </w:tcPr>
          <w:p>
            <w:pPr>
              <w:jc w:val="left"/>
            </w:pPr>
            <w:r>
              <w:rPr>
                <w:rFonts w:ascii="Arial" w:cs="Arial" w:eastAsia="Arial" w:hAnsi="Arial"/>
                <w:b/>
                <w:bCs/>
                <w:color w:val="FFFFFF"/>
                <w:sz w:val="24"/>
                <w:szCs w:val="24"/>
              </w:rPr>
              <w:t xml:space="preserve">Hywel Dda (Oct 2025–)</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Service type</w:t>
            </w:r>
          </w:p>
        </w:tc>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General ND — children’s</w:t>
            </w:r>
          </w:p>
        </w:tc>
        <w:tc>
          <w:tcPr>
            <w:tcW w:type="dxa" w:w="38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Specialist autism + ADHD</w:t>
            </w:r>
          </w:p>
        </w:tc>
      </w:tr>
      <w:tr>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Design</w:t>
            </w:r>
          </w:p>
        </w:tc>
        <w:tc>
          <w:tcPr>
            <w:tcW w:type="dxa" w:w="3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6-week structured experiment</w:t>
            </w:r>
          </w:p>
        </w:tc>
        <w:tc>
          <w:tcPr>
            <w:tcW w:type="dxa" w:w="38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Continuous diary study</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Sessions logged</w:t>
            </w:r>
          </w:p>
        </w:tc>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726 tasks</w:t>
            </w:r>
          </w:p>
        </w:tc>
        <w:tc>
          <w:tcPr>
            <w:tcW w:type="dxa" w:w="38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57+ (Autism) + 10 (ADHD)</w:t>
            </w:r>
          </w:p>
        </w:tc>
      </w:tr>
      <w:tr>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Avg ease of use</w:t>
            </w:r>
          </w:p>
        </w:tc>
        <w:tc>
          <w:tcPr>
            <w:tcW w:type="dxa" w:w="3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4.9 / 5</w:t>
            </w:r>
          </w:p>
        </w:tc>
        <w:tc>
          <w:tcPr>
            <w:tcW w:type="dxa" w:w="38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3.94 (Autism) / 4.5 (ADHD) / 5</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Quality improved</w:t>
            </w:r>
          </w:p>
        </w:tc>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97%</w:t>
            </w:r>
          </w:p>
        </w:tc>
        <w:tc>
          <w:tcPr>
            <w:tcW w:type="dxa" w:w="38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~85% Autism (excl. panel) / 100% ADHD</w:t>
            </w:r>
          </w:p>
        </w:tc>
      </w:tr>
      <w:tr>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Strongest saving</w:t>
            </w:r>
          </w:p>
        </w:tc>
        <w:tc>
          <w:tcPr>
            <w:tcW w:type="dxa" w:w="3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72–80% (write-up)</w:t>
            </w:r>
          </w:p>
        </w:tc>
        <w:tc>
          <w:tcPr>
            <w:tcW w:type="dxa" w:w="38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76% (final report) / 81% (other uses)</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Most variable task</w:t>
            </w:r>
          </w:p>
        </w:tc>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Back-to-back write-up</w:t>
            </w:r>
          </w:p>
        </w:tc>
        <w:tc>
          <w:tcPr>
            <w:tcW w:type="dxa" w:w="38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Panel preparation (multi-source)</w:t>
            </w:r>
          </w:p>
        </w:tc>
      </w:tr>
      <w:tr>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Welsh language</w:t>
            </w:r>
          </w:p>
        </w:tc>
        <w:tc>
          <w:tcPr>
            <w:tcW w:type="dxa" w:w="3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Hallucinations observed</w:t>
            </w:r>
          </w:p>
        </w:tc>
        <w:tc>
          <w:tcPr>
            <w:tcW w:type="dxa" w:w="38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Not yet tested</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Medication risk</w:t>
            </w:r>
          </w:p>
        </w:tc>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Not flagged</w:t>
            </w:r>
          </w:p>
        </w:tc>
        <w:tc>
          <w:tcPr>
            <w:tcW w:type="dxa" w:w="3839"/>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Hallucinations in ADHD reviews</w:t>
            </w:r>
          </w:p>
        </w:tc>
      </w:tr>
      <w:tr>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Key unresolved</w:t>
            </w:r>
          </w:p>
        </w:tc>
        <w:tc>
          <w:tcPr>
            <w:tcW w:type="dxa" w:w="3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Welsh-medium safety</w:t>
            </w:r>
          </w:p>
        </w:tc>
        <w:tc>
          <w:tcPr>
            <w:tcW w:type="dxa" w:w="383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4"/>
                <w:szCs w:val="24"/>
              </w:rPr>
              <w:t xml:space="preserve">Multi-source document merging</w:t>
            </w:r>
          </w:p>
        </w:tc>
      </w:tr>
    </w:tbl>
    <w:p>
      <w:r>
        <w:br w:type="page"/>
      </w:r>
    </w:p>
    <w:p>
      <w:pPr>
        <w:pStyle w:val="Heading1"/>
      </w:pPr>
      <w:r>
        <w:rPr>
          <w:rFonts w:ascii="Arial" w:cs="Arial" w:eastAsia="Arial" w:hAnsi="Arial"/>
          <w:b/>
          <w:bCs/>
          <w:color w:val="000000"/>
          <w:sz w:val="56"/>
          <w:szCs w:val="56"/>
        </w:rPr>
        <w:t xml:space="preserve">9. Recommendations</w:t>
      </w:r>
    </w:p>
    <w:p>
      <w:pPr>
        <w:pStyle w:val="Heading2"/>
      </w:pPr>
      <w:r>
        <w:rPr>
          <w:rFonts w:ascii="Arial" w:cs="Arial" w:eastAsia="Arial" w:hAnsi="Arial"/>
          <w:b/>
          <w:bCs/>
          <w:color w:val="007361"/>
          <w:sz w:val="40"/>
          <w:szCs w:val="40"/>
        </w:rPr>
        <w:t xml:space="preserve">For Magic Notes / Beam</w:t>
      </w:r>
    </w:p>
    <w:p>
      <w:pPr>
        <w:pStyle w:val="ListParagraph"/>
        <w:numPr>
          <w:ilvl w:val="0"/>
          <w:numId w:val="2"/>
        </w:numPr>
      </w:pPr>
      <w:r>
        <w:rPr>
          <w:rFonts w:ascii="Arial" w:cs="Arial" w:eastAsia="Arial" w:hAnsi="Arial"/>
          <w:b/>
          <w:bCs/>
          <w:sz w:val="28"/>
          <w:szCs w:val="28"/>
        </w:rPr>
        <w:t xml:space="preserve">Multi-source document separation: </w:t>
      </w:r>
      <w:r>
        <w:rPr>
          <w:rFonts w:ascii="Arial" w:cs="Arial" w:eastAsia="Arial" w:hAnsi="Arial"/>
          <w:sz w:val="28"/>
          <w:szCs w:val="28"/>
        </w:rPr>
        <w:t xml:space="preserve">the most-requested improvement from the HD Autism team. Documents from different sources must stay in their designated sections when uploaded together.</w:t>
      </w:r>
    </w:p>
    <w:p>
      <w:pPr>
        <w:pStyle w:val="ListParagraph"/>
        <w:numPr>
          <w:ilvl w:val="0"/>
          <w:numId w:val="2"/>
        </w:numPr>
      </w:pPr>
      <w:r>
        <w:rPr>
          <w:rFonts w:ascii="Arial" w:cs="Arial" w:eastAsia="Arial" w:hAnsi="Arial"/>
          <w:b/>
          <w:bCs/>
          <w:sz w:val="28"/>
          <w:szCs w:val="28"/>
        </w:rPr>
        <w:t xml:space="preserve">Plain / blank document output: </w:t>
      </w:r>
      <w:r>
        <w:rPr>
          <w:rFonts w:ascii="Arial" w:cs="Arial" w:eastAsia="Arial" w:hAnsi="Arial"/>
          <w:sz w:val="28"/>
          <w:szCs w:val="28"/>
        </w:rPr>
        <w:t xml:space="preserve">allow capture and transcription without forcing content into a pre-structured template. Multiple clinicians requested this.</w:t>
      </w:r>
    </w:p>
    <w:p>
      <w:pPr>
        <w:pStyle w:val="ListParagraph"/>
        <w:numPr>
          <w:ilvl w:val="0"/>
          <w:numId w:val="2"/>
        </w:numPr>
      </w:pPr>
      <w:r>
        <w:rPr>
          <w:rFonts w:ascii="Arial" w:cs="Arial" w:eastAsia="Arial" w:hAnsi="Arial"/>
          <w:b/>
          <w:bCs/>
          <w:sz w:val="28"/>
          <w:szCs w:val="28"/>
        </w:rPr>
        <w:t xml:space="preserve">Welsh-language accuracy: </w:t>
      </w:r>
      <w:r>
        <w:rPr>
          <w:rFonts w:ascii="Arial" w:cs="Arial" w:eastAsia="Arial" w:hAnsi="Arial"/>
          <w:sz w:val="28"/>
          <w:szCs w:val="28"/>
        </w:rPr>
        <w:t xml:space="preserve">essential before NHS Wales-wide rollout. Hallucinations in Welsh-medium sessions are a clinical safety concern.</w:t>
      </w:r>
    </w:p>
    <w:p>
      <w:pPr>
        <w:pStyle w:val="ListParagraph"/>
        <w:numPr>
          <w:ilvl w:val="0"/>
          <w:numId w:val="2"/>
        </w:numPr>
      </w:pPr>
      <w:r>
        <w:rPr>
          <w:rFonts w:ascii="Arial" w:cs="Arial" w:eastAsia="Arial" w:hAnsi="Arial"/>
          <w:b/>
          <w:bCs/>
          <w:sz w:val="28"/>
          <w:szCs w:val="28"/>
        </w:rPr>
        <w:t xml:space="preserve">Flag low-confidence output: </w:t>
      </w:r>
      <w:r>
        <w:rPr>
          <w:rFonts w:ascii="Arial" w:cs="Arial" w:eastAsia="Arial" w:hAnsi="Arial"/>
          <w:sz w:val="28"/>
          <w:szCs w:val="28"/>
        </w:rPr>
        <w:t xml:space="preserve">indicate where the tool is uncertain, particularly for medication, diagnostic detail, and attribution.</w:t>
      </w:r>
    </w:p>
    <w:p>
      <w:pPr>
        <w:pStyle w:val="Heading2"/>
      </w:pPr>
      <w:r>
        <w:rPr>
          <w:rFonts w:ascii="Arial" w:cs="Arial" w:eastAsia="Arial" w:hAnsi="Arial"/>
          <w:b/>
          <w:bCs/>
          <w:color w:val="007361"/>
          <w:sz w:val="40"/>
          <w:szCs w:val="40"/>
        </w:rPr>
        <w:t xml:space="preserve">For NHS Wales / service leads</w:t>
      </w:r>
    </w:p>
    <w:p>
      <w:pPr>
        <w:pStyle w:val="ListParagraph"/>
        <w:numPr>
          <w:ilvl w:val="0"/>
          <w:numId w:val="2"/>
        </w:numPr>
      </w:pPr>
      <w:r>
        <w:rPr>
          <w:rFonts w:ascii="Arial" w:cs="Arial" w:eastAsia="Arial" w:hAnsi="Arial"/>
          <w:b/>
          <w:bCs/>
          <w:sz w:val="28"/>
          <w:szCs w:val="28"/>
        </w:rPr>
        <w:t xml:space="preserve">Confirm IG status: </w:t>
      </w:r>
      <w:r>
        <w:rPr>
          <w:rFonts w:ascii="Arial" w:cs="Arial" w:eastAsia="Arial" w:hAnsi="Arial"/>
          <w:sz w:val="28"/>
          <w:szCs w:val="28"/>
        </w:rPr>
        <w:t xml:space="preserve">verify against WHC guidance 2025/026 before wider rollout.</w:t>
      </w:r>
    </w:p>
    <w:p>
      <w:pPr>
        <w:pStyle w:val="ListParagraph"/>
        <w:numPr>
          <w:ilvl w:val="0"/>
          <w:numId w:val="2"/>
        </w:numPr>
      </w:pPr>
      <w:r>
        <w:rPr>
          <w:rFonts w:ascii="Arial" w:cs="Arial" w:eastAsia="Arial" w:hAnsi="Arial"/>
          <w:b/>
          <w:bCs/>
          <w:sz w:val="28"/>
          <w:szCs w:val="28"/>
        </w:rPr>
        <w:t xml:space="preserve">Do not mandate panel preparation: </w:t>
      </w:r>
      <w:r>
        <w:rPr>
          <w:rFonts w:ascii="Arial" w:cs="Arial" w:eastAsia="Arial" w:hAnsi="Arial"/>
          <w:sz w:val="28"/>
          <w:szCs w:val="28"/>
        </w:rPr>
        <w:t xml:space="preserve">until multi-source document merging is resolved, panel case preparation using uploaded documents should not be mandated.</w:t>
      </w:r>
    </w:p>
    <w:p>
      <w:pPr>
        <w:pStyle w:val="ListParagraph"/>
        <w:numPr>
          <w:ilvl w:val="0"/>
          <w:numId w:val="2"/>
        </w:numPr>
      </w:pPr>
      <w:r>
        <w:rPr>
          <w:rFonts w:ascii="Arial" w:cs="Arial" w:eastAsia="Arial" w:hAnsi="Arial"/>
          <w:b/>
          <w:bCs/>
          <w:sz w:val="28"/>
          <w:szCs w:val="28"/>
        </w:rPr>
        <w:t xml:space="preserve">Communicate medication risk: </w:t>
      </w:r>
      <w:r>
        <w:rPr>
          <w:rFonts w:ascii="Arial" w:cs="Arial" w:eastAsia="Arial" w:hAnsi="Arial"/>
          <w:sz w:val="28"/>
          <w:szCs w:val="28"/>
        </w:rPr>
        <w:t xml:space="preserve">formally document and communicate the medication hallucination finding to any service considering ADHD medication review use.</w:t>
      </w:r>
    </w:p>
    <w:p>
      <w:pPr>
        <w:pStyle w:val="ListParagraph"/>
        <w:numPr>
          <w:ilvl w:val="0"/>
          <w:numId w:val="2"/>
        </w:numPr>
      </w:pPr>
      <w:r>
        <w:rPr>
          <w:rFonts w:ascii="Arial" w:cs="Arial" w:eastAsia="Arial" w:hAnsi="Arial"/>
          <w:b/>
          <w:bCs/>
          <w:sz w:val="28"/>
          <w:szCs w:val="28"/>
        </w:rPr>
        <w:t xml:space="preserve">Test Welsh-language safety: </w:t>
      </w:r>
      <w:r>
        <w:rPr>
          <w:rFonts w:ascii="Arial" w:cs="Arial" w:eastAsia="Arial" w:hAnsi="Arial"/>
          <w:sz w:val="28"/>
          <w:szCs w:val="28"/>
        </w:rPr>
        <w:t xml:space="preserve">before any recommendation for Welsh-medium clinical use.</w:t>
      </w:r>
    </w:p>
    <w:p>
      <w:pPr>
        <w:pStyle w:val="ListParagraph"/>
        <w:numPr>
          <w:ilvl w:val="0"/>
          <w:numId w:val="2"/>
        </w:numPr>
      </w:pPr>
      <w:r>
        <w:rPr>
          <w:rFonts w:ascii="Arial" w:cs="Arial" w:eastAsia="Arial" w:hAnsi="Arial"/>
          <w:b/>
          <w:bCs/>
          <w:sz w:val="28"/>
          <w:szCs w:val="28"/>
        </w:rPr>
        <w:t xml:space="preserve">Share template libraries: </w:t>
      </w:r>
      <w:r>
        <w:rPr>
          <w:rFonts w:ascii="Arial" w:cs="Arial" w:eastAsia="Arial" w:hAnsi="Arial"/>
          <w:sz w:val="28"/>
          <w:szCs w:val="28"/>
        </w:rPr>
        <w:t xml:space="preserve">both pilots have developed template refinements. A shared cross-health-board library would avoid duplication.</w:t>
      </w:r>
    </w:p>
    <w:p>
      <w:pPr>
        <w:pStyle w:val="ListParagraph"/>
        <w:numPr>
          <w:ilvl w:val="0"/>
          <w:numId w:val="2"/>
        </w:numPr>
      </w:pPr>
      <w:r>
        <w:rPr>
          <w:rFonts w:ascii="Arial" w:cs="Arial" w:eastAsia="Arial" w:hAnsi="Arial"/>
          <w:b/>
          <w:bCs/>
          <w:sz w:val="28"/>
          <w:szCs w:val="28"/>
        </w:rPr>
        <w:t xml:space="preserve">Plan for learning time: </w:t>
      </w:r>
      <w:r>
        <w:rPr>
          <w:rFonts w:ascii="Arial" w:cs="Arial" w:eastAsia="Arial" w:hAnsi="Arial"/>
          <w:sz w:val="28"/>
          <w:szCs w:val="28"/>
        </w:rPr>
        <w:t xml:space="preserve">allocate protected time for a 3–5 session learning curve. New users consistently need this before seeing full benefit.</w:t>
      </w:r>
    </w:p>
    <w:p>
      <w:r>
        <w:br w:type="page"/>
      </w:r>
    </w:p>
    <w:p>
      <w:pPr>
        <w:pStyle w:val="Heading1"/>
      </w:pPr>
      <w:r>
        <w:rPr>
          <w:rFonts w:ascii="Arial" w:cs="Arial" w:eastAsia="Arial" w:hAnsi="Arial"/>
          <w:b/>
          <w:bCs/>
          <w:color w:val="000000"/>
          <w:sz w:val="56"/>
          <w:szCs w:val="56"/>
        </w:rPr>
        <w:t xml:space="preserve">10. Conclusion</w:t>
      </w:r>
    </w:p>
    <w:p>
      <w:pPr>
        <w:spacing w:before="60" w:after="120"/>
      </w:pPr>
      <w:r>
        <w:rPr>
          <w:rFonts w:ascii="Arial" w:cs="Arial" w:eastAsia="Arial" w:hAnsi="Arial"/>
          <w:color w:val="000000"/>
          <w:sz w:val="28"/>
          <w:szCs w:val="28"/>
        </w:rPr>
        <w:t xml:space="preserve">Two NHS Wales ND teams, in two health boards, using one tool, have now produced a consistent picture: AI-assisted clinical documentation saves significant time, improves report quality, and changes the feel of clinical sessions in ways that benefit clinicians, children, and families.</w:t>
      </w:r>
    </w:p>
    <w:p>
      <w:pPr>
        <w:spacing w:before="60" w:after="120"/>
      </w:pPr>
      <w:r>
        <w:rPr>
          <w:rFonts w:ascii="Arial" w:cs="Arial" w:eastAsia="Arial" w:hAnsi="Arial"/>
          <w:color w:val="000000"/>
          <w:sz w:val="28"/>
          <w:szCs w:val="28"/>
        </w:rPr>
        <w:t xml:space="preserve">The evidence is not uniform. Panel case preparation for specialist autism pathways requires further development. Welsh-medium safety is unresolved. Medication hallucinations need formal protocols. These are solvable problems — but they require honest acknowledgement alongside the clear benefits.</w:t>
      </w:r>
    </w:p>
    <w:p>
      <w:pPr>
        <w:pStyle w:val="Leadquote"/>
      </w:pPr>
      <w:r>
        <w:rPr>
          <w:rFonts w:ascii="Arial" w:cs="Arial" w:eastAsia="Arial" w:hAnsi="Arial"/>
          <w:i/>
          <w:iCs/>
          <w:color w:val="307162"/>
          <w:sz w:val="36"/>
          <w:szCs w:val="36"/>
        </w:rPr>
        <w:t xml:space="preserve">“Magic Notes gave me back the part of my job I love.”</w:t>
      </w:r>
    </w:p>
    <w:p>
      <w:pPr>
        <w:spacing w:before="60" w:after="120"/>
      </w:pPr>
      <w:r>
        <w:rPr>
          <w:rFonts w:ascii="Arial" w:cs="Arial" w:eastAsia="Arial" w:hAnsi="Arial"/>
          <w:color w:val="000000"/>
          <w:sz w:val="28"/>
          <w:szCs w:val="28"/>
        </w:rPr>
        <w:t xml:space="preserve">The case for continued and expanded adoption is strong. The next step is collaborative development: templates refined jointly, Welsh-language tested, document handling improved, and a shared evidence base built across Welsh ND services.</w:t>
      </w:r>
    </w:p>
    <w:p>
      <w:r>
        <w:br w:type="page"/>
      </w:r>
    </w:p>
    <w:p>
      <w:pPr>
        <w:pStyle w:val="Heading1"/>
      </w:pPr>
      <w:r>
        <w:rPr>
          <w:rFonts w:ascii="Arial" w:cs="Arial" w:eastAsia="Arial" w:hAnsi="Arial"/>
          <w:b/>
          <w:bCs/>
          <w:color w:val="000000"/>
          <w:sz w:val="56"/>
          <w:szCs w:val="56"/>
        </w:rPr>
        <w:t xml:space="preserve">11. Project team</w:t>
      </w:r>
    </w:p>
    <w:p>
      <w:pPr>
        <w:spacing w:before="60" w:after="120"/>
      </w:pPr>
      <w:r>
        <w:rPr>
          <w:rFonts w:ascii="Arial" w:cs="Arial" w:eastAsia="Arial" w:hAnsi="Arial"/>
          <w:color w:val="000000"/>
          <w:sz w:val="28"/>
          <w:szCs w:val="28"/>
        </w:rPr>
        <w:t xml:space="preserve">If you would like to learn more about this work or discuss how these findings could support your service, please get in touch.</w:t>
      </w:r>
    </w:p>
    <w:p>
      <w:pPr>
        <w:pStyle w:val="Heading2"/>
      </w:pPr>
      <w:r>
        <w:rPr>
          <w:rFonts w:ascii="Arial" w:cs="Arial" w:eastAsia="Arial" w:hAnsi="Arial"/>
          <w:b/>
          <w:bCs/>
          <w:color w:val="007361"/>
          <w:sz w:val="40"/>
          <w:szCs w:val="40"/>
        </w:rPr>
        <w:t xml:space="preserve">The team</w:t>
      </w:r>
    </w:p>
    <w:p>
      <w:pPr>
        <w:spacing w:before="60" w:after="120"/>
      </w:pPr>
      <w:r>
        <w:rPr>
          <w:rFonts w:ascii="Arial" w:cs="Arial" w:eastAsia="Arial" w:hAnsi="Arial"/>
          <w:b/>
          <w:bCs/>
          <w:sz w:val="28"/>
          <w:szCs w:val="28"/>
        </w:rPr>
        <w:t xml:space="preserve">Dr Sally Rees, </w:t>
      </w:r>
      <w:r>
        <w:rPr>
          <w:rFonts w:ascii="Arial" w:cs="Arial" w:eastAsia="Arial" w:hAnsi="Arial"/>
          <w:sz w:val="28"/>
          <w:szCs w:val="28"/>
        </w:rPr>
        <w:t xml:space="preserve">Head of Evaluation and the Neurodivergence Policy Team (WG)</w:t>
      </w:r>
    </w:p>
    <w:p>
      <w:pPr>
        <w:spacing w:before="60" w:after="120"/>
      </w:pPr>
      <w:r>
        <w:rPr>
          <w:rFonts w:ascii="Arial" w:cs="Arial" w:eastAsia="Arial" w:hAnsi="Arial"/>
          <w:b/>
          <w:bCs/>
          <w:sz w:val="28"/>
          <w:szCs w:val="28"/>
        </w:rPr>
        <w:t xml:space="preserve">Joanna Goodwin, </w:t>
      </w:r>
      <w:r>
        <w:rPr>
          <w:rFonts w:ascii="Arial" w:cs="Arial" w:eastAsia="Arial" w:hAnsi="Arial"/>
          <w:sz w:val="28"/>
          <w:szCs w:val="28"/>
        </w:rPr>
        <w:t xml:space="preserve">Senior Responsible Officer (CDPS)</w:t>
      </w:r>
    </w:p>
    <w:p>
      <w:pPr>
        <w:spacing w:before="60" w:after="120"/>
      </w:pPr>
      <w:r>
        <w:rPr>
          <w:rFonts w:ascii="Arial" w:cs="Arial" w:eastAsia="Arial" w:hAnsi="Arial"/>
          <w:b/>
          <w:bCs/>
          <w:sz w:val="28"/>
          <w:szCs w:val="28"/>
        </w:rPr>
        <w:t xml:space="preserve">Kim Morley, </w:t>
      </w:r>
      <w:r>
        <w:rPr>
          <w:rFonts w:ascii="Arial" w:cs="Arial" w:eastAsia="Arial" w:hAnsi="Arial"/>
          <w:sz w:val="28"/>
          <w:szCs w:val="28"/>
        </w:rPr>
        <w:t xml:space="preserve">Delivery Manager (CDPS)</w:t>
      </w:r>
    </w:p>
    <w:p>
      <w:pPr>
        <w:spacing w:before="60" w:after="120"/>
      </w:pPr>
      <w:r>
        <w:rPr>
          <w:rFonts w:ascii="Arial" w:cs="Arial" w:eastAsia="Arial" w:hAnsi="Arial"/>
          <w:b/>
          <w:bCs/>
          <w:sz w:val="28"/>
          <w:szCs w:val="28"/>
        </w:rPr>
        <w:t xml:space="preserve">Dave Cunningham, </w:t>
      </w:r>
      <w:r>
        <w:rPr>
          <w:rFonts w:ascii="Arial" w:cs="Arial" w:eastAsia="Arial" w:hAnsi="Arial"/>
          <w:sz w:val="28"/>
          <w:szCs w:val="28"/>
        </w:rPr>
        <w:t xml:space="preserve">Service Designer (CDPS)</w:t>
      </w:r>
    </w:p>
    <w:p>
      <w:pPr>
        <w:spacing w:before="0" w:after="0"/>
      </w:pPr>
      <w:r>
        <w:t xml:space="preserve"/>
      </w:r>
    </w:p>
    <w:p>
      <w:pPr>
        <w:spacing w:before="0" w:after="0"/>
      </w:pPr>
      <w:r>
        <w:t xml:space="preserve"/>
      </w:r>
    </w:p>
    <w:p>
      <w:pPr>
        <w:pStyle w:val="Heading2"/>
      </w:pPr>
      <w:r>
        <w:rPr>
          <w:rFonts w:ascii="Arial" w:cs="Arial" w:eastAsia="Arial" w:hAnsi="Arial"/>
          <w:b/>
          <w:bCs/>
          <w:color w:val="007361"/>
          <w:sz w:val="40"/>
          <w:szCs w:val="40"/>
        </w:rPr>
        <w:t xml:space="preserve">Thank you to all the clinicians who took part in both pilots.</w:t>
      </w:r>
    </w:p>
    <w:p>
      <w:pPr>
        <w:spacing w:before="60" w:after="120"/>
      </w:pPr>
      <w:r>
        <w:rPr>
          <w:rFonts w:ascii="Arial" w:cs="Arial" w:eastAsia="Arial" w:hAnsi="Arial"/>
          <w:color w:val="000000"/>
          <w:sz w:val="28"/>
          <w:szCs w:val="28"/>
        </w:rPr>
        <w:t xml:space="preserve">Your time, honesty, and willingness to test something new across two health boards have built the first cross-Wales evidence base for AI-assisted documentation in neurodevelopmental services.</w:t>
      </w:r>
    </w:p>
    <w:sectPr>
      <w:footerReference w:type="default" r:id="rId6"/>
      <w:pgSz w:w="11906" w:h="16838" w:orient="portrait"/>
      <w:pgMar w:top="2355" w:right="827"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666666"/>
        <w:sz w:val="18"/>
        <w:szCs w:val="18"/>
      </w:rPr>
      <w:t xml:space="preserve">AI Scribe Pilot — Combined Report: CTM &amp; Hywel Dda   </w:t>
    </w:r>
    <w:r>
      <w:rPr>
        <w:rFonts w:ascii="Arial" w:cs="Arial" w:eastAsia="Arial" w:hAnsi="Arial"/>
        <w:color w:val="999999"/>
        <w:sz w:val="18"/>
        <w:szCs w:val="18"/>
      </w:rPr>
      <w:t xml:space="preserve">| digitalpublicservices.gov.wales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rPr>
        <w:rFonts w:ascii="Arial" w:cs="Arial" w:eastAsia="Arial" w:hAnsi="Arial"/>
        <w:sz w:val="28"/>
        <w:szCs w:val="28"/>
      </w:rPr>
    </w:lvl>
    <w:lvl w:ilvl="1" w15:tentative="1">
      <w:start w:val="1"/>
      <w:numFmt w:val="bullet"/>
      <w:lvlText w:val="◦"/>
      <w:lvlJc w:val="left"/>
      <w:pPr>
        <w:spacing w:before="40" w:after="40"/>
        <w:ind w:left="1080" w:hanging="360"/>
      </w:pPr>
      <w:rPr>
        <w:rFonts w:ascii="Arial" w:cs="Arial" w:eastAsia="Arial" w:hAnsi="Arial"/>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rotitle">
    <w:name w:val="Hero title"/>
    <w:basedOn w:val="Normal"/>
    <w:next w:val="Normal"/>
    <w:pPr>
      <w:spacing w:before="360" w:after="80" w:line="240" w:lineRule="exact"/>
      <w:outlineLvl w:val="0"/>
    </w:pPr>
    <w:rPr>
      <w:rFonts w:ascii="Arial" w:cs="Arial" w:eastAsia="Arial" w:hAnsi="Arial"/>
      <w:color w:val="307162"/>
      <w:sz w:val="96"/>
      <w:szCs w:val="96"/>
    </w:rPr>
  </w:style>
  <w:style w:type="paragraph" w:styleId="Heading1">
    <w:name w:val="Heading 1"/>
    <w:basedOn w:val="Normal"/>
    <w:next w:val="Normal"/>
    <w:qFormat/>
    <w:pPr>
      <w:spacing w:before="480" w:after="240"/>
      <w:outlineLvl w:val="0"/>
    </w:pPr>
    <w:rPr>
      <w:rFonts w:ascii="Arial" w:cs="Arial" w:eastAsia="Arial" w:hAnsi="Arial"/>
      <w:b/>
      <w:bCs/>
      <w:color w:val="000000"/>
      <w:sz w:val="56"/>
      <w:szCs w:val="56"/>
    </w:rPr>
  </w:style>
  <w:style w:type="paragraph" w:styleId="Heading2">
    <w:name w:val="Heading 2"/>
    <w:basedOn w:val="Normal"/>
    <w:next w:val="Normal"/>
    <w:qFormat/>
    <w:pPr>
      <w:spacing w:before="360" w:after="160"/>
      <w:outlineLvl w:val="1"/>
    </w:pPr>
    <w:rPr>
      <w:rFonts w:ascii="Arial" w:cs="Arial" w:eastAsia="Arial" w:hAnsi="Arial"/>
      <w:b/>
      <w:bCs/>
      <w:color w:val="007361"/>
      <w:sz w:val="40"/>
      <w:szCs w:val="40"/>
    </w:rPr>
  </w:style>
  <w:style w:type="paragraph" w:styleId="Heading3">
    <w:name w:val="Heading 3"/>
    <w:basedOn w:val="Normal"/>
    <w:next w:val="Normal"/>
    <w:qFormat/>
    <w:pPr>
      <w:spacing w:before="280" w:after="120"/>
      <w:outlineLvl w:val="2"/>
    </w:pPr>
    <w:rPr>
      <w:rFonts w:ascii="Arial" w:cs="Arial" w:eastAsia="Arial" w:hAnsi="Arial"/>
      <w:b/>
      <w:bCs/>
      <w:color w:val="00313F"/>
      <w:sz w:val="36"/>
      <w:szCs w:val="36"/>
    </w:rPr>
  </w:style>
  <w:style w:type="paragraph" w:styleId="H1-CDPS">
    <w:name w:val="H1 - CDPS"/>
    <w:basedOn w:val="Normal"/>
    <w:next w:val="Normal"/>
    <w:pPr>
      <w:spacing w:before="360" w:after="440"/>
    </w:pPr>
    <w:rPr>
      <w:rFonts w:ascii="Arial" w:cs="Arial" w:eastAsia="Arial" w:hAnsi="Arial"/>
      <w:b/>
      <w:bCs/>
      <w:color w:val="007361"/>
      <w:sz w:val="48"/>
      <w:szCs w:val="48"/>
    </w:rPr>
  </w:style>
  <w:style w:type="paragraph" w:styleId="Bodyquote">
    <w:name w:val="Body quote"/>
    <w:basedOn w:val="Normal"/>
    <w:next w:val="Normal"/>
    <w:pPr>
      <w:pBdr>
        <w:left w:val="single" w:color="307162" w:sz="12" w:space="10"/>
      </w:pBdr>
      <w:spacing w:before="200" w:after="320"/>
      <w:ind w:left="720"/>
    </w:pPr>
    <w:rPr>
      <w:rFonts w:ascii="Arial" w:cs="Arial" w:eastAsia="Arial" w:hAnsi="Arial"/>
      <w:i/>
      <w:iCs/>
      <w:color w:val="307162"/>
      <w:sz w:val="28"/>
      <w:szCs w:val="28"/>
    </w:rPr>
  </w:style>
  <w:style w:type="paragraph" w:styleId="Leadquote">
    <w:name w:val="Lead quote"/>
    <w:basedOn w:val="Normal"/>
    <w:next w:val="Normal"/>
    <w:pPr>
      <w:pBdr>
        <w:left w:val="single" w:color="307162" w:sz="16" w:space="10"/>
      </w:pBdr>
      <w:spacing w:before="240" w:after="240" w:line="240" w:lineRule="exact"/>
      <w:ind w:left="720"/>
    </w:pPr>
    <w:rPr>
      <w:rFonts w:ascii="Arial" w:cs="Arial" w:eastAsia="Arial" w:hAnsi="Arial"/>
      <w:i/>
      <w:iCs/>
      <w:color w:val="307162"/>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2026-03-16T13:09:17.065Z</dcterms:created>
  <dcterms:modified xsi:type="dcterms:W3CDTF">2026-03-16T13:09:17.065Z</dcterms:modified>
</cp:coreProperties>
</file>

<file path=docProps/custom.xml><?xml version="1.0" encoding="utf-8"?>
<Properties xmlns="http://schemas.openxmlformats.org/officeDocument/2006/custom-properties" xmlns:vt="http://schemas.openxmlformats.org/officeDocument/2006/docPropsVTypes"/>
</file>