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pStyle w:val="Herotitle"/>
      </w:pPr>
      <w:r>
        <w:rPr>
          <w:rFonts w:ascii="Arial" w:cs="Arial" w:eastAsia="Arial" w:hAnsi="Arial"/>
          <w:color w:val="307162"/>
          <w:sz w:val="96"/>
          <w:szCs w:val="96"/>
        </w:rPr>
        <w:t xml:space="preserve">AI scribe
pilot evaluation</w:t>
      </w:r>
    </w:p>
    <w:p>
      <w:pPr>
        <w:pStyle w:val="Heading2"/>
      </w:pPr>
      <w:r>
        <w:rPr>
          <w:rFonts w:ascii="Arial" w:cs="Arial" w:eastAsia="Arial" w:hAnsi="Arial"/>
          <w:color w:val="007361"/>
          <w:sz w:val="32"/>
          <w:szCs w:val="32"/>
        </w:rPr>
        <w:t xml:space="preserve">What we learned from the Hywel Dda University Health Board diary study</w:t>
      </w:r>
      <w:r>
        <w:br/>
      </w:r>
      <w:r>
        <w:rPr>
          <w:rFonts w:ascii="Arial" w:cs="Arial" w:eastAsia="Arial" w:hAnsi="Arial"/>
          <w:color w:val="007361"/>
          <w:sz w:val="32"/>
          <w:szCs w:val="32"/>
        </w:rPr>
        <w:t xml:space="preserve">March 2026</w:t>
      </w:r>
    </w:p>
    <w:p>
      <w:r>
        <w:br w:type="page"/>
      </w:r>
    </w:p>
    <w:p>
      <w:pPr>
        <w:pStyle w:val="Heading1"/>
      </w:pPr>
      <w:r>
        <w:rPr>
          <w:rFonts w:ascii="Arial" w:cs="Arial" w:eastAsia="Arial" w:hAnsi="Arial"/>
          <w:b/>
          <w:bCs/>
          <w:color w:val="000000"/>
          <w:sz w:val="56"/>
          <w:szCs w:val="56"/>
        </w:rPr>
        <w:t xml:space="preserve">Contents</w:t>
      </w:r>
    </w:p>
    <w:p>
      <w:pPr>
        <w:spacing w:before="60" w:after="120"/>
      </w:pPr>
      <w:r>
        <w:rPr>
          <w:rFonts w:ascii="Arial" w:cs="Arial" w:eastAsia="Arial" w:hAnsi="Arial"/>
          <w:sz w:val="36"/>
          <w:szCs w:val="36"/>
        </w:rPr>
        <w:t xml:space="preserve">Executive summary</w:t>
      </w:r>
      <w:r>
        <w:br/>
      </w:r>
      <w:r>
        <w:rPr>
          <w:rFonts w:ascii="Arial" w:cs="Arial" w:eastAsia="Arial" w:hAnsi="Arial"/>
          <w:sz w:val="36"/>
          <w:szCs w:val="36"/>
        </w:rPr>
        <w:t xml:space="preserve">1. Introduction</w:t>
      </w:r>
      <w:r>
        <w:br/>
      </w:r>
      <w:r>
        <w:rPr>
          <w:rFonts w:ascii="Arial" w:cs="Arial" w:eastAsia="Arial" w:hAnsi="Arial"/>
          <w:sz w:val="36"/>
          <w:szCs w:val="36"/>
        </w:rPr>
        <w:t xml:space="preserve">2. What we tested</w:t>
      </w:r>
      <w:r>
        <w:br/>
      </w:r>
      <w:r>
        <w:rPr>
          <w:rFonts w:ascii="Arial" w:cs="Arial" w:eastAsia="Arial" w:hAnsi="Arial"/>
          <w:sz w:val="36"/>
          <w:szCs w:val="36"/>
        </w:rPr>
        <w:t xml:space="preserve">3. Ease of use and quality ratings</w:t>
      </w:r>
      <w:r>
        <w:br/>
      </w:r>
      <w:r>
        <w:rPr>
          <w:rFonts w:ascii="Arial" w:cs="Arial" w:eastAsia="Arial" w:hAnsi="Arial"/>
          <w:sz w:val="36"/>
          <w:szCs w:val="36"/>
        </w:rPr>
        <w:t xml:space="preserve">4. Results by task type</w:t>
      </w:r>
      <w:r>
        <w:br/>
      </w:r>
      <w:r>
        <w:rPr>
          <w:rFonts w:ascii="Arial" w:cs="Arial" w:eastAsia="Arial" w:hAnsi="Arial"/>
          <w:sz w:val="36"/>
          <w:szCs w:val="36"/>
        </w:rPr>
        <w:t xml:space="preserve">5. Effects on clinicians and families</w:t>
      </w:r>
      <w:r>
        <w:br/>
      </w:r>
      <w:r>
        <w:rPr>
          <w:rFonts w:ascii="Arial" w:cs="Arial" w:eastAsia="Arial" w:hAnsi="Arial"/>
          <w:sz w:val="36"/>
          <w:szCs w:val="36"/>
        </w:rPr>
        <w:t xml:space="preserve">6. Challenges and limitations</w:t>
      </w:r>
      <w:r>
        <w:br/>
      </w:r>
      <w:r>
        <w:rPr>
          <w:rFonts w:ascii="Arial" w:cs="Arial" w:eastAsia="Arial" w:hAnsi="Arial"/>
          <w:sz w:val="36"/>
          <w:szCs w:val="36"/>
        </w:rPr>
        <w:t xml:space="preserve">7. Lessons learned</w:t>
      </w:r>
      <w:r>
        <w:br/>
      </w:r>
      <w:r>
        <w:rPr>
          <w:rFonts w:ascii="Arial" w:cs="Arial" w:eastAsia="Arial" w:hAnsi="Arial"/>
          <w:sz w:val="36"/>
          <w:szCs w:val="36"/>
        </w:rPr>
        <w:t xml:space="preserve">8. Recommendations</w:t>
      </w:r>
      <w:r>
        <w:br/>
      </w:r>
      <w:r>
        <w:rPr>
          <w:rFonts w:ascii="Arial" w:cs="Arial" w:eastAsia="Arial" w:hAnsi="Arial"/>
          <w:sz w:val="36"/>
          <w:szCs w:val="36"/>
        </w:rPr>
        <w:t xml:space="preserve">9. Conclusion</w:t>
      </w:r>
      <w:r>
        <w:br/>
      </w:r>
      <w:r>
        <w:rPr>
          <w:rFonts w:ascii="Arial" w:cs="Arial" w:eastAsia="Arial" w:hAnsi="Arial"/>
          <w:sz w:val="36"/>
          <w:szCs w:val="36"/>
        </w:rPr>
        <w:t xml:space="preserve">10. Project team</w:t>
      </w:r>
    </w:p>
    <w:p>
      <w:r>
        <w:br w:type="page"/>
      </w:r>
    </w:p>
    <w:p>
      <w:pPr>
        <w:pStyle w:val="Heading1"/>
      </w:pPr>
      <w:r>
        <w:rPr>
          <w:rFonts w:ascii="Arial" w:cs="Arial" w:eastAsia="Arial" w:hAnsi="Arial"/>
          <w:b/>
          <w:bCs/>
          <w:color w:val="000000"/>
          <w:sz w:val="56"/>
          <w:szCs w:val="56"/>
        </w:rPr>
        <w:t xml:space="preserve">Executive summary</w:t>
      </w:r>
    </w:p>
    <w:p>
      <w:pPr>
        <w:spacing w:before="60" w:after="120"/>
      </w:pPr>
      <w:r>
        <w:rPr>
          <w:rFonts w:ascii="Arial" w:cs="Arial" w:eastAsia="Arial" w:hAnsi="Arial"/>
          <w:color w:val="000000"/>
          <w:sz w:val="28"/>
          <w:szCs w:val="28"/>
        </w:rPr>
        <w:t xml:space="preserve">Clinicians in the Hywel Dda University Health Board Autism and ADHD teams undertook a diary study to evaluate Magic Notes in specialist neurodevelopmental assessment workflows. Over a period of several months, clinicians documented time taken before and after using Magic Notes across five task types, rating ease of use, quality of output, and sharing detailed qualitative feedback.</w:t>
      </w:r>
    </w:p>
    <w:p>
      <w:pPr>
        <w:pStyle w:val="Leadquote"/>
      </w:pPr>
      <w:r>
        <w:rPr>
          <w:rFonts w:ascii="Arial" w:cs="Arial" w:eastAsia="Arial" w:hAnsi="Arial"/>
          <w:i/>
          <w:iCs/>
          <w:color w:val="307162"/>
          <w:sz w:val="36"/>
          <w:szCs w:val="36"/>
        </w:rPr>
        <w:t xml:space="preserve">“I wouldn’t have started it at 4.55pm if I was going to do it myself — but I did, because I knew Magic Notes would take a while to upload and it would be ready while I did other tasks.”</w:t>
      </w:r>
    </w:p>
    <w:p>
      <w:pPr>
        <w:spacing w:before="60" w:after="120"/>
      </w:pPr>
      <w:r>
        <w:rPr>
          <w:rFonts w:ascii="Arial" w:cs="Arial" w:eastAsia="Arial" w:hAnsi="Arial"/>
          <w:color w:val="000000"/>
          <w:sz w:val="28"/>
          <w:szCs w:val="28"/>
        </w:rPr>
        <w:t xml:space="preserve">The diary study generated over 57 entries across clinical assessments, panel case presentations, new patient assessments, final reports, and other clinical uses. Time savings were significant across most task types, and quality ratings were consistently positive — with the exception of panel case preparation, which surfaced a specific challenge around multi-source document handling.</w:t>
      </w:r>
    </w:p>
    <w:p>
      <w:pPr>
        <w:pStyle w:val="H1-CDPS"/>
      </w:pPr>
      <w:r>
        <w:rPr>
          <w:rFonts w:ascii="Arial" w:cs="Arial" w:eastAsia="Arial" w:hAnsi="Arial"/>
          <w:b/>
          <w:bCs/>
          <w:color w:val="007361"/>
          <w:sz w:val="48"/>
          <w:szCs w:val="48"/>
        </w:rPr>
        <w:t xml:space="preserve">Core time savings</w:t>
      </w:r>
    </w:p>
    <w:tbl>
      <w:tblPr>
        <w:tblW w:type="dxa" w:w="9639"/>
        <w:tblBorders>
          <w:top w:val="single" w:color="AAAAAA" w:sz="4"/>
          <w:left w:val="single" w:color="AAAAAA" w:sz="4"/>
          <w:bottom w:val="single" w:color="AAAAAA" w:sz="4"/>
          <w:right w:val="single" w:color="AAAAAA" w:sz="4"/>
          <w:insideH w:val="single" w:color="auto" w:sz="4"/>
          <w:insideV w:val="single" w:color="auto" w:sz="4"/>
        </w:tblBorders>
      </w:tblPr>
      <w:tblGrid>
        <w:gridCol w:w="3200"/>
        <w:gridCol w:w="1600"/>
        <w:gridCol w:w="1600"/>
        <w:gridCol w:w="3239"/>
      </w:tblGrid>
      <w:tr>
        <w:trPr>
          <w:tblHeader/>
        </w:trPr>
        <w:tc>
          <w:tcPr>
            <w:tcW w:type="dxa" w:w="32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Task type</w:t>
            </w:r>
          </w:p>
        </w:tc>
        <w:tc>
          <w:tcPr>
            <w:tcW w:type="dxa" w:w="16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Before</w:t>
            </w:r>
          </w:p>
        </w:tc>
        <w:tc>
          <w:tcPr>
            <w:tcW w:type="dxa" w:w="16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After</w:t>
            </w:r>
          </w:p>
        </w:tc>
        <w:tc>
          <w:tcPr>
            <w:tcW w:type="dxa" w:w="3239"/>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Saved</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New patient assessment</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135 min avg</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50 min avg</w:t>
            </w:r>
          </w:p>
        </w:tc>
        <w:tc>
          <w:tcPr>
            <w:tcW w:type="dxa" w:w="3239"/>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85 min (63%)</w:t>
            </w:r>
          </w:p>
        </w:tc>
      </w:tr>
      <w:tr>
        <w:tc>
          <w:tcPr>
            <w:tcW w:type="dxa" w:w="3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Final report</w:t>
            </w:r>
          </w:p>
        </w:tc>
        <w:tc>
          <w:tcPr>
            <w:tcW w:type="dxa" w:w="1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132 min avg</w:t>
            </w:r>
          </w:p>
        </w:tc>
        <w:tc>
          <w:tcPr>
            <w:tcW w:type="dxa" w:w="1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32 min avg</w:t>
            </w:r>
          </w:p>
        </w:tc>
        <w:tc>
          <w:tcPr>
            <w:tcW w:type="dxa" w:w="323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100 min (76%)</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Clinical assessment / ADOS</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98 min avg</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55 min avg</w:t>
            </w:r>
          </w:p>
        </w:tc>
        <w:tc>
          <w:tcPr>
            <w:tcW w:type="dxa" w:w="3239"/>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43 min (44%)</w:t>
            </w:r>
          </w:p>
        </w:tc>
      </w:tr>
      <w:tr>
        <w:tc>
          <w:tcPr>
            <w:tcW w:type="dxa" w:w="3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Other uses (varied)</w:t>
            </w:r>
          </w:p>
        </w:tc>
        <w:tc>
          <w:tcPr>
            <w:tcW w:type="dxa" w:w="1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84 min avg</w:t>
            </w:r>
          </w:p>
        </w:tc>
        <w:tc>
          <w:tcPr>
            <w:tcW w:type="dxa" w:w="1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39 min avg</w:t>
            </w:r>
          </w:p>
        </w:tc>
        <w:tc>
          <w:tcPr>
            <w:tcW w:type="dxa" w:w="323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45 min (54%)</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Panel case presentation</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44 min avg</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38 min avg</w:t>
            </w:r>
          </w:p>
        </w:tc>
        <w:tc>
          <w:tcPr>
            <w:tcW w:type="dxa" w:w="3239"/>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6 min (14%)</w:t>
            </w:r>
          </w:p>
        </w:tc>
      </w:tr>
    </w:tbl>
    <w:p>
      <w:pPr>
        <w:spacing w:before="0" w:after="0"/>
      </w:pPr>
      <w:r>
        <w:t xml:space="preserve"/>
      </w:r>
    </w:p>
    <w:p>
      <w:pPr>
        <w:spacing w:before="60" w:after="120"/>
      </w:pPr>
      <w:r>
        <w:rPr>
          <w:rFonts w:ascii="Arial" w:cs="Arial" w:eastAsia="Arial" w:hAnsi="Arial"/>
          <w:color w:val="000000"/>
          <w:sz w:val="28"/>
          <w:szCs w:val="28"/>
        </w:rPr>
        <w:t xml:space="preserve">Across most task types, Magic Notes consistently saved clinicians between 44% and 76% of documentation time. Panel case preparation showed more variable results due to the complexity of combining multiple source documents.</w:t>
      </w:r>
    </w:p>
    <w:p>
      <w:pPr>
        <w:pStyle w:val="Heading2"/>
      </w:pPr>
      <w:r>
        <w:rPr>
          <w:rFonts w:ascii="Arial" w:cs="Arial" w:eastAsia="Arial" w:hAnsi="Arial"/>
          <w:b/>
          <w:bCs/>
          <w:color w:val="007361"/>
          <w:sz w:val="40"/>
          <w:szCs w:val="40"/>
        </w:rPr>
        <w:t xml:space="preserve">Ease of use and quality ratings</w:t>
      </w:r>
    </w:p>
    <w:p>
      <w:pPr>
        <w:pStyle w:val="ListParagraph"/>
        <w:numPr>
          <w:ilvl w:val="0"/>
          <w:numId w:val="2"/>
        </w:numPr>
      </w:pPr>
      <w:r>
        <w:rPr>
          <w:rFonts w:ascii="Arial" w:cs="Arial" w:eastAsia="Arial" w:hAnsi="Arial"/>
          <w:b/>
          <w:bCs/>
          <w:sz w:val="28"/>
          <w:szCs w:val="28"/>
        </w:rPr>
        <w:t xml:space="preserve">Average ease-of-use score (Autism team): </w:t>
      </w:r>
      <w:r>
        <w:rPr>
          <w:rFonts w:ascii="Arial" w:cs="Arial" w:eastAsia="Arial" w:hAnsi="Arial"/>
          <w:sz w:val="28"/>
          <w:szCs w:val="28"/>
        </w:rPr>
        <w:t xml:space="preserve">3.94 / 5 across 50 ratings</w:t>
      </w:r>
    </w:p>
    <w:p>
      <w:pPr>
        <w:pStyle w:val="ListParagraph"/>
        <w:numPr>
          <w:ilvl w:val="0"/>
          <w:numId w:val="2"/>
        </w:numPr>
      </w:pPr>
      <w:r>
        <w:rPr>
          <w:rFonts w:ascii="Arial" w:cs="Arial" w:eastAsia="Arial" w:hAnsi="Arial"/>
          <w:b/>
          <w:bCs/>
          <w:sz w:val="28"/>
          <w:szCs w:val="28"/>
        </w:rPr>
        <w:t xml:space="preserve">Average ease-of-use score (ADHD team): </w:t>
      </w:r>
      <w:r>
        <w:rPr>
          <w:rFonts w:ascii="Arial" w:cs="Arial" w:eastAsia="Arial" w:hAnsi="Arial"/>
          <w:sz w:val="28"/>
          <w:szCs w:val="28"/>
        </w:rPr>
        <w:t xml:space="preserve">4.5 / 5</w:t>
      </w:r>
    </w:p>
    <w:p>
      <w:pPr>
        <w:pStyle w:val="ListParagraph"/>
        <w:numPr>
          <w:ilvl w:val="0"/>
          <w:numId w:val="2"/>
        </w:numPr>
      </w:pPr>
      <w:r>
        <w:rPr>
          <w:rFonts w:ascii="Arial" w:cs="Arial" w:eastAsia="Arial" w:hAnsi="Arial"/>
          <w:b/>
          <w:bCs/>
          <w:sz w:val="28"/>
          <w:szCs w:val="28"/>
        </w:rPr>
        <w:t xml:space="preserve">Quality improved (Autism team, excl. panel): </w:t>
      </w:r>
      <w:r>
        <w:rPr>
          <w:rFonts w:ascii="Arial" w:cs="Arial" w:eastAsia="Arial" w:hAnsi="Arial"/>
          <w:sz w:val="28"/>
          <w:szCs w:val="28"/>
        </w:rPr>
        <w:t xml:space="preserve">approximately 85% of rated sessions</w:t>
      </w:r>
    </w:p>
    <w:p>
      <w:pPr>
        <w:pStyle w:val="ListParagraph"/>
        <w:numPr>
          <w:ilvl w:val="0"/>
          <w:numId w:val="2"/>
        </w:numPr>
      </w:pPr>
      <w:r>
        <w:rPr>
          <w:rFonts w:ascii="Arial" w:cs="Arial" w:eastAsia="Arial" w:hAnsi="Arial"/>
          <w:b/>
          <w:bCs/>
          <w:sz w:val="28"/>
          <w:szCs w:val="28"/>
        </w:rPr>
        <w:t xml:space="preserve">Quality improved (ADHD team): </w:t>
      </w:r>
      <w:r>
        <w:rPr>
          <w:rFonts w:ascii="Arial" w:cs="Arial" w:eastAsia="Arial" w:hAnsi="Arial"/>
          <w:sz w:val="28"/>
          <w:szCs w:val="28"/>
        </w:rPr>
        <w:t xml:space="preserve">100% — all 10 rated sessions</w:t>
      </w:r>
    </w:p>
    <w:p>
      <w:pPr>
        <w:pStyle w:val="ListParagraph"/>
        <w:numPr>
          <w:ilvl w:val="0"/>
          <w:numId w:val="2"/>
        </w:numPr>
      </w:pPr>
      <w:r>
        <w:rPr>
          <w:rFonts w:ascii="Arial" w:cs="Arial" w:eastAsia="Arial" w:hAnsi="Arial"/>
          <w:b/>
          <w:bCs/>
          <w:sz w:val="28"/>
          <w:szCs w:val="28"/>
        </w:rPr>
        <w:t xml:space="preserve">Sessions where quality was reported as worse: </w:t>
      </w:r>
      <w:r>
        <w:rPr>
          <w:rFonts w:ascii="Arial" w:cs="Arial" w:eastAsia="Arial" w:hAnsi="Arial"/>
          <w:sz w:val="28"/>
          <w:szCs w:val="28"/>
        </w:rPr>
        <w:t xml:space="preserve">0 (ADHD team)</w:t>
      </w:r>
    </w:p>
    <w:p>
      <w:pPr>
        <w:pStyle w:val="Heading2"/>
      </w:pPr>
      <w:r>
        <w:rPr>
          <w:rFonts w:ascii="Arial" w:cs="Arial" w:eastAsia="Arial" w:hAnsi="Arial"/>
          <w:b/>
          <w:bCs/>
          <w:color w:val="007361"/>
          <w:sz w:val="40"/>
          <w:szCs w:val="40"/>
        </w:rPr>
        <w:t xml:space="preserve">Human impact</w:t>
      </w:r>
    </w:p>
    <w:p>
      <w:pPr>
        <w:spacing w:before="60" w:after="120"/>
      </w:pPr>
      <w:r>
        <w:rPr>
          <w:rFonts w:ascii="Arial" w:cs="Arial" w:eastAsia="Arial" w:hAnsi="Arial"/>
          <w:color w:val="000000"/>
          <w:sz w:val="28"/>
          <w:szCs w:val="28"/>
        </w:rPr>
        <w:t xml:space="preserve">The most consistent finding across both teams was the shift in how clinicians felt during sessions. With documentation pressure removed:</w:t>
      </w:r>
    </w:p>
    <w:p>
      <w:pPr>
        <w:pStyle w:val="ListParagraph"/>
        <w:numPr>
          <w:ilvl w:val="0"/>
          <w:numId w:val="2"/>
        </w:numPr>
      </w:pPr>
      <w:r>
        <w:rPr>
          <w:rFonts w:ascii="Arial" w:cs="Arial" w:eastAsia="Arial" w:hAnsi="Arial"/>
          <w:color w:val="000000"/>
          <w:sz w:val="28"/>
          <w:szCs w:val="28"/>
        </w:rPr>
        <w:t xml:space="preserve">Clinicians could observe the child rather than type</w:t>
      </w:r>
    </w:p>
    <w:p>
      <w:pPr>
        <w:pStyle w:val="ListParagraph"/>
        <w:numPr>
          <w:ilvl w:val="0"/>
          <w:numId w:val="2"/>
        </w:numPr>
      </w:pPr>
      <w:r>
        <w:rPr>
          <w:rFonts w:ascii="Arial" w:cs="Arial" w:eastAsia="Arial" w:hAnsi="Arial"/>
          <w:color w:val="000000"/>
          <w:sz w:val="28"/>
          <w:szCs w:val="28"/>
        </w:rPr>
        <w:t xml:space="preserve">Parents felt their information was being captured fully</w:t>
      </w:r>
    </w:p>
    <w:p>
      <w:pPr>
        <w:pStyle w:val="ListParagraph"/>
        <w:numPr>
          <w:ilvl w:val="0"/>
          <w:numId w:val="2"/>
        </w:numPr>
      </w:pPr>
      <w:r>
        <w:rPr>
          <w:rFonts w:ascii="Arial" w:cs="Arial" w:eastAsia="Arial" w:hAnsi="Arial"/>
          <w:color w:val="000000"/>
          <w:sz w:val="28"/>
          <w:szCs w:val="28"/>
        </w:rPr>
        <w:t xml:space="preserve">Sessions felt calmer and more focused</w:t>
      </w:r>
    </w:p>
    <w:p>
      <w:pPr>
        <w:pStyle w:val="ListParagraph"/>
        <w:numPr>
          <w:ilvl w:val="0"/>
          <w:numId w:val="2"/>
        </w:numPr>
      </w:pPr>
      <w:r>
        <w:rPr>
          <w:rFonts w:ascii="Arial" w:cs="Arial" w:eastAsia="Arial" w:hAnsi="Arial"/>
          <w:color w:val="000000"/>
          <w:sz w:val="28"/>
          <w:szCs w:val="28"/>
        </w:rPr>
        <w:t xml:space="preserve">Reports were more detailed than clinicians could produce manually</w:t>
      </w:r>
    </w:p>
    <w:p>
      <w:pPr>
        <w:pStyle w:val="ListParagraph"/>
        <w:numPr>
          <w:ilvl w:val="0"/>
          <w:numId w:val="2"/>
        </w:numPr>
      </w:pPr>
      <w:r>
        <w:rPr>
          <w:rFonts w:ascii="Arial" w:cs="Arial" w:eastAsia="Arial" w:hAnsi="Arial"/>
          <w:color w:val="000000"/>
          <w:sz w:val="28"/>
          <w:szCs w:val="28"/>
        </w:rPr>
        <w:t xml:space="preserve">Clinicians started tasks they would otherwise have deferred</w:t>
      </w:r>
    </w:p>
    <w:p>
      <w:pPr>
        <w:spacing w:before="0" w:after="0"/>
      </w:pPr>
      <w:r>
        <w:t xml:space="preserve"/>
      </w:r>
    </w:p>
    <w:p>
      <w:pPr>
        <w:spacing w:before="60" w:after="120"/>
      </w:pPr>
      <w:r>
        <w:rPr>
          <w:rFonts w:ascii="Arial" w:cs="Arial" w:eastAsia="Arial" w:hAnsi="Arial"/>
          <w:color w:val="000000"/>
          <w:sz w:val="28"/>
          <w:szCs w:val="28"/>
        </w:rPr>
        <w:t xml:space="preserve">One clinician reflected:</w:t>
      </w:r>
    </w:p>
    <w:p>
      <w:pPr>
        <w:pStyle w:val="Bodyquote"/>
      </w:pPr>
      <w:r>
        <w:rPr>
          <w:rFonts w:ascii="Arial" w:cs="Arial" w:eastAsia="Arial" w:hAnsi="Arial"/>
          <w:i/>
          <w:iCs/>
          <w:color w:val="307162"/>
          <w:sz w:val="28"/>
          <w:szCs w:val="28"/>
        </w:rPr>
        <w:t xml:space="preserve">“Magic Notes gave me back the part of my job I love.”</w:t>
      </w:r>
    </w:p>
    <w:p>
      <w:r>
        <w:br w:type="page"/>
      </w:r>
    </w:p>
    <w:p>
      <w:pPr>
        <w:pStyle w:val="Heading1"/>
      </w:pPr>
      <w:r>
        <w:rPr>
          <w:rFonts w:ascii="Arial" w:cs="Arial" w:eastAsia="Arial" w:hAnsi="Arial"/>
          <w:b/>
          <w:bCs/>
          <w:color w:val="000000"/>
          <w:sz w:val="56"/>
          <w:szCs w:val="56"/>
        </w:rPr>
        <w:t xml:space="preserve">1. Introduction</w:t>
      </w:r>
    </w:p>
    <w:p>
      <w:pPr>
        <w:spacing w:before="60" w:after="120"/>
      </w:pPr>
      <w:r>
        <w:rPr>
          <w:rFonts w:ascii="Arial" w:cs="Arial" w:eastAsia="Arial" w:hAnsi="Arial"/>
          <w:color w:val="000000"/>
          <w:sz w:val="28"/>
          <w:szCs w:val="28"/>
        </w:rPr>
        <w:t xml:space="preserve">The Hywel Dda University Health Board Autism and ADHD teams began using Magic Notes in October 2025 as part of a structured diary study. Unlike the CTM pilot, which used a fixed 6-week experimental design, the Hywel Dda study used a continuous diary format — allowing clinicians to record their experience across a wider range of task types and over a longer period.</w:t>
      </w:r>
    </w:p>
    <w:p>
      <w:pPr>
        <w:spacing w:before="60" w:after="120"/>
      </w:pPr>
      <w:r>
        <w:rPr>
          <w:rFonts w:ascii="Arial" w:cs="Arial" w:eastAsia="Arial" w:hAnsi="Arial"/>
          <w:color w:val="000000"/>
          <w:sz w:val="28"/>
          <w:szCs w:val="28"/>
        </w:rPr>
        <w:t xml:space="preserve">Magic Notes is a tool developed by Beam, a social enterprise. It records clinical conversations and produces a structured draft report within minutes, using editable templates that clinicians adapt to local practice.</w:t>
      </w:r>
    </w:p>
    <w:p>
      <w:pPr>
        <w:spacing w:before="60" w:after="120"/>
      </w:pPr>
      <w:r>
        <w:rPr>
          <w:rFonts w:ascii="Arial" w:cs="Arial" w:eastAsia="Arial" w:hAnsi="Arial"/>
          <w:color w:val="000000"/>
          <w:sz w:val="28"/>
          <w:szCs w:val="28"/>
        </w:rPr>
        <w:t xml:space="preserve">The Hywel Dda teams work with a specialist autism assessment pathway that involves a higher degree of structured multi-source documentation than a general ND service — combining ADOS observations, parental questionnaires, school reports, and clinical assessments into a single panel report. This surfaced both the tool’s strengths and a specific limitation that is documented in detail in this report.</w:t>
      </w:r>
    </w:p>
    <w:p>
      <w:pPr>
        <w:pStyle w:val="Bodyquote"/>
      </w:pPr>
      <w:r>
        <w:rPr>
          <w:rFonts w:ascii="Arial" w:cs="Arial" w:eastAsia="Arial" w:hAnsi="Arial"/>
          <w:i/>
          <w:iCs/>
          <w:color w:val="307162"/>
          <w:sz w:val="28"/>
          <w:szCs w:val="28"/>
        </w:rPr>
        <w:t xml:space="preserve">“The play task was so much easier — I could engage fully with the young person rather than having to make notes at the same time, which always takes away from the play.”</w:t>
      </w:r>
    </w:p>
    <w:p>
      <w:r>
        <w:br w:type="page"/>
      </w:r>
    </w:p>
    <w:p>
      <w:pPr>
        <w:pStyle w:val="Heading1"/>
      </w:pPr>
      <w:r>
        <w:rPr>
          <w:rFonts w:ascii="Arial" w:cs="Arial" w:eastAsia="Arial" w:hAnsi="Arial"/>
          <w:b/>
          <w:bCs/>
          <w:color w:val="000000"/>
          <w:sz w:val="56"/>
          <w:szCs w:val="56"/>
        </w:rPr>
        <w:t xml:space="preserve">2. What we tested</w:t>
      </w:r>
    </w:p>
    <w:p>
      <w:pPr>
        <w:spacing w:before="60" w:after="120"/>
      </w:pPr>
      <w:r>
        <w:rPr>
          <w:rFonts w:ascii="Arial" w:cs="Arial" w:eastAsia="Arial" w:hAnsi="Arial"/>
          <w:color w:val="000000"/>
          <w:sz w:val="28"/>
          <w:szCs w:val="28"/>
        </w:rPr>
        <w:t xml:space="preserve">The diary study covered five task types:</w:t>
      </w:r>
    </w:p>
    <w:p>
      <w:pPr>
        <w:pStyle w:val="ListParagraph"/>
        <w:numPr>
          <w:ilvl w:val="0"/>
          <w:numId w:val="2"/>
        </w:numPr>
      </w:pPr>
      <w:r>
        <w:rPr>
          <w:rFonts w:ascii="Arial" w:cs="Arial" w:eastAsia="Arial" w:hAnsi="Arial"/>
          <w:color w:val="000000"/>
          <w:sz w:val="28"/>
          <w:szCs w:val="28"/>
        </w:rPr>
        <w:t xml:space="preserve">New patient assessment (8 sessions)</w:t>
      </w:r>
    </w:p>
    <w:p>
      <w:pPr>
        <w:pStyle w:val="ListParagraph"/>
        <w:numPr>
          <w:ilvl w:val="0"/>
          <w:numId w:val="2"/>
        </w:numPr>
      </w:pPr>
      <w:r>
        <w:rPr>
          <w:rFonts w:ascii="Arial" w:cs="Arial" w:eastAsia="Arial" w:hAnsi="Arial"/>
          <w:color w:val="000000"/>
          <w:sz w:val="28"/>
          <w:szCs w:val="28"/>
        </w:rPr>
        <w:t xml:space="preserve">Clinical assessment / ADOS (6 sessions)</w:t>
      </w:r>
    </w:p>
    <w:p>
      <w:pPr>
        <w:pStyle w:val="ListParagraph"/>
        <w:numPr>
          <w:ilvl w:val="0"/>
          <w:numId w:val="2"/>
        </w:numPr>
      </w:pPr>
      <w:r>
        <w:rPr>
          <w:rFonts w:ascii="Arial" w:cs="Arial" w:eastAsia="Arial" w:hAnsi="Arial"/>
          <w:color w:val="000000"/>
          <w:sz w:val="28"/>
          <w:szCs w:val="28"/>
        </w:rPr>
        <w:t xml:space="preserve">Panel case presentation (19 sessions)</w:t>
      </w:r>
    </w:p>
    <w:p>
      <w:pPr>
        <w:pStyle w:val="ListParagraph"/>
        <w:numPr>
          <w:ilvl w:val="0"/>
          <w:numId w:val="2"/>
        </w:numPr>
      </w:pPr>
      <w:r>
        <w:rPr>
          <w:rFonts w:ascii="Arial" w:cs="Arial" w:eastAsia="Arial" w:hAnsi="Arial"/>
          <w:color w:val="000000"/>
          <w:sz w:val="28"/>
          <w:szCs w:val="28"/>
        </w:rPr>
        <w:t xml:space="preserve">Final report (5 sessions)</w:t>
      </w:r>
    </w:p>
    <w:p>
      <w:pPr>
        <w:pStyle w:val="ListParagraph"/>
        <w:numPr>
          <w:ilvl w:val="0"/>
          <w:numId w:val="2"/>
        </w:numPr>
      </w:pPr>
      <w:r>
        <w:rPr>
          <w:rFonts w:ascii="Arial" w:cs="Arial" w:eastAsia="Arial" w:hAnsi="Arial"/>
          <w:color w:val="000000"/>
          <w:sz w:val="28"/>
          <w:szCs w:val="28"/>
        </w:rPr>
        <w:t xml:space="preserve">Other uses — dictation, meetings, supervision, letters (13 sessions)</w:t>
      </w:r>
    </w:p>
    <w:p>
      <w:pPr>
        <w:spacing w:before="0" w:after="0"/>
      </w:pPr>
      <w:r>
        <w:t xml:space="preserve"/>
      </w:r>
    </w:p>
    <w:p>
      <w:pPr>
        <w:spacing w:before="60" w:after="120"/>
      </w:pPr>
      <w:r>
        <w:rPr>
          <w:rFonts w:ascii="Arial" w:cs="Arial" w:eastAsia="Arial" w:hAnsi="Arial"/>
          <w:color w:val="000000"/>
          <w:sz w:val="28"/>
          <w:szCs w:val="28"/>
        </w:rPr>
        <w:t xml:space="preserve">Clinicians also tested Magic Notes for tasks not formally listed — including recording MDT meetings, supervision sessions, uploading external questionnaires, and dictating case notes after the fact.</w:t>
      </w:r>
    </w:p>
    <w:p>
      <w:pPr>
        <w:spacing w:before="60" w:after="120"/>
      </w:pPr>
      <w:r>
        <w:rPr>
          <w:rFonts w:ascii="Arial" w:cs="Arial" w:eastAsia="Arial" w:hAnsi="Arial"/>
          <w:color w:val="000000"/>
          <w:sz w:val="28"/>
          <w:szCs w:val="28"/>
        </w:rPr>
        <w:t xml:space="preserve">A separate ADHD team contributed 10 diary entries across regular reviews, DIVA assessments, and ratification tasks.</w:t>
      </w:r>
    </w:p>
    <w:p>
      <w:pPr>
        <w:spacing w:before="60" w:after="120"/>
      </w:pPr>
      <w:r>
        <w:rPr>
          <w:rFonts w:ascii="Arial" w:cs="Arial" w:eastAsia="Arial" w:hAnsi="Arial"/>
          <w:color w:val="000000"/>
          <w:sz w:val="28"/>
          <w:szCs w:val="28"/>
        </w:rPr>
        <w:t xml:space="preserve">In total, the study generated over 57 structured diary entries, with paired before/after time data, ease-of-use scores, quality ratings, and detailed qualitative feedback.</w:t>
      </w:r>
    </w:p>
    <w:p>
      <w:r>
        <w:br w:type="page"/>
      </w:r>
    </w:p>
    <w:p>
      <w:pPr>
        <w:pStyle w:val="Heading1"/>
      </w:pPr>
      <w:r>
        <w:rPr>
          <w:rFonts w:ascii="Arial" w:cs="Arial" w:eastAsia="Arial" w:hAnsi="Arial"/>
          <w:b/>
          <w:bCs/>
          <w:color w:val="000000"/>
          <w:sz w:val="56"/>
          <w:szCs w:val="56"/>
        </w:rPr>
        <w:t xml:space="preserve">3. Ease of use and quality ratings</w:t>
      </w:r>
    </w:p>
    <w:p>
      <w:pPr>
        <w:pStyle w:val="Heading2"/>
      </w:pPr>
      <w:r>
        <w:rPr>
          <w:rFonts w:ascii="Arial" w:cs="Arial" w:eastAsia="Arial" w:hAnsi="Arial"/>
          <w:b/>
          <w:bCs/>
          <w:color w:val="007361"/>
          <w:sz w:val="40"/>
          <w:szCs w:val="40"/>
        </w:rPr>
        <w:t xml:space="preserve">Autism team</w:t>
      </w:r>
    </w:p>
    <w:tbl>
      <w:tblPr>
        <w:tblW w:type="dxa" w:w="9639"/>
        <w:tblBorders>
          <w:top w:val="single" w:color="AAAAAA" w:sz="4"/>
          <w:left w:val="single" w:color="AAAAAA" w:sz="4"/>
          <w:bottom w:val="single" w:color="AAAAAA" w:sz="4"/>
          <w:right w:val="single" w:color="AAAAAA" w:sz="4"/>
          <w:insideH w:val="single" w:color="auto" w:sz="4"/>
          <w:insideV w:val="single" w:color="auto" w:sz="4"/>
        </w:tblBorders>
      </w:tblPr>
      <w:tblGrid>
        <w:gridCol w:w="5000"/>
        <w:gridCol w:w="4639"/>
      </w:tblGrid>
      <w:tr>
        <w:trPr>
          <w:tblHeader/>
        </w:trPr>
        <w:tc>
          <w:tcPr>
            <w:tcW w:type="dxa" w:w="50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Metric</w:t>
            </w:r>
          </w:p>
        </w:tc>
        <w:tc>
          <w:tcPr>
            <w:tcW w:type="dxa" w:w="4639"/>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Result</w:t>
            </w:r>
          </w:p>
        </w:tc>
      </w:tr>
      <w:tr>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Total diary entries</w:t>
            </w:r>
          </w:p>
        </w:tc>
        <w:tc>
          <w:tcPr>
            <w:tcW w:type="dxa" w:w="4639"/>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57</w:t>
            </w:r>
          </w:p>
        </w:tc>
      </w:tr>
      <w:tr>
        <w:tc>
          <w:tcPr>
            <w:tcW w:type="dxa" w:w="5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Entries with paired time data</w:t>
            </w:r>
          </w:p>
        </w:tc>
        <w:tc>
          <w:tcPr>
            <w:tcW w:type="dxa" w:w="463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44</w:t>
            </w:r>
          </w:p>
        </w:tc>
      </w:tr>
      <w:tr>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Ease-of-use responses</w:t>
            </w:r>
          </w:p>
        </w:tc>
        <w:tc>
          <w:tcPr>
            <w:tcW w:type="dxa" w:w="4639"/>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50</w:t>
            </w:r>
          </w:p>
        </w:tc>
      </w:tr>
      <w:tr>
        <w:tc>
          <w:tcPr>
            <w:tcW w:type="dxa" w:w="5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Average ease-of-use score</w:t>
            </w:r>
          </w:p>
        </w:tc>
        <w:tc>
          <w:tcPr>
            <w:tcW w:type="dxa" w:w="463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3.94 / 5</w:t>
            </w:r>
          </w:p>
        </w:tc>
      </w:tr>
      <w:tr>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Quality responses</w:t>
            </w:r>
          </w:p>
        </w:tc>
        <w:tc>
          <w:tcPr>
            <w:tcW w:type="dxa" w:w="4639"/>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47</w:t>
            </w:r>
          </w:p>
        </w:tc>
      </w:tr>
      <w:tr>
        <w:tc>
          <w:tcPr>
            <w:tcW w:type="dxa" w:w="5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Quality rated as improved (Yes)</w:t>
            </w:r>
          </w:p>
        </w:tc>
        <w:tc>
          <w:tcPr>
            <w:tcW w:type="dxa" w:w="463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38 (81%)</w:t>
            </w:r>
          </w:p>
        </w:tc>
      </w:tr>
      <w:tr>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Quality rated as worse (No)</w:t>
            </w:r>
          </w:p>
        </w:tc>
        <w:tc>
          <w:tcPr>
            <w:tcW w:type="dxa" w:w="4639"/>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9 (19%)</w:t>
            </w:r>
          </w:p>
        </w:tc>
      </w:tr>
    </w:tbl>
    <w:p>
      <w:pPr>
        <w:spacing w:before="0" w:after="0"/>
      </w:pPr>
      <w:r>
        <w:t xml:space="preserve"/>
      </w:r>
    </w:p>
    <w:p>
      <w:pPr>
        <w:pStyle w:val="Heading2"/>
      </w:pPr>
      <w:r>
        <w:rPr>
          <w:rFonts w:ascii="Arial" w:cs="Arial" w:eastAsia="Arial" w:hAnsi="Arial"/>
          <w:b/>
          <w:bCs/>
          <w:color w:val="007361"/>
          <w:sz w:val="40"/>
          <w:szCs w:val="40"/>
        </w:rPr>
        <w:t xml:space="preserve">ADHD team</w:t>
      </w:r>
    </w:p>
    <w:tbl>
      <w:tblPr>
        <w:tblW w:type="dxa" w:w="9639"/>
        <w:tblBorders>
          <w:top w:val="single" w:color="AAAAAA" w:sz="4"/>
          <w:left w:val="single" w:color="AAAAAA" w:sz="4"/>
          <w:bottom w:val="single" w:color="AAAAAA" w:sz="4"/>
          <w:right w:val="single" w:color="AAAAAA" w:sz="4"/>
          <w:insideH w:val="single" w:color="auto" w:sz="4"/>
          <w:insideV w:val="single" w:color="auto" w:sz="4"/>
        </w:tblBorders>
      </w:tblPr>
      <w:tblGrid>
        <w:gridCol w:w="5000"/>
        <w:gridCol w:w="4639"/>
      </w:tblGrid>
      <w:tr>
        <w:trPr>
          <w:tblHeader/>
        </w:trPr>
        <w:tc>
          <w:tcPr>
            <w:tcW w:type="dxa" w:w="50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Metric</w:t>
            </w:r>
          </w:p>
        </w:tc>
        <w:tc>
          <w:tcPr>
            <w:tcW w:type="dxa" w:w="4639"/>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Result</w:t>
            </w:r>
          </w:p>
        </w:tc>
      </w:tr>
      <w:tr>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Total diary entries</w:t>
            </w:r>
          </w:p>
        </w:tc>
        <w:tc>
          <w:tcPr>
            <w:tcW w:type="dxa" w:w="4639"/>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10</w:t>
            </w:r>
          </w:p>
        </w:tc>
      </w:tr>
      <w:tr>
        <w:tc>
          <w:tcPr>
            <w:tcW w:type="dxa" w:w="5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Ease-of-use responses</w:t>
            </w:r>
          </w:p>
        </w:tc>
        <w:tc>
          <w:tcPr>
            <w:tcW w:type="dxa" w:w="463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10</w:t>
            </w:r>
          </w:p>
        </w:tc>
      </w:tr>
      <w:tr>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Average ease-of-use score</w:t>
            </w:r>
          </w:p>
        </w:tc>
        <w:tc>
          <w:tcPr>
            <w:tcW w:type="dxa" w:w="4639"/>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4.5 / 5</w:t>
            </w:r>
          </w:p>
        </w:tc>
      </w:tr>
      <w:tr>
        <w:tc>
          <w:tcPr>
            <w:tcW w:type="dxa" w:w="5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Quality responses</w:t>
            </w:r>
          </w:p>
        </w:tc>
        <w:tc>
          <w:tcPr>
            <w:tcW w:type="dxa" w:w="463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10</w:t>
            </w:r>
          </w:p>
        </w:tc>
      </w:tr>
      <w:tr>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Quality rated as improved (Yes)</w:t>
            </w:r>
          </w:p>
        </w:tc>
        <w:tc>
          <w:tcPr>
            <w:tcW w:type="dxa" w:w="4639"/>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10 (100%)</w:t>
            </w:r>
          </w:p>
        </w:tc>
      </w:tr>
      <w:tr>
        <w:tc>
          <w:tcPr>
            <w:tcW w:type="dxa" w:w="5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Quality rated as worse</w:t>
            </w:r>
          </w:p>
        </w:tc>
        <w:tc>
          <w:tcPr>
            <w:tcW w:type="dxa" w:w="463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0</w:t>
            </w:r>
          </w:p>
        </w:tc>
      </w:tr>
    </w:tbl>
    <w:p>
      <w:pPr>
        <w:spacing w:before="0" w:after="0"/>
      </w:pPr>
      <w:r>
        <w:t xml:space="preserve"/>
      </w:r>
    </w:p>
    <w:p>
      <w:pPr>
        <w:spacing w:before="60" w:after="120"/>
      </w:pPr>
      <w:r>
        <w:rPr>
          <w:rFonts w:ascii="Arial" w:cs="Arial" w:eastAsia="Arial" w:hAnsi="Arial"/>
          <w:color w:val="000000"/>
          <w:sz w:val="28"/>
          <w:szCs w:val="28"/>
        </w:rPr>
        <w:t xml:space="preserve">Clinicians described the tool as straightforward for session recording and dictation tasks. Panel case preparation scored lower on ease of use due to the challenges of uploading multiple documents — documented in section 6.</w:t>
      </w:r>
    </w:p>
    <w:p>
      <w:r>
        <w:br w:type="page"/>
      </w:r>
    </w:p>
    <w:p>
      <w:pPr>
        <w:pStyle w:val="Heading1"/>
      </w:pPr>
      <w:r>
        <w:rPr>
          <w:rFonts w:ascii="Arial" w:cs="Arial" w:eastAsia="Arial" w:hAnsi="Arial"/>
          <w:b/>
          <w:bCs/>
          <w:color w:val="000000"/>
          <w:sz w:val="56"/>
          <w:szCs w:val="56"/>
        </w:rPr>
        <w:t xml:space="preserve">4. Results by task type</w:t>
      </w:r>
    </w:p>
    <w:p>
      <w:pPr>
        <w:pStyle w:val="Heading2"/>
      </w:pPr>
      <w:r>
        <w:rPr>
          <w:rFonts w:ascii="Arial" w:cs="Arial" w:eastAsia="Arial" w:hAnsi="Arial"/>
          <w:b/>
          <w:bCs/>
          <w:color w:val="007361"/>
          <w:sz w:val="40"/>
          <w:szCs w:val="40"/>
        </w:rPr>
        <w:t xml:space="preserve">4.1 New patient assessment</w:t>
      </w:r>
    </w:p>
    <w:tbl>
      <w:tblPr>
        <w:tblW w:type="dxa" w:w="9639"/>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2000"/>
        <w:gridCol w:w="2000"/>
        <w:gridCol w:w="3239"/>
      </w:tblGrid>
      <w:tr>
        <w:trPr>
          <w:tblHeader/>
        </w:trPr>
        <w:tc>
          <w:tcPr>
            <w:tcW w:type="dxa" w:w="24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
            </w:r>
          </w:p>
        </w:tc>
        <w:tc>
          <w:tcPr>
            <w:tcW w:type="dxa" w:w="20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Before</w:t>
            </w:r>
          </w:p>
        </w:tc>
        <w:tc>
          <w:tcPr>
            <w:tcW w:type="dxa" w:w="20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After</w:t>
            </w:r>
          </w:p>
        </w:tc>
        <w:tc>
          <w:tcPr>
            <w:tcW w:type="dxa" w:w="3239"/>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Saved</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Write-up time</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135 min avg</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50 min avg</w:t>
            </w:r>
          </w:p>
        </w:tc>
        <w:tc>
          <w:tcPr>
            <w:tcW w:type="dxa" w:w="3239"/>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85 min (63%)</w:t>
            </w:r>
          </w:p>
        </w:tc>
      </w:tr>
    </w:tbl>
    <w:p>
      <w:pPr>
        <w:spacing w:before="0" w:after="0"/>
      </w:pPr>
      <w:r>
        <w:t xml:space="preserve"/>
      </w:r>
    </w:p>
    <w:p>
      <w:pPr>
        <w:spacing w:before="60" w:after="120"/>
      </w:pPr>
      <w:r>
        <w:rPr>
          <w:rFonts w:ascii="Arial" w:cs="Arial" w:eastAsia="Arial" w:hAnsi="Arial"/>
          <w:color w:val="000000"/>
          <w:sz w:val="28"/>
          <w:szCs w:val="28"/>
        </w:rPr>
        <w:t xml:space="preserve">What changed? With documentation handled by Magic Notes, clinicians:</w:t>
      </w:r>
    </w:p>
    <w:p>
      <w:pPr>
        <w:pStyle w:val="ListParagraph"/>
        <w:numPr>
          <w:ilvl w:val="0"/>
          <w:numId w:val="2"/>
        </w:numPr>
      </w:pPr>
      <w:r>
        <w:rPr>
          <w:rFonts w:ascii="Arial" w:cs="Arial" w:eastAsia="Arial" w:hAnsi="Arial"/>
          <w:color w:val="000000"/>
          <w:sz w:val="28"/>
          <w:szCs w:val="28"/>
        </w:rPr>
        <w:t xml:space="preserve">Observed children’s behaviour more closely</w:t>
      </w:r>
    </w:p>
    <w:p>
      <w:pPr>
        <w:pStyle w:val="ListParagraph"/>
        <w:numPr>
          <w:ilvl w:val="0"/>
          <w:numId w:val="2"/>
        </w:numPr>
      </w:pPr>
      <w:r>
        <w:rPr>
          <w:rFonts w:ascii="Arial" w:cs="Arial" w:eastAsia="Arial" w:hAnsi="Arial"/>
          <w:color w:val="000000"/>
          <w:sz w:val="28"/>
          <w:szCs w:val="28"/>
        </w:rPr>
        <w:t xml:space="preserve">Followed the child’s lead naturally rather than managing a template</w:t>
      </w:r>
    </w:p>
    <w:p>
      <w:pPr>
        <w:pStyle w:val="ListParagraph"/>
        <w:numPr>
          <w:ilvl w:val="0"/>
          <w:numId w:val="2"/>
        </w:numPr>
      </w:pPr>
      <w:r>
        <w:rPr>
          <w:rFonts w:ascii="Arial" w:cs="Arial" w:eastAsia="Arial" w:hAnsi="Arial"/>
          <w:color w:val="000000"/>
          <w:sz w:val="28"/>
          <w:szCs w:val="28"/>
        </w:rPr>
        <w:t xml:space="preserve">Let parents talk without interruption or visual distraction from typing</w:t>
      </w:r>
    </w:p>
    <w:p>
      <w:pPr>
        <w:pStyle w:val="ListParagraph"/>
        <w:numPr>
          <w:ilvl w:val="0"/>
          <w:numId w:val="2"/>
        </w:numPr>
      </w:pPr>
      <w:r>
        <w:rPr>
          <w:rFonts w:ascii="Arial" w:cs="Arial" w:eastAsia="Arial" w:hAnsi="Arial"/>
          <w:color w:val="000000"/>
          <w:sz w:val="28"/>
          <w:szCs w:val="28"/>
        </w:rPr>
        <w:t xml:space="preserve">Captured more detail than they could manually produce</w:t>
      </w:r>
    </w:p>
    <w:p>
      <w:pPr>
        <w:spacing w:before="0" w:after="0"/>
      </w:pPr>
      <w:r>
        <w:t xml:space="preserve"/>
      </w:r>
    </w:p>
    <w:p>
      <w:pPr>
        <w:pStyle w:val="Bodyquote"/>
      </w:pPr>
      <w:r>
        <w:rPr>
          <w:rFonts w:ascii="Arial" w:cs="Arial" w:eastAsia="Arial" w:hAnsi="Arial"/>
          <w:i/>
          <w:iCs/>
          <w:color w:val="307162"/>
          <w:sz w:val="28"/>
          <w:szCs w:val="28"/>
        </w:rPr>
        <w:t xml:space="preserve">“Enabled me to engage better with the young person as I wasn’t constantly writing — she seemed very aware every time I made a note.”</w:t>
      </w:r>
    </w:p>
    <w:p>
      <w:pPr>
        <w:pStyle w:val="Bodyquote"/>
      </w:pPr>
      <w:r>
        <w:rPr>
          <w:rFonts w:ascii="Arial" w:cs="Arial" w:eastAsia="Arial" w:hAnsi="Arial"/>
          <w:i/>
          <w:iCs/>
          <w:color w:val="307162"/>
          <w:sz w:val="28"/>
          <w:szCs w:val="28"/>
        </w:rPr>
        <w:t xml:space="preserve">“Family commented that they felt it was good that all of their information was being captured as part of the assessment.”</w:t>
      </w:r>
    </w:p>
    <w:p>
      <w:pPr>
        <w:pStyle w:val="Heading2"/>
      </w:pPr>
      <w:r>
        <w:rPr>
          <w:rFonts w:ascii="Arial" w:cs="Arial" w:eastAsia="Arial" w:hAnsi="Arial"/>
          <w:b/>
          <w:bCs/>
          <w:color w:val="007361"/>
          <w:sz w:val="40"/>
          <w:szCs w:val="40"/>
        </w:rPr>
        <w:t xml:space="preserve">4.2 Final report</w:t>
      </w:r>
    </w:p>
    <w:tbl>
      <w:tblPr>
        <w:tblW w:type="dxa" w:w="9639"/>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2000"/>
        <w:gridCol w:w="2000"/>
        <w:gridCol w:w="3239"/>
      </w:tblGrid>
      <w:tr>
        <w:trPr>
          <w:tblHeader/>
        </w:trPr>
        <w:tc>
          <w:tcPr>
            <w:tcW w:type="dxa" w:w="24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
            </w:r>
          </w:p>
        </w:tc>
        <w:tc>
          <w:tcPr>
            <w:tcW w:type="dxa" w:w="20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Before</w:t>
            </w:r>
          </w:p>
        </w:tc>
        <w:tc>
          <w:tcPr>
            <w:tcW w:type="dxa" w:w="20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After</w:t>
            </w:r>
          </w:p>
        </w:tc>
        <w:tc>
          <w:tcPr>
            <w:tcW w:type="dxa" w:w="3239"/>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Saved</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Report writing time</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132 min avg</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32 min avg</w:t>
            </w:r>
          </w:p>
        </w:tc>
        <w:tc>
          <w:tcPr>
            <w:tcW w:type="dxa" w:w="3239"/>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100 min (76%)</w:t>
            </w:r>
          </w:p>
        </w:tc>
      </w:tr>
    </w:tbl>
    <w:p>
      <w:pPr>
        <w:spacing w:before="0" w:after="0"/>
      </w:pPr>
      <w:r>
        <w:t xml:space="preserve"/>
      </w:r>
    </w:p>
    <w:p>
      <w:pPr>
        <w:spacing w:before="60" w:after="120"/>
      </w:pPr>
      <w:r>
        <w:rPr>
          <w:rFonts w:ascii="Arial" w:cs="Arial" w:eastAsia="Arial" w:hAnsi="Arial"/>
          <w:color w:val="000000"/>
          <w:sz w:val="28"/>
          <w:szCs w:val="28"/>
        </w:rPr>
        <w:t xml:space="preserve">Final report writing showed the largest time saving across all task types. Clinicians described the tool as significantly reducing the cognitive effort of cross-referencing and structuring information.</w:t>
      </w:r>
    </w:p>
    <w:p>
      <w:pPr>
        <w:pStyle w:val="Bodyquote"/>
      </w:pPr>
      <w:r>
        <w:rPr>
          <w:rFonts w:ascii="Arial" w:cs="Arial" w:eastAsia="Arial" w:hAnsi="Arial"/>
          <w:i/>
          <w:iCs/>
          <w:color w:val="307162"/>
          <w:sz w:val="28"/>
          <w:szCs w:val="28"/>
        </w:rPr>
        <w:t xml:space="preserve">“It configured all the information and saved time putting information into different boxes.”</w:t>
      </w:r>
    </w:p>
    <w:p>
      <w:pPr>
        <w:pStyle w:val="Bodyquote"/>
      </w:pPr>
      <w:r>
        <w:rPr>
          <w:rFonts w:ascii="Arial" w:cs="Arial" w:eastAsia="Arial" w:hAnsi="Arial"/>
          <w:i/>
          <w:iCs/>
          <w:color w:val="307162"/>
          <w:sz w:val="28"/>
          <w:szCs w:val="28"/>
        </w:rPr>
        <w:t xml:space="preserve">“It summarised information and put together information more easily.”</w:t>
      </w:r>
    </w:p>
    <w:p>
      <w:pPr>
        <w:pStyle w:val="Heading2"/>
      </w:pPr>
      <w:r>
        <w:rPr>
          <w:rFonts w:ascii="Arial" w:cs="Arial" w:eastAsia="Arial" w:hAnsi="Arial"/>
          <w:b/>
          <w:bCs/>
          <w:color w:val="007361"/>
          <w:sz w:val="40"/>
          <w:szCs w:val="40"/>
        </w:rPr>
        <w:t xml:space="preserve">4.3 Clinical assessment / ADOS</w:t>
      </w:r>
    </w:p>
    <w:tbl>
      <w:tblPr>
        <w:tblW w:type="dxa" w:w="9639"/>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2000"/>
        <w:gridCol w:w="2000"/>
        <w:gridCol w:w="3239"/>
      </w:tblGrid>
      <w:tr>
        <w:trPr>
          <w:tblHeader/>
        </w:trPr>
        <w:tc>
          <w:tcPr>
            <w:tcW w:type="dxa" w:w="24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
            </w:r>
          </w:p>
        </w:tc>
        <w:tc>
          <w:tcPr>
            <w:tcW w:type="dxa" w:w="20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Before</w:t>
            </w:r>
          </w:p>
        </w:tc>
        <w:tc>
          <w:tcPr>
            <w:tcW w:type="dxa" w:w="20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After</w:t>
            </w:r>
          </w:p>
        </w:tc>
        <w:tc>
          <w:tcPr>
            <w:tcW w:type="dxa" w:w="3239"/>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Saved</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Assessment documentation</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98 min avg</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55 min avg</w:t>
            </w:r>
          </w:p>
        </w:tc>
        <w:tc>
          <w:tcPr>
            <w:tcW w:type="dxa" w:w="3239"/>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43 min (44%)</w:t>
            </w:r>
          </w:p>
        </w:tc>
      </w:tr>
    </w:tbl>
    <w:p>
      <w:pPr>
        <w:spacing w:before="0" w:after="0"/>
      </w:pPr>
      <w:r>
        <w:t xml:space="preserve"/>
      </w:r>
    </w:p>
    <w:p>
      <w:pPr>
        <w:spacing w:before="60" w:after="120"/>
      </w:pPr>
      <w:r>
        <w:rPr>
          <w:rFonts w:ascii="Arial" w:cs="Arial" w:eastAsia="Arial" w:hAnsi="Arial"/>
          <w:color w:val="000000"/>
          <w:sz w:val="28"/>
          <w:szCs w:val="28"/>
        </w:rPr>
        <w:t xml:space="preserve">ADOS and clinical assessment sessions showed consistent time savings, with clinicians particularly noting the ability to stay engaged in play-based assessment without losing documentation quality.</w:t>
      </w:r>
    </w:p>
    <w:p>
      <w:pPr>
        <w:pStyle w:val="Bodyquote"/>
      </w:pPr>
      <w:r>
        <w:rPr>
          <w:rFonts w:ascii="Arial" w:cs="Arial" w:eastAsia="Arial" w:hAnsi="Arial"/>
          <w:i/>
          <w:iCs/>
          <w:color w:val="307162"/>
          <w:sz w:val="28"/>
          <w:szCs w:val="28"/>
        </w:rPr>
        <w:t xml:space="preserve">“The play task was so much easier to do as I could engage fully with the young person rather than having to make notes at the same time which always takes away from the play.”</w:t>
      </w:r>
    </w:p>
    <w:p>
      <w:pPr>
        <w:spacing w:before="60" w:after="120"/>
      </w:pPr>
      <w:r>
        <w:rPr>
          <w:rFonts w:ascii="Arial" w:cs="Arial" w:eastAsia="Arial" w:hAnsi="Arial"/>
          <w:color w:val="000000"/>
          <w:sz w:val="28"/>
          <w:szCs w:val="28"/>
        </w:rPr>
        <w:t xml:space="preserve">One important caveat: in ADOS sessions, the tool sometimes summarised communication ability in a generalised way that did not reflect the clinical nuance. Clinicians must review ADOS output carefully — see section 6 for detail.</w:t>
      </w:r>
    </w:p>
    <w:p>
      <w:pPr>
        <w:pStyle w:val="Heading2"/>
      </w:pPr>
      <w:r>
        <w:rPr>
          <w:rFonts w:ascii="Arial" w:cs="Arial" w:eastAsia="Arial" w:hAnsi="Arial"/>
          <w:b/>
          <w:bCs/>
          <w:color w:val="007361"/>
          <w:sz w:val="40"/>
          <w:szCs w:val="40"/>
        </w:rPr>
        <w:t xml:space="preserve">4.4 Panel case presentation</w:t>
      </w:r>
    </w:p>
    <w:tbl>
      <w:tblPr>
        <w:tblW w:type="dxa" w:w="9639"/>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2000"/>
        <w:gridCol w:w="2000"/>
        <w:gridCol w:w="3239"/>
      </w:tblGrid>
      <w:tr>
        <w:trPr>
          <w:tblHeader/>
        </w:trPr>
        <w:tc>
          <w:tcPr>
            <w:tcW w:type="dxa" w:w="24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
            </w:r>
          </w:p>
        </w:tc>
        <w:tc>
          <w:tcPr>
            <w:tcW w:type="dxa" w:w="20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Before</w:t>
            </w:r>
          </w:p>
        </w:tc>
        <w:tc>
          <w:tcPr>
            <w:tcW w:type="dxa" w:w="20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After</w:t>
            </w:r>
          </w:p>
        </w:tc>
        <w:tc>
          <w:tcPr>
            <w:tcW w:type="dxa" w:w="3239"/>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Saved</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Panel preparation</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44 min avg</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38 min avg</w:t>
            </w:r>
          </w:p>
        </w:tc>
        <w:tc>
          <w:tcPr>
            <w:tcW w:type="dxa" w:w="3239"/>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6 min (14%)</w:t>
            </w:r>
          </w:p>
        </w:tc>
      </w:tr>
    </w:tbl>
    <w:p>
      <w:pPr>
        <w:spacing w:before="0" w:after="0"/>
      </w:pPr>
      <w:r>
        <w:t xml:space="preserve"/>
      </w:r>
    </w:p>
    <w:p>
      <w:pPr>
        <w:spacing w:before="60" w:after="120"/>
      </w:pPr>
      <w:r>
        <w:rPr>
          <w:rFonts w:ascii="Arial" w:cs="Arial" w:eastAsia="Arial" w:hAnsi="Arial"/>
          <w:color w:val="000000"/>
          <w:sz w:val="28"/>
          <w:szCs w:val="28"/>
        </w:rPr>
        <w:t xml:space="preserve">Panel case preparation was the most variable task type. Time savings were modest overall, and several clinicians found the task took longer with Magic Notes than without. The core challenge is the tool’s handling of multiple uploaded documents — documented fully in section 6.</w:t>
      </w:r>
    </w:p>
    <w:p>
      <w:pPr>
        <w:spacing w:before="60" w:after="120"/>
      </w:pPr>
      <w:r>
        <w:rPr>
          <w:rFonts w:ascii="Arial" w:cs="Arial" w:eastAsia="Arial" w:hAnsi="Arial"/>
          <w:color w:val="000000"/>
          <w:sz w:val="28"/>
          <w:szCs w:val="28"/>
        </w:rPr>
        <w:t xml:space="preserve">When used solely for live session recording (rather than multi-document upload), panel preparation showed clearer benefits:</w:t>
      </w:r>
    </w:p>
    <w:p>
      <w:pPr>
        <w:pStyle w:val="Bodyquote"/>
      </w:pPr>
      <w:r>
        <w:rPr>
          <w:rFonts w:ascii="Arial" w:cs="Arial" w:eastAsia="Arial" w:hAnsi="Arial"/>
          <w:i/>
          <w:iCs/>
          <w:color w:val="307162"/>
          <w:sz w:val="28"/>
          <w:szCs w:val="28"/>
        </w:rPr>
        <w:t xml:space="preserve">“Being able to add the parent information, school information etc into the panel form was a MASSIVE time save.”</w:t>
      </w:r>
    </w:p>
    <w:p>
      <w:pPr>
        <w:pStyle w:val="Bodyquote"/>
      </w:pPr>
      <w:r>
        <w:rPr>
          <w:rFonts w:ascii="Arial" w:cs="Arial" w:eastAsia="Arial" w:hAnsi="Arial"/>
          <w:i/>
          <w:iCs/>
          <w:color w:val="307162"/>
          <w:sz w:val="28"/>
          <w:szCs w:val="28"/>
        </w:rPr>
        <w:t xml:space="preserve">“Verbatim quotes were available and gave a real insight into her thinking. I usually write everything down myself and it’s difficult to keep up.”</w:t>
      </w:r>
    </w:p>
    <w:p>
      <w:pPr>
        <w:pStyle w:val="Heading2"/>
      </w:pPr>
      <w:r>
        <w:rPr>
          <w:rFonts w:ascii="Arial" w:cs="Arial" w:eastAsia="Arial" w:hAnsi="Arial"/>
          <w:b/>
          <w:bCs/>
          <w:color w:val="007361"/>
          <w:sz w:val="40"/>
          <w:szCs w:val="40"/>
        </w:rPr>
        <w:t xml:space="preserve">4.5 Other uses</w:t>
      </w:r>
    </w:p>
    <w:tbl>
      <w:tblPr>
        <w:tblW w:type="dxa" w:w="9639"/>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2000"/>
        <w:gridCol w:w="2000"/>
        <w:gridCol w:w="3239"/>
      </w:tblGrid>
      <w:tr>
        <w:trPr>
          <w:tblHeader/>
        </w:trPr>
        <w:tc>
          <w:tcPr>
            <w:tcW w:type="dxa" w:w="24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
            </w:r>
          </w:p>
        </w:tc>
        <w:tc>
          <w:tcPr>
            <w:tcW w:type="dxa" w:w="20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Before</w:t>
            </w:r>
          </w:p>
        </w:tc>
        <w:tc>
          <w:tcPr>
            <w:tcW w:type="dxa" w:w="20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After</w:t>
            </w:r>
          </w:p>
        </w:tc>
        <w:tc>
          <w:tcPr>
            <w:tcW w:type="dxa" w:w="3239"/>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Saved</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Dictation, meetings, letters</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84 min avg</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39 min avg</w:t>
            </w:r>
          </w:p>
        </w:tc>
        <w:tc>
          <w:tcPr>
            <w:tcW w:type="dxa" w:w="3239"/>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45 min (54%)</w:t>
            </w:r>
          </w:p>
        </w:tc>
      </w:tr>
    </w:tbl>
    <w:p>
      <w:pPr>
        <w:spacing w:before="0" w:after="0"/>
      </w:pPr>
      <w:r>
        <w:t xml:space="preserve"/>
      </w:r>
    </w:p>
    <w:p>
      <w:pPr>
        <w:spacing w:before="60" w:after="120"/>
      </w:pPr>
      <w:r>
        <w:rPr>
          <w:rFonts w:ascii="Arial" w:cs="Arial" w:eastAsia="Arial" w:hAnsi="Arial"/>
          <w:color w:val="000000"/>
          <w:sz w:val="28"/>
          <w:szCs w:val="28"/>
        </w:rPr>
        <w:t xml:space="preserve">Clinicians found Magic Notes particularly effective for tasks where they would otherwise type up notes from scratch: supervision meetings, MDT discussions, dictating from handwritten notes, and drafting letters. This was where the ADHD team saw their largest savings.</w:t>
      </w:r>
    </w:p>
    <w:p>
      <w:pPr>
        <w:pStyle w:val="Bodyquote"/>
      </w:pPr>
      <w:r>
        <w:rPr>
          <w:rFonts w:ascii="Arial" w:cs="Arial" w:eastAsia="Arial" w:hAnsi="Arial"/>
          <w:i/>
          <w:iCs/>
          <w:color w:val="307162"/>
          <w:sz w:val="28"/>
          <w:szCs w:val="28"/>
        </w:rPr>
        <w:t xml:space="preserve">“Enabled me to see 3 patients rather than 2 because the write-up time was so much shorter and easier.”</w:t>
      </w:r>
    </w:p>
    <w:p>
      <w:pPr>
        <w:pStyle w:val="Bodyquote"/>
      </w:pPr>
      <w:r>
        <w:rPr>
          <w:rFonts w:ascii="Arial" w:cs="Arial" w:eastAsia="Arial" w:hAnsi="Arial"/>
          <w:i/>
          <w:iCs/>
          <w:color w:val="307162"/>
          <w:sz w:val="28"/>
          <w:szCs w:val="28"/>
        </w:rPr>
        <w:t xml:space="preserve">“It put all of the information into summarised categories which made it easier to process the information and share with others.”</w:t>
      </w:r>
    </w:p>
    <w:p>
      <w:pPr>
        <w:pStyle w:val="Heading2"/>
      </w:pPr>
      <w:r>
        <w:rPr>
          <w:rFonts w:ascii="Arial" w:cs="Arial" w:eastAsia="Arial" w:hAnsi="Arial"/>
          <w:b/>
          <w:bCs/>
          <w:color w:val="007361"/>
          <w:sz w:val="40"/>
          <w:szCs w:val="40"/>
        </w:rPr>
        <w:t xml:space="preserve">4.6 ADHD team results</w:t>
      </w:r>
    </w:p>
    <w:tbl>
      <w:tblPr>
        <w:tblW w:type="dxa" w:w="9639"/>
        <w:tblBorders>
          <w:top w:val="single" w:color="AAAAAA" w:sz="4"/>
          <w:left w:val="single" w:color="AAAAAA" w:sz="4"/>
          <w:bottom w:val="single" w:color="AAAAAA" w:sz="4"/>
          <w:right w:val="single" w:color="AAAAAA" w:sz="4"/>
          <w:insideH w:val="single" w:color="auto" w:sz="4"/>
          <w:insideV w:val="single" w:color="auto" w:sz="4"/>
        </w:tblBorders>
      </w:tblPr>
      <w:tblGrid>
        <w:gridCol w:w="3800"/>
        <w:gridCol w:w="2400"/>
        <w:gridCol w:w="3039"/>
      </w:tblGrid>
      <w:tr>
        <w:trPr>
          <w:tblHeader/>
        </w:trPr>
        <w:tc>
          <w:tcPr>
            <w:tcW w:type="dxa" w:w="38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Task type</w:t>
            </w:r>
          </w:p>
        </w:tc>
        <w:tc>
          <w:tcPr>
            <w:tcW w:type="dxa" w:w="24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Avg saving</w:t>
            </w:r>
          </w:p>
        </w:tc>
        <w:tc>
          <w:tcPr>
            <w:tcW w:type="dxa" w:w="3039"/>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Quality: Yes</w:t>
            </w:r>
          </w:p>
        </w:tc>
      </w:tr>
      <w:tr>
        <w:tc>
          <w:tcPr>
            <w:tcW w:type="dxa" w:w="3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Other uses (letters, dictation, admin)</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81%</w:t>
            </w:r>
          </w:p>
        </w:tc>
        <w:tc>
          <w:tcPr>
            <w:tcW w:type="dxa" w:w="3039"/>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100%</w:t>
            </w:r>
          </w:p>
        </w:tc>
      </w:tr>
      <w:tr>
        <w:tc>
          <w:tcPr>
            <w:tcW w:type="dxa" w:w="3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Regular review / DIVA assessment</w:t>
            </w:r>
          </w:p>
        </w:tc>
        <w:tc>
          <w:tcPr>
            <w:tcW w:type="dxa" w:w="2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~55%</w:t>
            </w:r>
          </w:p>
        </w:tc>
        <w:tc>
          <w:tcPr>
            <w:tcW w:type="dxa" w:w="303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100%</w:t>
            </w:r>
          </w:p>
        </w:tc>
      </w:tr>
      <w:tr>
        <w:tc>
          <w:tcPr>
            <w:tcW w:type="dxa" w:w="3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Ratification</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~50%</w:t>
            </w:r>
          </w:p>
        </w:tc>
        <w:tc>
          <w:tcPr>
            <w:tcW w:type="dxa" w:w="3039"/>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100%</w:t>
            </w:r>
          </w:p>
        </w:tc>
      </w:tr>
    </w:tbl>
    <w:p>
      <w:pPr>
        <w:spacing w:before="0" w:after="0"/>
      </w:pPr>
      <w:r>
        <w:t xml:space="preserve"/>
      </w:r>
    </w:p>
    <w:p>
      <w:pPr>
        <w:spacing w:before="60" w:after="120"/>
      </w:pPr>
      <w:r>
        <w:rPr>
          <w:rFonts w:ascii="Arial" w:cs="Arial" w:eastAsia="Arial" w:hAnsi="Arial"/>
          <w:color w:val="000000"/>
          <w:sz w:val="28"/>
          <w:szCs w:val="28"/>
        </w:rPr>
        <w:t xml:space="preserve">The ADHD team showed the strongest and most consistent results in the programme, with 100% quality improvement ratings across all task types. The team reported a smooth experience with the tool, with ease-of-use scores averaging 4.5/5 — the highest across any team in either pilot.</w:t>
      </w:r>
    </w:p>
    <w:p>
      <w:r>
        <w:br w:type="page"/>
      </w:r>
    </w:p>
    <w:p>
      <w:pPr>
        <w:pStyle w:val="Heading1"/>
      </w:pPr>
      <w:r>
        <w:rPr>
          <w:rFonts w:ascii="Arial" w:cs="Arial" w:eastAsia="Arial" w:hAnsi="Arial"/>
          <w:b/>
          <w:bCs/>
          <w:color w:val="000000"/>
          <w:sz w:val="56"/>
          <w:szCs w:val="56"/>
        </w:rPr>
        <w:t xml:space="preserve">5. Effects on clinicians and families</w:t>
      </w:r>
    </w:p>
    <w:p>
      <w:pPr>
        <w:pStyle w:val="Heading2"/>
      </w:pPr>
      <w:r>
        <w:rPr>
          <w:rFonts w:ascii="Arial" w:cs="Arial" w:eastAsia="Arial" w:hAnsi="Arial"/>
          <w:b/>
          <w:bCs/>
          <w:color w:val="007361"/>
          <w:sz w:val="40"/>
          <w:szCs w:val="40"/>
        </w:rPr>
        <w:t xml:space="preserve">Clinicians could observe more</w:t>
      </w:r>
    </w:p>
    <w:p>
      <w:pPr>
        <w:spacing w:before="60" w:after="120"/>
      </w:pPr>
      <w:r>
        <w:rPr>
          <w:rFonts w:ascii="Arial" w:cs="Arial" w:eastAsia="Arial" w:hAnsi="Arial"/>
          <w:color w:val="000000"/>
          <w:sz w:val="28"/>
          <w:szCs w:val="28"/>
        </w:rPr>
        <w:t xml:space="preserve">The removal of simultaneous note-taking changed the quality of assessment. Clinicians described noticing behaviours they would previously have missed, following the child’s lead more naturally, and conducting richer assessments as a result.</w:t>
      </w:r>
    </w:p>
    <w:p>
      <w:pPr>
        <w:pStyle w:val="Bodyquote"/>
      </w:pPr>
      <w:r>
        <w:rPr>
          <w:rFonts w:ascii="Arial" w:cs="Arial" w:eastAsia="Arial" w:hAnsi="Arial"/>
          <w:i/>
          <w:iCs/>
          <w:color w:val="307162"/>
          <w:sz w:val="28"/>
          <w:szCs w:val="28"/>
        </w:rPr>
        <w:t xml:space="preserve">“It has changed the way I can assess and focus on the child. Parents and the interaction between myself and the child and myself and the parents is much better and focused. I am gathering and capturing more information.”</w:t>
      </w:r>
    </w:p>
    <w:p>
      <w:pPr>
        <w:pStyle w:val="Heading2"/>
      </w:pPr>
      <w:r>
        <w:rPr>
          <w:rFonts w:ascii="Arial" w:cs="Arial" w:eastAsia="Arial" w:hAnsi="Arial"/>
          <w:b/>
          <w:bCs/>
          <w:color w:val="007361"/>
          <w:sz w:val="40"/>
          <w:szCs w:val="40"/>
        </w:rPr>
        <w:t xml:space="preserve">Families felt heard</w:t>
      </w:r>
    </w:p>
    <w:p>
      <w:pPr>
        <w:spacing w:before="60" w:after="120"/>
      </w:pPr>
      <w:r>
        <w:rPr>
          <w:rFonts w:ascii="Arial" w:cs="Arial" w:eastAsia="Arial" w:hAnsi="Arial"/>
          <w:color w:val="000000"/>
          <w:sz w:val="28"/>
          <w:szCs w:val="28"/>
        </w:rPr>
        <w:t xml:space="preserve">Multiple clinicians reported changes in how families experienced the assessment. When the clinician was not typing, parents and children responded differently — sharing more, engaging more, and leaving with a stronger sense that their information had been captured.</w:t>
      </w:r>
    </w:p>
    <w:p>
      <w:pPr>
        <w:pStyle w:val="Bodyquote"/>
      </w:pPr>
      <w:r>
        <w:rPr>
          <w:rFonts w:ascii="Arial" w:cs="Arial" w:eastAsia="Arial" w:hAnsi="Arial"/>
          <w:i/>
          <w:iCs/>
          <w:color w:val="307162"/>
          <w:sz w:val="28"/>
          <w:szCs w:val="28"/>
        </w:rPr>
        <w:t xml:space="preserve">“Parents have been happy to consent to Magic Notes, which has surprised me. I believe it has helped parents feel heard when they know their comments are being recorded and written up alongside the assessment.”</w:t>
      </w:r>
    </w:p>
    <w:p>
      <w:pPr>
        <w:pStyle w:val="Heading2"/>
      </w:pPr>
      <w:r>
        <w:rPr>
          <w:rFonts w:ascii="Arial" w:cs="Arial" w:eastAsia="Arial" w:hAnsi="Arial"/>
          <w:b/>
          <w:bCs/>
          <w:color w:val="007361"/>
          <w:sz w:val="40"/>
          <w:szCs w:val="40"/>
        </w:rPr>
        <w:t xml:space="preserve">Clinicians started tasks they would have deferred</w:t>
      </w:r>
    </w:p>
    <w:p>
      <w:pPr>
        <w:spacing w:before="60" w:after="120"/>
      </w:pPr>
      <w:r>
        <w:rPr>
          <w:rFonts w:ascii="Arial" w:cs="Arial" w:eastAsia="Arial" w:hAnsi="Arial"/>
          <w:color w:val="000000"/>
          <w:sz w:val="28"/>
          <w:szCs w:val="28"/>
        </w:rPr>
        <w:t xml:space="preserve">One of the clearest indicators of the tool’s impact was clinicians beginning tasks at times they would normally avoid — late afternoon, between sessions, in gaps they would previously have spent recovering.</w:t>
      </w:r>
    </w:p>
    <w:p>
      <w:pPr>
        <w:pStyle w:val="Bodyquote"/>
      </w:pPr>
      <w:r>
        <w:rPr>
          <w:rFonts w:ascii="Arial" w:cs="Arial" w:eastAsia="Arial" w:hAnsi="Arial"/>
          <w:i/>
          <w:iCs/>
          <w:color w:val="307162"/>
          <w:sz w:val="28"/>
          <w:szCs w:val="28"/>
        </w:rPr>
        <w:t xml:space="preserve">“I wouldn’t have started it at 4.55pm if I was going to do it myself — but I did, because I knew Magic Notes would take a while to upload and it would be ready while I did other tasks.”</w:t>
      </w:r>
    </w:p>
    <w:p>
      <w:pPr>
        <w:pStyle w:val="Bodyquote"/>
      </w:pPr>
      <w:r>
        <w:rPr>
          <w:rFonts w:ascii="Arial" w:cs="Arial" w:eastAsia="Arial" w:hAnsi="Arial"/>
          <w:i/>
          <w:iCs/>
          <w:color w:val="307162"/>
          <w:sz w:val="28"/>
          <w:szCs w:val="28"/>
        </w:rPr>
        <w:t xml:space="preserve">“I don’t get put off starting draining, mental-effort-needing tasks at the end of the day when exhausted from a clinic, as I know Magic Notes will do the work for me.”</w:t>
      </w:r>
    </w:p>
    <w:p>
      <w:pPr>
        <w:pStyle w:val="Heading2"/>
      </w:pPr>
      <w:r>
        <w:rPr>
          <w:rFonts w:ascii="Arial" w:cs="Arial" w:eastAsia="Arial" w:hAnsi="Arial"/>
          <w:b/>
          <w:bCs/>
          <w:color w:val="007361"/>
          <w:sz w:val="40"/>
          <w:szCs w:val="40"/>
        </w:rPr>
        <w:t xml:space="preserve">Reports contained more detail</w:t>
      </w:r>
    </w:p>
    <w:p>
      <w:pPr>
        <w:spacing w:before="60" w:after="120"/>
      </w:pPr>
      <w:r>
        <w:rPr>
          <w:rFonts w:ascii="Arial" w:cs="Arial" w:eastAsia="Arial" w:hAnsi="Arial"/>
          <w:color w:val="000000"/>
          <w:sz w:val="28"/>
          <w:szCs w:val="28"/>
        </w:rPr>
        <w:t xml:space="preserve">Several clinicians noted that Magic Notes produced reports with more detail, more verbatim quotes, and more structured information than they could produce manually in the same time.</w:t>
      </w:r>
    </w:p>
    <w:p>
      <w:pPr>
        <w:pStyle w:val="Bodyquote"/>
      </w:pPr>
      <w:r>
        <w:rPr>
          <w:rFonts w:ascii="Arial" w:cs="Arial" w:eastAsia="Arial" w:hAnsi="Arial"/>
          <w:i/>
          <w:iCs/>
          <w:color w:val="307162"/>
          <w:sz w:val="28"/>
          <w:szCs w:val="28"/>
        </w:rPr>
        <w:t xml:space="preserve">“Verbatim entries saved me dictating some quotes out, could cut and paste instead.”</w:t>
      </w:r>
    </w:p>
    <w:p>
      <w:pPr>
        <w:pStyle w:val="Bodyquote"/>
      </w:pPr>
      <w:r>
        <w:rPr>
          <w:rFonts w:ascii="Arial" w:cs="Arial" w:eastAsia="Arial" w:hAnsi="Arial"/>
          <w:i/>
          <w:iCs/>
          <w:color w:val="307162"/>
          <w:sz w:val="28"/>
          <w:szCs w:val="28"/>
        </w:rPr>
        <w:t xml:space="preserve">“More able to focus on observations and interaction, less note taking. Picked up very quiet voice of child.”</w:t>
      </w:r>
    </w:p>
    <w:p>
      <w:r>
        <w:br w:type="page"/>
      </w:r>
    </w:p>
    <w:p>
      <w:pPr>
        <w:pStyle w:val="Heading1"/>
      </w:pPr>
      <w:r>
        <w:rPr>
          <w:rFonts w:ascii="Arial" w:cs="Arial" w:eastAsia="Arial" w:hAnsi="Arial"/>
          <w:b/>
          <w:bCs/>
          <w:color w:val="000000"/>
          <w:sz w:val="56"/>
          <w:szCs w:val="56"/>
        </w:rPr>
        <w:t xml:space="preserve">6. Challenges and limitations</w:t>
      </w:r>
    </w:p>
    <w:p>
      <w:pPr>
        <w:pStyle w:val="Heading2"/>
      </w:pPr>
      <w:r>
        <w:rPr>
          <w:rFonts w:ascii="Arial" w:cs="Arial" w:eastAsia="Arial" w:hAnsi="Arial"/>
          <w:b/>
          <w:bCs/>
          <w:color w:val="007361"/>
          <w:sz w:val="40"/>
          <w:szCs w:val="40"/>
        </w:rPr>
        <w:t xml:space="preserve">6.1 Multi-source document merging — the key challenge</w:t>
      </w:r>
    </w:p>
    <w:p>
      <w:pPr>
        <w:spacing w:before="60" w:after="120"/>
      </w:pPr>
      <w:r>
        <w:rPr>
          <w:rFonts w:ascii="Arial" w:cs="Arial" w:eastAsia="Arial" w:hAnsi="Arial"/>
          <w:color w:val="000000"/>
          <w:sz w:val="28"/>
          <w:szCs w:val="28"/>
        </w:rPr>
        <w:t xml:space="preserve">The most significant challenge specific to the Hywel Dda Autism team was the tool’s handling of multiple uploaded source documents. The autism assessment pathway requires combining ADOS observation notes, parental questionnaires, school reports, and clinical assessment data into a single panel report. When multiple documents are uploaded to one Magic Notes session, the tool merges content across sections in ways that require extensive checking and correction.</w:t>
      </w:r>
    </w:p>
    <w:p>
      <w:pPr>
        <w:pStyle w:val="Bodyquote"/>
      </w:pPr>
      <w:r>
        <w:rPr>
          <w:rFonts w:ascii="Arial" w:cs="Arial" w:eastAsia="Arial" w:hAnsi="Arial"/>
          <w:i/>
          <w:iCs/>
          <w:color w:val="307162"/>
          <w:sz w:val="28"/>
          <w:szCs w:val="28"/>
        </w:rPr>
        <w:t xml:space="preserve">“I have stopped adding the Magic Notes from the clinical session automatically because it changes all the information and adds parent and school info into the clinical observations section plus reduces the original Magic Notes info on my actual observations. It is easier if I copy and paste manually.”</w:t>
      </w:r>
    </w:p>
    <w:p>
      <w:pPr>
        <w:pStyle w:val="Bodyquote"/>
      </w:pPr>
      <w:r>
        <w:rPr>
          <w:rFonts w:ascii="Arial" w:cs="Arial" w:eastAsia="Arial" w:hAnsi="Arial"/>
          <w:i/>
          <w:iCs/>
          <w:color w:val="307162"/>
          <w:sz w:val="28"/>
          <w:szCs w:val="28"/>
        </w:rPr>
        <w:t xml:space="preserve">“I can’t get the panel template to work correctly — it takes the school questionnaire information and writes it as if it is a direct observation of the child in that section as well as putting it into the school information received section.”</w:t>
      </w:r>
    </w:p>
    <w:p>
      <w:pPr>
        <w:spacing w:before="0" w:after="0"/>
      </w:pPr>
      <w:r>
        <w:t xml:space="preserve"/>
      </w:r>
    </w:p>
    <w:p>
      <w:pPr>
        <w:spacing w:before="60" w:after="120"/>
      </w:pPr>
      <w:r>
        <w:rPr>
          <w:rFonts w:ascii="Arial" w:cs="Arial" w:eastAsia="Arial" w:hAnsi="Arial"/>
          <w:color w:val="000000"/>
          <w:sz w:val="28"/>
          <w:szCs w:val="28"/>
        </w:rPr>
        <w:t xml:space="preserve">The consequence is that clinicians who work primarily from dictation found panel preparation took longer with Magic Notes than without, because the structured output required reformatting. Several developed workarounds: uploading documents separately, copying and pasting manually, or using Magic Notes only for the live session component and handling questionnaire data themselves.</w:t>
      </w:r>
    </w:p>
    <w:p>
      <w:pPr>
        <w:spacing w:before="60" w:after="120"/>
      </w:pPr>
      <w:r>
        <w:rPr>
          <w:rFonts w:ascii="Arial" w:cs="Arial" w:eastAsia="Arial" w:hAnsi="Arial"/>
          <w:color w:val="000000"/>
          <w:sz w:val="28"/>
          <w:szCs w:val="28"/>
        </w:rPr>
        <w:t xml:space="preserve">A blank template or plain document output option was the most commonly requested improvement across all feedback. This would allow clinicians to use Magic Notes for capture and transcription without the content being forced into a pre-structured template.</w:t>
      </w:r>
    </w:p>
    <w:p>
      <w:pPr>
        <w:pStyle w:val="Heading2"/>
      </w:pPr>
      <w:r>
        <w:rPr>
          <w:rFonts w:ascii="Arial" w:cs="Arial" w:eastAsia="Arial" w:hAnsi="Arial"/>
          <w:b/>
          <w:bCs/>
          <w:color w:val="007361"/>
          <w:sz w:val="40"/>
          <w:szCs w:val="40"/>
        </w:rPr>
        <w:t xml:space="preserve">6.2 Accuracy and summarisation risk</w:t>
      </w:r>
    </w:p>
    <w:p>
      <w:pPr>
        <w:spacing w:before="60" w:after="120"/>
      </w:pPr>
      <w:r>
        <w:rPr>
          <w:rFonts w:ascii="Arial" w:cs="Arial" w:eastAsia="Arial" w:hAnsi="Arial"/>
          <w:color w:val="000000"/>
          <w:sz w:val="28"/>
          <w:szCs w:val="28"/>
        </w:rPr>
        <w:t xml:space="preserve">Both teams flagged that Magic Notes output requires careful review before finalising. Specific concerns:</w:t>
      </w:r>
    </w:p>
    <w:p>
      <w:pPr>
        <w:pStyle w:val="ListParagraph"/>
        <w:numPr>
          <w:ilvl w:val="0"/>
          <w:numId w:val="2"/>
        </w:numPr>
      </w:pPr>
      <w:r>
        <w:rPr>
          <w:rFonts w:ascii="Arial" w:cs="Arial" w:eastAsia="Arial" w:hAnsi="Arial"/>
          <w:b/>
          <w:bCs/>
          <w:sz w:val="28"/>
          <w:szCs w:val="28"/>
        </w:rPr>
        <w:t xml:space="preserve">ADOS sessions: </w:t>
      </w:r>
      <w:r>
        <w:rPr>
          <w:rFonts w:ascii="Arial" w:cs="Arial" w:eastAsia="Arial" w:hAnsi="Arial"/>
          <w:sz w:val="28"/>
          <w:szCs w:val="28"/>
        </w:rPr>
        <w:t xml:space="preserve">the tool sometimes summarised communication ability in a generalised way that did not reflect clinical nuance — e.g. describing a child as having “good conversational ability” when the clinician had been prompting word by word</w:t>
      </w:r>
    </w:p>
    <w:p>
      <w:pPr>
        <w:pStyle w:val="ListParagraph"/>
        <w:numPr>
          <w:ilvl w:val="0"/>
          <w:numId w:val="2"/>
        </w:numPr>
      </w:pPr>
      <w:r>
        <w:rPr>
          <w:rFonts w:ascii="Arial" w:cs="Arial" w:eastAsia="Arial" w:hAnsi="Arial"/>
          <w:b/>
          <w:bCs/>
          <w:sz w:val="28"/>
          <w:szCs w:val="28"/>
        </w:rPr>
        <w:t xml:space="preserve">ADHD reviews: </w:t>
      </w:r>
      <w:r>
        <w:rPr>
          <w:rFonts w:ascii="Arial" w:cs="Arial" w:eastAsia="Arial" w:hAnsi="Arial"/>
          <w:sz w:val="28"/>
          <w:szCs w:val="28"/>
        </w:rPr>
        <w:t xml:space="preserve">the tool hallucinated medication names and dosages in two sessions. All medication references must be independently verified before finalising notes</w:t>
      </w:r>
    </w:p>
    <w:p>
      <w:pPr>
        <w:pStyle w:val="ListParagraph"/>
        <w:numPr>
          <w:ilvl w:val="0"/>
          <w:numId w:val="2"/>
        </w:numPr>
      </w:pPr>
      <w:r>
        <w:rPr>
          <w:rFonts w:ascii="Arial" w:cs="Arial" w:eastAsia="Arial" w:hAnsi="Arial"/>
          <w:b/>
          <w:bCs/>
          <w:sz w:val="28"/>
          <w:szCs w:val="28"/>
        </w:rPr>
        <w:t xml:space="preserve">Sections omitted: </w:t>
      </w:r>
      <w:r>
        <w:rPr>
          <w:rFonts w:ascii="Arial" w:cs="Arial" w:eastAsia="Arial" w:hAnsi="Arial"/>
          <w:sz w:val="28"/>
          <w:szCs w:val="28"/>
        </w:rPr>
        <w:t xml:space="preserve">in some sessions, key clinical areas were marked as “not mentioned” despite being clearly present in the recording</w:t>
      </w:r>
    </w:p>
    <w:p>
      <w:pPr>
        <w:pStyle w:val="ListParagraph"/>
        <w:numPr>
          <w:ilvl w:val="0"/>
          <w:numId w:val="2"/>
        </w:numPr>
      </w:pPr>
      <w:r>
        <w:rPr>
          <w:rFonts w:ascii="Arial" w:cs="Arial" w:eastAsia="Arial" w:hAnsi="Arial"/>
          <w:b/>
          <w:bCs/>
          <w:sz w:val="28"/>
          <w:szCs w:val="28"/>
        </w:rPr>
        <w:t xml:space="preserve">Attribution errors: </w:t>
      </w:r>
      <w:r>
        <w:rPr>
          <w:rFonts w:ascii="Arial" w:cs="Arial" w:eastAsia="Arial" w:hAnsi="Arial"/>
          <w:sz w:val="28"/>
          <w:szCs w:val="28"/>
        </w:rPr>
        <w:t xml:space="preserve">information from different sources was sometimes attributed to the wrong person (parent reported as clinician observed, school information placed in assessment section)</w:t>
      </w:r>
    </w:p>
    <w:p>
      <w:pPr>
        <w:spacing w:before="0" w:after="0"/>
      </w:pPr>
      <w:r>
        <w:t xml:space="preserve"/>
      </w:r>
    </w:p>
    <w:p>
      <w:pPr>
        <w:pStyle w:val="Bodyquote"/>
      </w:pPr>
      <w:r>
        <w:rPr>
          <w:rFonts w:ascii="Arial" w:cs="Arial" w:eastAsia="Arial" w:hAnsi="Arial"/>
          <w:i/>
          <w:iCs/>
          <w:color w:val="307162"/>
          <w:sz w:val="28"/>
          <w:szCs w:val="28"/>
        </w:rPr>
        <w:t xml:space="preserve">“Main concern is when it summarises info, it takes away some of the very useful information which would certainly change the MDT’s panel decision on an outcome which is a risk.”</w:t>
      </w:r>
    </w:p>
    <w:p>
      <w:pPr>
        <w:pStyle w:val="Heading2"/>
      </w:pPr>
      <w:r>
        <w:rPr>
          <w:rFonts w:ascii="Arial" w:cs="Arial" w:eastAsia="Arial" w:hAnsi="Arial"/>
          <w:b/>
          <w:bCs/>
          <w:color w:val="007361"/>
          <w:sz w:val="40"/>
          <w:szCs w:val="40"/>
        </w:rPr>
        <w:t xml:space="preserve">6.3 Technical access issues</w:t>
      </w:r>
    </w:p>
    <w:p>
      <w:pPr>
        <w:pStyle w:val="ListParagraph"/>
        <w:numPr>
          <w:ilvl w:val="0"/>
          <w:numId w:val="2"/>
        </w:numPr>
      </w:pPr>
      <w:r>
        <w:rPr>
          <w:rFonts w:ascii="Arial" w:cs="Arial" w:eastAsia="Arial" w:hAnsi="Arial"/>
          <w:color w:val="000000"/>
          <w:sz w:val="28"/>
          <w:szCs w:val="28"/>
        </w:rPr>
        <w:t xml:space="preserve">Phone screen locking during recording stopped capture mid-session</w:t>
      </w:r>
    </w:p>
    <w:p>
      <w:pPr>
        <w:pStyle w:val="ListParagraph"/>
        <w:numPr>
          <w:ilvl w:val="0"/>
          <w:numId w:val="2"/>
        </w:numPr>
      </w:pPr>
      <w:r>
        <w:rPr>
          <w:rFonts w:ascii="Arial" w:cs="Arial" w:eastAsia="Arial" w:hAnsi="Arial"/>
          <w:color w:val="000000"/>
          <w:sz w:val="28"/>
          <w:szCs w:val="28"/>
        </w:rPr>
        <w:t xml:space="preserve">Login passcode delays caused families to wait at the start of appointments</w:t>
      </w:r>
    </w:p>
    <w:p>
      <w:pPr>
        <w:pStyle w:val="ListParagraph"/>
        <w:numPr>
          <w:ilvl w:val="0"/>
          <w:numId w:val="2"/>
        </w:numPr>
      </w:pPr>
      <w:r>
        <w:rPr>
          <w:rFonts w:ascii="Arial" w:cs="Arial" w:eastAsia="Arial" w:hAnsi="Arial"/>
          <w:color w:val="000000"/>
          <w:sz w:val="28"/>
          <w:szCs w:val="28"/>
        </w:rPr>
        <w:t xml:space="preserve">Intermittent internet connectivity affected recordings in some locations</w:t>
      </w:r>
    </w:p>
    <w:p>
      <w:pPr>
        <w:pStyle w:val="ListParagraph"/>
        <w:numPr>
          <w:ilvl w:val="0"/>
          <w:numId w:val="2"/>
        </w:numPr>
      </w:pPr>
      <w:r>
        <w:rPr>
          <w:rFonts w:ascii="Arial" w:cs="Arial" w:eastAsia="Arial" w:hAnsi="Arial"/>
          <w:color w:val="000000"/>
          <w:sz w:val="28"/>
          <w:szCs w:val="28"/>
        </w:rPr>
        <w:t xml:space="preserve">The tool cannot currently handle screenshots from WelshPAS as source documents</w:t>
      </w:r>
    </w:p>
    <w:p>
      <w:pPr>
        <w:pStyle w:val="Heading2"/>
      </w:pPr>
      <w:r>
        <w:rPr>
          <w:rFonts w:ascii="Arial" w:cs="Arial" w:eastAsia="Arial" w:hAnsi="Arial"/>
          <w:b/>
          <w:bCs/>
          <w:color w:val="007361"/>
          <w:sz w:val="40"/>
          <w:szCs w:val="40"/>
        </w:rPr>
        <w:t xml:space="preserve">6.4 Welsh language</w:t>
      </w:r>
    </w:p>
    <w:p>
      <w:pPr>
        <w:spacing w:before="60" w:after="120"/>
      </w:pPr>
      <w:r>
        <w:rPr>
          <w:rFonts w:ascii="Arial" w:cs="Arial" w:eastAsia="Arial" w:hAnsi="Arial"/>
          <w:color w:val="000000"/>
          <w:sz w:val="28"/>
          <w:szCs w:val="28"/>
        </w:rPr>
        <w:t xml:space="preserve">Welsh-language and bilingual sessions were not systematically tested by the Hywel Dda teams during this diary study. The CTM pilot found hallucinations in Welsh-medium sessions. This risk should be assessed before any use of Magic Notes in Welsh-only clinical contexts.</w:t>
      </w:r>
    </w:p>
    <w:p>
      <w:r>
        <w:br w:type="page"/>
      </w:r>
    </w:p>
    <w:p>
      <w:pPr>
        <w:pStyle w:val="Heading1"/>
      </w:pPr>
      <w:r>
        <w:rPr>
          <w:rFonts w:ascii="Arial" w:cs="Arial" w:eastAsia="Arial" w:hAnsi="Arial"/>
          <w:b/>
          <w:bCs/>
          <w:color w:val="000000"/>
          <w:sz w:val="56"/>
          <w:szCs w:val="56"/>
        </w:rPr>
        <w:t xml:space="preserve">7. Lessons learned</w:t>
      </w:r>
    </w:p>
    <w:p>
      <w:pPr>
        <w:pStyle w:val="Heading2"/>
      </w:pPr>
      <w:r>
        <w:rPr>
          <w:rFonts w:ascii="Arial" w:cs="Arial" w:eastAsia="Arial" w:hAnsi="Arial"/>
          <w:b/>
          <w:bCs/>
          <w:color w:val="007361"/>
          <w:sz w:val="40"/>
          <w:szCs w:val="40"/>
        </w:rPr>
        <w:t xml:space="preserve">7.1 The tool works best for live recording, not document assembly</w:t>
      </w:r>
    </w:p>
    <w:p>
      <w:pPr>
        <w:spacing w:before="60" w:after="120"/>
      </w:pPr>
      <w:r>
        <w:rPr>
          <w:rFonts w:ascii="Arial" w:cs="Arial" w:eastAsia="Arial" w:hAnsi="Arial"/>
          <w:color w:val="000000"/>
          <w:sz w:val="28"/>
          <w:szCs w:val="28"/>
        </w:rPr>
        <w:t xml:space="preserve">The clearest pattern across all feedback is that Magic Notes performs most reliably when used to capture a live session and produce a draft report from that recording. The more a workflow requires combining multiple pre-existing documents, the more complex and variable the output becomes.</w:t>
      </w:r>
    </w:p>
    <w:p>
      <w:pPr>
        <w:spacing w:before="60" w:after="120"/>
      </w:pPr>
      <w:r>
        <w:rPr>
          <w:rFonts w:ascii="Arial" w:cs="Arial" w:eastAsia="Arial" w:hAnsi="Arial"/>
          <w:color w:val="000000"/>
          <w:sz w:val="28"/>
          <w:szCs w:val="28"/>
        </w:rPr>
        <w:t xml:space="preserve">The lesson: use Magic Notes as a live capture and transcription tool. Where multi-source assembly is needed, use it for the session component and handle other documents separately, at least until document separation is improved.</w:t>
      </w:r>
    </w:p>
    <w:p>
      <w:pPr>
        <w:pStyle w:val="Heading2"/>
      </w:pPr>
      <w:r>
        <w:rPr>
          <w:rFonts w:ascii="Arial" w:cs="Arial" w:eastAsia="Arial" w:hAnsi="Arial"/>
          <w:b/>
          <w:bCs/>
          <w:color w:val="007361"/>
          <w:sz w:val="40"/>
          <w:szCs w:val="40"/>
        </w:rPr>
        <w:t xml:space="preserve">7.2 Templates need iteration and local ownership</w:t>
      </w:r>
    </w:p>
    <w:p>
      <w:pPr>
        <w:spacing w:before="60" w:after="120"/>
      </w:pPr>
      <w:r>
        <w:rPr>
          <w:rFonts w:ascii="Arial" w:cs="Arial" w:eastAsia="Arial" w:hAnsi="Arial"/>
          <w:color w:val="000000"/>
          <w:sz w:val="28"/>
          <w:szCs w:val="28"/>
        </w:rPr>
        <w:t xml:space="preserve">As with the CTM pilot, templates that match local practice produce significantly better output than generic defaults. The Hywel Dda teams identified several template improvements during the diary study, and the teams that engaged most actively with template customisation saw the strongest results.</w:t>
      </w:r>
    </w:p>
    <w:p>
      <w:pPr>
        <w:pStyle w:val="Bodyquote"/>
      </w:pPr>
      <w:r>
        <w:rPr>
          <w:rFonts w:ascii="Arial" w:cs="Arial" w:eastAsia="Arial" w:hAnsi="Arial"/>
          <w:i/>
          <w:iCs/>
          <w:color w:val="307162"/>
          <w:sz w:val="28"/>
          <w:szCs w:val="28"/>
        </w:rPr>
        <w:t xml:space="preserve">“If we had Magic Notes full time we could adjust it even more to suit what we need it for.”</w:t>
      </w:r>
    </w:p>
    <w:p>
      <w:pPr>
        <w:spacing w:before="60" w:after="120"/>
      </w:pPr>
      <w:r>
        <w:rPr>
          <w:rFonts w:ascii="Arial" w:cs="Arial" w:eastAsia="Arial" w:hAnsi="Arial"/>
          <w:color w:val="000000"/>
          <w:sz w:val="28"/>
          <w:szCs w:val="28"/>
        </w:rPr>
        <w:t xml:space="preserve">The lesson: template building is an ongoing collaboration between clinicians and the vendor. Budget time for this — it is not a one-off setup task.</w:t>
      </w:r>
    </w:p>
    <w:p>
      <w:pPr>
        <w:pStyle w:val="Heading2"/>
      </w:pPr>
      <w:r>
        <w:rPr>
          <w:rFonts w:ascii="Arial" w:cs="Arial" w:eastAsia="Arial" w:hAnsi="Arial"/>
          <w:b/>
          <w:bCs/>
          <w:color w:val="007361"/>
          <w:sz w:val="40"/>
          <w:szCs w:val="40"/>
        </w:rPr>
        <w:t xml:space="preserve">7.3 Clinicians who dictate have a different experience</w:t>
      </w:r>
    </w:p>
    <w:p>
      <w:pPr>
        <w:spacing w:before="60" w:after="120"/>
      </w:pPr>
      <w:r>
        <w:rPr>
          <w:rFonts w:ascii="Arial" w:cs="Arial" w:eastAsia="Arial" w:hAnsi="Arial"/>
          <w:color w:val="000000"/>
          <w:sz w:val="28"/>
          <w:szCs w:val="28"/>
        </w:rPr>
        <w:t xml:space="preserve">Clinicians who are already comfortable dictating directly found that Magic Notes changed their workflow in ways that sometimes added rather than reduced effort — particularly for panel preparation. The tool produces a structured output that requires cross-referencing, where dictation produces output in exactly the right place from the start.</w:t>
      </w:r>
    </w:p>
    <w:p>
      <w:pPr>
        <w:spacing w:before="60" w:after="120"/>
      </w:pPr>
      <w:r>
        <w:rPr>
          <w:rFonts w:ascii="Arial" w:cs="Arial" w:eastAsia="Arial" w:hAnsi="Arial"/>
          <w:color w:val="000000"/>
          <w:sz w:val="28"/>
          <w:szCs w:val="28"/>
        </w:rPr>
        <w:t xml:space="preserve">The lesson: the tool’s benefit varies by existing workflow. It is most transformative for clinicians who currently type notes during or after sessions; it is less clearly beneficial for experienced dictators doing complex structured tasks.</w:t>
      </w:r>
    </w:p>
    <w:p>
      <w:pPr>
        <w:pStyle w:val="Heading2"/>
      </w:pPr>
      <w:r>
        <w:rPr>
          <w:rFonts w:ascii="Arial" w:cs="Arial" w:eastAsia="Arial" w:hAnsi="Arial"/>
          <w:b/>
          <w:bCs/>
          <w:color w:val="007361"/>
          <w:sz w:val="40"/>
          <w:szCs w:val="40"/>
        </w:rPr>
        <w:t xml:space="preserve">7.4 Build in time to learn the tool</w:t>
      </w:r>
    </w:p>
    <w:p>
      <w:pPr>
        <w:spacing w:before="60" w:after="120"/>
      </w:pPr>
      <w:r>
        <w:rPr>
          <w:rFonts w:ascii="Arial" w:cs="Arial" w:eastAsia="Arial" w:hAnsi="Arial"/>
          <w:color w:val="000000"/>
          <w:sz w:val="28"/>
          <w:szCs w:val="28"/>
        </w:rPr>
        <w:t xml:space="preserve">Clinicians consistently reported a learning curve of several sessions before they trusted the tool enough to stop double-documenting. The teams that allowed time for this — rather than expecting immediate productivity gains — reported better outcomes.</w:t>
      </w:r>
    </w:p>
    <w:p>
      <w:pPr>
        <w:pStyle w:val="Bodyquote"/>
      </w:pPr>
      <w:r>
        <w:rPr>
          <w:rFonts w:ascii="Arial" w:cs="Arial" w:eastAsia="Arial" w:hAnsi="Arial"/>
          <w:i/>
          <w:iCs/>
          <w:color w:val="307162"/>
          <w:sz w:val="28"/>
          <w:szCs w:val="28"/>
        </w:rPr>
        <w:t xml:space="preserve">“I think I can get faster the more I use it.”</w:t>
      </w:r>
    </w:p>
    <w:p>
      <w:pPr>
        <w:pStyle w:val="Heading2"/>
      </w:pPr>
      <w:r>
        <w:rPr>
          <w:rFonts w:ascii="Arial" w:cs="Arial" w:eastAsia="Arial" w:hAnsi="Arial"/>
          <w:b/>
          <w:bCs/>
          <w:color w:val="007361"/>
          <w:sz w:val="40"/>
          <w:szCs w:val="40"/>
        </w:rPr>
        <w:t xml:space="preserve">7.5 Prompts matter</w:t>
      </w:r>
    </w:p>
    <w:p>
      <w:pPr>
        <w:spacing w:before="60" w:after="120"/>
      </w:pPr>
      <w:r>
        <w:rPr>
          <w:rFonts w:ascii="Arial" w:cs="Arial" w:eastAsia="Arial" w:hAnsi="Arial"/>
          <w:color w:val="000000"/>
          <w:sz w:val="28"/>
          <w:szCs w:val="28"/>
        </w:rPr>
        <w:t xml:space="preserve">Clinicians who learned to use Magic Notes’ “add information” and prompt functions effectively got significantly more out of the tool than those using it passively. Writing clear prompts to request specific additional detail, change formatting, or reorganise output was a key skill.</w:t>
      </w:r>
    </w:p>
    <w:p>
      <w:pPr>
        <w:pStyle w:val="Bodyquote"/>
      </w:pPr>
      <w:r>
        <w:rPr>
          <w:rFonts w:ascii="Arial" w:cs="Arial" w:eastAsia="Arial" w:hAnsi="Arial"/>
          <w:i/>
          <w:iCs/>
          <w:color w:val="307162"/>
          <w:sz w:val="28"/>
          <w:szCs w:val="28"/>
        </w:rPr>
        <w:t xml:space="preserve">“I’m now using the add info function and that provides much more detailed info about specific areas I want. I think this bit will really help me.”</w:t>
      </w:r>
    </w:p>
    <w:p>
      <w:r>
        <w:br w:type="page"/>
      </w:r>
    </w:p>
    <w:p>
      <w:pPr>
        <w:pStyle w:val="Heading1"/>
      </w:pPr>
      <w:r>
        <w:rPr>
          <w:rFonts w:ascii="Arial" w:cs="Arial" w:eastAsia="Arial" w:hAnsi="Arial"/>
          <w:b/>
          <w:bCs/>
          <w:color w:val="000000"/>
          <w:sz w:val="56"/>
          <w:szCs w:val="56"/>
        </w:rPr>
        <w:t xml:space="preserve">8. Recommendations</w:t>
      </w:r>
    </w:p>
    <w:p>
      <w:pPr>
        <w:pStyle w:val="Heading2"/>
      </w:pPr>
      <w:r>
        <w:rPr>
          <w:rFonts w:ascii="Arial" w:cs="Arial" w:eastAsia="Arial" w:hAnsi="Arial"/>
          <w:b/>
          <w:bCs/>
          <w:color w:val="007361"/>
          <w:sz w:val="40"/>
          <w:szCs w:val="40"/>
        </w:rPr>
        <w:t xml:space="preserve">1. Prioritise multi-source document separation</w:t>
      </w:r>
    </w:p>
    <w:p>
      <w:pPr>
        <w:spacing w:before="60" w:after="120"/>
      </w:pPr>
      <w:r>
        <w:rPr>
          <w:rFonts w:ascii="Arial" w:cs="Arial" w:eastAsia="Arial" w:hAnsi="Arial"/>
          <w:color w:val="000000"/>
          <w:sz w:val="28"/>
          <w:szCs w:val="28"/>
        </w:rPr>
        <w:t xml:space="preserve">The most important improvement needed from Magic Notes / Beam is reliable separation of multiple source documents. Until this is resolved, panel case preparation using uploaded questionnaires and reports will remain unreliable. This should be the priority development item for the Hywel Dda service context.</w:t>
      </w:r>
    </w:p>
    <w:p>
      <w:pPr>
        <w:pStyle w:val="Heading2"/>
      </w:pPr>
      <w:r>
        <w:rPr>
          <w:rFonts w:ascii="Arial" w:cs="Arial" w:eastAsia="Arial" w:hAnsi="Arial"/>
          <w:b/>
          <w:bCs/>
          <w:color w:val="007361"/>
          <w:sz w:val="40"/>
          <w:szCs w:val="40"/>
        </w:rPr>
        <w:t xml:space="preserve">2. Develop a plain document / blank template option</w:t>
      </w:r>
    </w:p>
    <w:p>
      <w:pPr>
        <w:spacing w:before="60" w:after="120"/>
      </w:pPr>
      <w:r>
        <w:rPr>
          <w:rFonts w:ascii="Arial" w:cs="Arial" w:eastAsia="Arial" w:hAnsi="Arial"/>
          <w:color w:val="000000"/>
          <w:sz w:val="28"/>
          <w:szCs w:val="28"/>
        </w:rPr>
        <w:t xml:space="preserve">Multiple clinicians requested a plain output option — where Magic Notes captures and transcribes without forcing content into a structured template. This would make the tool significantly more useful for complex multi-document workflows.</w:t>
      </w:r>
    </w:p>
    <w:p>
      <w:pPr>
        <w:pStyle w:val="Heading2"/>
      </w:pPr>
      <w:r>
        <w:rPr>
          <w:rFonts w:ascii="Arial" w:cs="Arial" w:eastAsia="Arial" w:hAnsi="Arial"/>
          <w:b/>
          <w:bCs/>
          <w:color w:val="007361"/>
          <w:sz w:val="40"/>
          <w:szCs w:val="40"/>
        </w:rPr>
        <w:t xml:space="preserve">3. Flag low-confidence output</w:t>
      </w:r>
    </w:p>
    <w:p>
      <w:pPr>
        <w:spacing w:before="60" w:after="120"/>
      </w:pPr>
      <w:r>
        <w:rPr>
          <w:rFonts w:ascii="Arial" w:cs="Arial" w:eastAsia="Arial" w:hAnsi="Arial"/>
          <w:color w:val="000000"/>
          <w:sz w:val="28"/>
          <w:szCs w:val="28"/>
        </w:rPr>
        <w:t xml:space="preserve">The tool should indicate where it is uncertain about content, rather than presenting all output with equal confidence. This is particularly important for medication references, diagnostic criteria, and attribution of who said or did what.</w:t>
      </w:r>
    </w:p>
    <w:p>
      <w:pPr>
        <w:pStyle w:val="Heading2"/>
      </w:pPr>
      <w:r>
        <w:rPr>
          <w:rFonts w:ascii="Arial" w:cs="Arial" w:eastAsia="Arial" w:hAnsi="Arial"/>
          <w:b/>
          <w:bCs/>
          <w:color w:val="007361"/>
          <w:sz w:val="40"/>
          <w:szCs w:val="40"/>
        </w:rPr>
        <w:t xml:space="preserve">4. Establish a clear position on medication hallucination risk</w:t>
      </w:r>
    </w:p>
    <w:p>
      <w:pPr>
        <w:spacing w:before="60" w:after="120"/>
      </w:pPr>
      <w:r>
        <w:rPr>
          <w:rFonts w:ascii="Arial" w:cs="Arial" w:eastAsia="Arial" w:hAnsi="Arial"/>
          <w:color w:val="000000"/>
          <w:sz w:val="28"/>
          <w:szCs w:val="28"/>
        </w:rPr>
        <w:t xml:space="preserve">The ADHD team’s finding that Magic Notes hallucinated medication names and dosages requires a clear, documented protocol. All clinicians using the tool for ADHD reviews must verify medication content independently. This should be communicated formally before any expansion to other ADHD services.</w:t>
      </w:r>
    </w:p>
    <w:p>
      <w:pPr>
        <w:pStyle w:val="Heading2"/>
      </w:pPr>
      <w:r>
        <w:rPr>
          <w:rFonts w:ascii="Arial" w:cs="Arial" w:eastAsia="Arial" w:hAnsi="Arial"/>
          <w:b/>
          <w:bCs/>
          <w:color w:val="007361"/>
          <w:sz w:val="40"/>
          <w:szCs w:val="40"/>
        </w:rPr>
        <w:t xml:space="preserve">5. Test Welsh-language safety before expanding</w:t>
      </w:r>
    </w:p>
    <w:p>
      <w:pPr>
        <w:spacing w:before="60" w:after="120"/>
      </w:pPr>
      <w:r>
        <w:rPr>
          <w:rFonts w:ascii="Arial" w:cs="Arial" w:eastAsia="Arial" w:hAnsi="Arial"/>
          <w:color w:val="000000"/>
          <w:sz w:val="28"/>
          <w:szCs w:val="28"/>
        </w:rPr>
        <w:t xml:space="preserve">Welsh-medium and bilingual sessions have not been systematically tested with the Hywel Dda teams. Given the hallucinations found in Welsh-medium sessions during the CTM pilot, this must be addressed before Magic Notes is recommended for Welsh-language clinical use.</w:t>
      </w:r>
    </w:p>
    <w:p>
      <w:pPr>
        <w:pStyle w:val="Heading2"/>
      </w:pPr>
      <w:r>
        <w:rPr>
          <w:rFonts w:ascii="Arial" w:cs="Arial" w:eastAsia="Arial" w:hAnsi="Arial"/>
          <w:b/>
          <w:bCs/>
          <w:color w:val="007361"/>
          <w:sz w:val="40"/>
          <w:szCs w:val="40"/>
        </w:rPr>
        <w:t xml:space="preserve">6. Share templates across health boards</w:t>
      </w:r>
    </w:p>
    <w:p>
      <w:pPr>
        <w:spacing w:before="60" w:after="120"/>
      </w:pPr>
      <w:r>
        <w:rPr>
          <w:rFonts w:ascii="Arial" w:cs="Arial" w:eastAsia="Arial" w:hAnsi="Arial"/>
          <w:color w:val="000000"/>
          <w:sz w:val="28"/>
          <w:szCs w:val="28"/>
        </w:rPr>
        <w:t xml:space="preserve">Both CTM and Hywel Dda have developed template refinements through use. A shared template library would avoid duplication of effort and allow both teams to benefit from each other’s learning. A joint session to compare approaches is recommended.</w:t>
      </w:r>
    </w:p>
    <w:p>
      <w:pPr>
        <w:pStyle w:val="Heading2"/>
      </w:pPr>
      <w:r>
        <w:rPr>
          <w:rFonts w:ascii="Arial" w:cs="Arial" w:eastAsia="Arial" w:hAnsi="Arial"/>
          <w:b/>
          <w:bCs/>
          <w:color w:val="007361"/>
          <w:sz w:val="40"/>
          <w:szCs w:val="40"/>
        </w:rPr>
        <w:t xml:space="preserve">7. Continue the diary study through a full panel cycle</w:t>
      </w:r>
    </w:p>
    <w:p>
      <w:pPr>
        <w:spacing w:before="60" w:after="120"/>
      </w:pPr>
      <w:r>
        <w:rPr>
          <w:rFonts w:ascii="Arial" w:cs="Arial" w:eastAsia="Arial" w:hAnsi="Arial"/>
          <w:color w:val="000000"/>
          <w:sz w:val="28"/>
          <w:szCs w:val="28"/>
        </w:rPr>
        <w:t xml:space="preserve">The panel preparation data in this study covers individual sessions. A full panel cycle — tracking the complete workflow from case preparation through to panel decision and report — would provide stronger evidence on where Magic Notes adds or removes value in the specialist assessment pathway.</w:t>
      </w:r>
    </w:p>
    <w:p>
      <w:r>
        <w:br w:type="page"/>
      </w:r>
    </w:p>
    <w:p>
      <w:pPr>
        <w:pStyle w:val="Heading1"/>
      </w:pPr>
      <w:r>
        <w:rPr>
          <w:rFonts w:ascii="Arial" w:cs="Arial" w:eastAsia="Arial" w:hAnsi="Arial"/>
          <w:b/>
          <w:bCs/>
          <w:color w:val="000000"/>
          <w:sz w:val="56"/>
          <w:szCs w:val="56"/>
        </w:rPr>
        <w:t xml:space="preserve">9. Conclusion</w:t>
      </w:r>
    </w:p>
    <w:p>
      <w:pPr>
        <w:spacing w:before="60" w:after="120"/>
      </w:pPr>
      <w:r>
        <w:rPr>
          <w:rFonts w:ascii="Arial" w:cs="Arial" w:eastAsia="Arial" w:hAnsi="Arial"/>
          <w:color w:val="000000"/>
          <w:sz w:val="28"/>
          <w:szCs w:val="28"/>
        </w:rPr>
        <w:t xml:space="preserve">This diary study shows that Magic Notes delivers meaningful time savings and quality improvements across most task types in specialist ND assessment services. The evidence for new patient assessments, final reports, and other uses is strong and consistent. Panel case preparation requires further development before it can be recommended without reservation.</w:t>
      </w:r>
    </w:p>
    <w:p>
      <w:pPr>
        <w:spacing w:before="60" w:after="120"/>
      </w:pPr>
      <w:r>
        <w:rPr>
          <w:rFonts w:ascii="Arial" w:cs="Arial" w:eastAsia="Arial" w:hAnsi="Arial"/>
          <w:color w:val="000000"/>
          <w:sz w:val="28"/>
          <w:szCs w:val="28"/>
        </w:rPr>
        <w:t xml:space="preserve">The human impact — clinicians more present, families feeling heard, assessments capturing more — is consistent with the CTM pilot findings and points to a genuine shift in the quality of clinical work, not just efficiency.</w:t>
      </w:r>
    </w:p>
    <w:p>
      <w:pPr>
        <w:spacing w:before="60" w:after="120"/>
      </w:pPr>
      <w:r>
        <w:rPr>
          <w:rFonts w:ascii="Arial" w:cs="Arial" w:eastAsia="Arial" w:hAnsi="Arial"/>
          <w:color w:val="000000"/>
          <w:sz w:val="28"/>
          <w:szCs w:val="28"/>
        </w:rPr>
        <w:t xml:space="preserve">The clearest message from the data is that the tool works best for what it was designed to do: capturing a live clinical conversation and producing a draft report. The more a task diverges from that — assembling multiple external documents, cross-referencing structured diagnostic frameworks — the more the current tool requires support.</w:t>
      </w:r>
    </w:p>
    <w:p>
      <w:pPr>
        <w:pStyle w:val="Leadquote"/>
      </w:pPr>
      <w:r>
        <w:rPr>
          <w:rFonts w:ascii="Arial" w:cs="Arial" w:eastAsia="Arial" w:hAnsi="Arial"/>
          <w:i/>
          <w:iCs/>
          <w:color w:val="307162"/>
          <w:sz w:val="36"/>
          <w:szCs w:val="36"/>
        </w:rPr>
        <w:t xml:space="preserve">“Magic Notes gave me back the part of my job I love.”</w:t>
      </w:r>
    </w:p>
    <w:p>
      <w:pPr>
        <w:spacing w:before="60" w:after="120"/>
      </w:pPr>
      <w:r>
        <w:rPr>
          <w:rFonts w:ascii="Arial" w:cs="Arial" w:eastAsia="Arial" w:hAnsi="Arial"/>
          <w:color w:val="000000"/>
          <w:sz w:val="28"/>
          <w:szCs w:val="28"/>
        </w:rPr>
        <w:t xml:space="preserve">The evidence is strong enough to support continued and expanded use, with the limitations clearly documented and communicated. The next step is collaborative development: templates built jointly, document handling improved, and Welsh-language safety verified.</w:t>
      </w:r>
    </w:p>
    <w:p>
      <w:r>
        <w:br w:type="page"/>
      </w:r>
    </w:p>
    <w:p>
      <w:pPr>
        <w:pStyle w:val="Heading1"/>
      </w:pPr>
      <w:r>
        <w:rPr>
          <w:rFonts w:ascii="Arial" w:cs="Arial" w:eastAsia="Arial" w:hAnsi="Arial"/>
          <w:b/>
          <w:bCs/>
          <w:color w:val="000000"/>
          <w:sz w:val="56"/>
          <w:szCs w:val="56"/>
        </w:rPr>
        <w:t xml:space="preserve">10. Project team</w:t>
      </w:r>
    </w:p>
    <w:p>
      <w:pPr>
        <w:spacing w:before="60" w:after="120"/>
      </w:pPr>
      <w:r>
        <w:rPr>
          <w:rFonts w:ascii="Arial" w:cs="Arial" w:eastAsia="Arial" w:hAnsi="Arial"/>
          <w:color w:val="000000"/>
          <w:sz w:val="28"/>
          <w:szCs w:val="28"/>
        </w:rPr>
        <w:t xml:space="preserve">If you would like to learn more about this work or discuss how these findings could support your service, please get in touch with the team.</w:t>
      </w:r>
    </w:p>
    <w:p>
      <w:pPr>
        <w:pStyle w:val="Heading2"/>
      </w:pPr>
      <w:r>
        <w:rPr>
          <w:rFonts w:ascii="Arial" w:cs="Arial" w:eastAsia="Arial" w:hAnsi="Arial"/>
          <w:b/>
          <w:bCs/>
          <w:color w:val="007361"/>
          <w:sz w:val="40"/>
          <w:szCs w:val="40"/>
        </w:rPr>
        <w:t xml:space="preserve">The team</w:t>
      </w:r>
    </w:p>
    <w:p>
      <w:pPr>
        <w:spacing w:before="60" w:after="120"/>
      </w:pPr>
      <w:r>
        <w:rPr>
          <w:rFonts w:ascii="Arial" w:cs="Arial" w:eastAsia="Arial" w:hAnsi="Arial"/>
          <w:b/>
          <w:bCs/>
          <w:sz w:val="28"/>
          <w:szCs w:val="28"/>
        </w:rPr>
        <w:t xml:space="preserve">Dr Sally Rees, </w:t>
      </w:r>
      <w:r>
        <w:rPr>
          <w:rFonts w:ascii="Arial" w:cs="Arial" w:eastAsia="Arial" w:hAnsi="Arial"/>
          <w:sz w:val="28"/>
          <w:szCs w:val="28"/>
        </w:rPr>
        <w:t xml:space="preserve">Head of Evaluation and the Neurodivergence Policy Team (WG)</w:t>
      </w:r>
    </w:p>
    <w:p>
      <w:pPr>
        <w:spacing w:before="60" w:after="120"/>
      </w:pPr>
      <w:r>
        <w:rPr>
          <w:rFonts w:ascii="Arial" w:cs="Arial" w:eastAsia="Arial" w:hAnsi="Arial"/>
          <w:b/>
          <w:bCs/>
          <w:sz w:val="28"/>
          <w:szCs w:val="28"/>
        </w:rPr>
        <w:t xml:space="preserve">Joanna Goodwin, </w:t>
      </w:r>
      <w:r>
        <w:rPr>
          <w:rFonts w:ascii="Arial" w:cs="Arial" w:eastAsia="Arial" w:hAnsi="Arial"/>
          <w:sz w:val="28"/>
          <w:szCs w:val="28"/>
        </w:rPr>
        <w:t xml:space="preserve">Senior Responsible Officer (CDPS)</w:t>
      </w:r>
    </w:p>
    <w:p>
      <w:pPr>
        <w:spacing w:before="60" w:after="120"/>
      </w:pPr>
      <w:r>
        <w:rPr>
          <w:rFonts w:ascii="Arial" w:cs="Arial" w:eastAsia="Arial" w:hAnsi="Arial"/>
          <w:b/>
          <w:bCs/>
          <w:sz w:val="28"/>
          <w:szCs w:val="28"/>
        </w:rPr>
        <w:t xml:space="preserve">Kim Morley, </w:t>
      </w:r>
      <w:r>
        <w:rPr>
          <w:rFonts w:ascii="Arial" w:cs="Arial" w:eastAsia="Arial" w:hAnsi="Arial"/>
          <w:sz w:val="28"/>
          <w:szCs w:val="28"/>
        </w:rPr>
        <w:t xml:space="preserve">Delivery Manager (CDPS)</w:t>
      </w:r>
    </w:p>
    <w:p>
      <w:pPr>
        <w:spacing w:before="60" w:after="120"/>
      </w:pPr>
      <w:r>
        <w:rPr>
          <w:rFonts w:ascii="Arial" w:cs="Arial" w:eastAsia="Arial" w:hAnsi="Arial"/>
          <w:b/>
          <w:bCs/>
          <w:sz w:val="28"/>
          <w:szCs w:val="28"/>
        </w:rPr>
        <w:t xml:space="preserve">Dave Cunningham, </w:t>
      </w:r>
      <w:r>
        <w:rPr>
          <w:rFonts w:ascii="Arial" w:cs="Arial" w:eastAsia="Arial" w:hAnsi="Arial"/>
          <w:sz w:val="28"/>
          <w:szCs w:val="28"/>
        </w:rPr>
        <w:t xml:space="preserve">Service Designer (CDPS)</w:t>
      </w:r>
    </w:p>
    <w:p>
      <w:pPr>
        <w:spacing w:before="0" w:after="0"/>
      </w:pPr>
      <w:r>
        <w:t xml:space="preserve"/>
      </w:r>
    </w:p>
    <w:p>
      <w:pPr>
        <w:spacing w:before="0" w:after="0"/>
      </w:pPr>
      <w:r>
        <w:t xml:space="preserve"/>
      </w:r>
    </w:p>
    <w:p>
      <w:pPr>
        <w:pStyle w:val="Heading2"/>
      </w:pPr>
      <w:r>
        <w:rPr>
          <w:rFonts w:ascii="Arial" w:cs="Arial" w:eastAsia="Arial" w:hAnsi="Arial"/>
          <w:b/>
          <w:bCs/>
          <w:color w:val="007361"/>
          <w:sz w:val="40"/>
          <w:szCs w:val="40"/>
        </w:rPr>
        <w:t xml:space="preserve">Thank you to all the clinicians who took part in this study.</w:t>
      </w:r>
    </w:p>
    <w:p>
      <w:pPr>
        <w:spacing w:before="60" w:after="120"/>
      </w:pPr>
      <w:r>
        <w:rPr>
          <w:rFonts w:ascii="Arial" w:cs="Arial" w:eastAsia="Arial" w:hAnsi="Arial"/>
          <w:color w:val="000000"/>
          <w:sz w:val="28"/>
          <w:szCs w:val="28"/>
        </w:rPr>
        <w:t xml:space="preserve">Your time, honesty, and willingness to test something new have been invaluable. By sharing your experiences, challenges, and insights, you have helped build the evidence base for AI-assisted documentation in Welsh neurodevelopmental services.</w:t>
      </w:r>
    </w:p>
    <w:sectPr>
      <w:footerReference w:type="default" r:id="rId6"/>
      <w:pgSz w:w="11906" w:h="16838" w:orient="portrait"/>
      <w:pgMar w:top="2355" w:right="827"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666666"/>
        <w:sz w:val="18"/>
        <w:szCs w:val="18"/>
      </w:rPr>
      <w:t xml:space="preserve">Hywel Dda AI Scribe Pilot Evaluation   </w:t>
    </w:r>
    <w:r>
      <w:rPr>
        <w:rFonts w:ascii="Arial" w:cs="Arial" w:eastAsia="Arial" w:hAnsi="Arial"/>
        <w:color w:val="999999"/>
        <w:sz w:val="18"/>
        <w:szCs w:val="18"/>
      </w:rPr>
      <w:t xml:space="preserve">| digitalpublicservices.gov.wales   </w:t>
    </w:r>
    <w:r>
      <w:rPr>
        <w:rFonts w:ascii="Arial" w:cs="Arial" w:eastAsia="Arial" w:hAnsi="Arial"/>
        <w:color w:val="666666"/>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60" w:after="60"/>
        <w:ind w:left="720" w:hanging="360"/>
      </w:pPr>
      <w:rPr>
        <w:rFonts w:ascii="Arial" w:cs="Arial" w:eastAsia="Arial" w:hAnsi="Arial"/>
        <w:sz w:val="28"/>
        <w:szCs w:val="28"/>
      </w:rPr>
    </w:lvl>
    <w:lvl w:ilvl="1" w15:tentative="1">
      <w:start w:val="1"/>
      <w:numFmt w:val="bullet"/>
      <w:lvlText w:val="◦"/>
      <w:lvlJc w:val="left"/>
      <w:pPr>
        <w:spacing w:before="40" w:after="40"/>
        <w:ind w:left="1080" w:hanging="360"/>
      </w:pPr>
      <w:rPr>
        <w:rFonts w:ascii="Arial" w:cs="Arial" w:eastAsia="Arial" w:hAnsi="Arial"/>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rotitle">
    <w:name w:val="Hero title"/>
    <w:basedOn w:val="Normal"/>
    <w:next w:val="Normal"/>
    <w:pPr>
      <w:spacing w:before="360" w:after="80" w:line="240" w:lineRule="exact"/>
      <w:outlineLvl w:val="0"/>
    </w:pPr>
    <w:rPr>
      <w:rFonts w:ascii="Arial" w:cs="Arial" w:eastAsia="Arial" w:hAnsi="Arial"/>
      <w:color w:val="307162"/>
      <w:sz w:val="96"/>
      <w:szCs w:val="96"/>
    </w:rPr>
  </w:style>
  <w:style w:type="paragraph" w:styleId="Heading1">
    <w:name w:val="Heading 1"/>
    <w:basedOn w:val="Normal"/>
    <w:next w:val="Normal"/>
    <w:qFormat/>
    <w:pPr>
      <w:spacing w:before="480" w:after="240"/>
      <w:outlineLvl w:val="0"/>
    </w:pPr>
    <w:rPr>
      <w:rFonts w:ascii="Arial" w:cs="Arial" w:eastAsia="Arial" w:hAnsi="Arial"/>
      <w:b/>
      <w:bCs/>
      <w:color w:val="000000"/>
      <w:sz w:val="56"/>
      <w:szCs w:val="56"/>
    </w:rPr>
  </w:style>
  <w:style w:type="paragraph" w:styleId="Heading2">
    <w:name w:val="Heading 2"/>
    <w:basedOn w:val="Normal"/>
    <w:next w:val="Normal"/>
    <w:qFormat/>
    <w:pPr>
      <w:spacing w:before="360" w:after="160"/>
      <w:outlineLvl w:val="1"/>
    </w:pPr>
    <w:rPr>
      <w:rFonts w:ascii="Arial" w:cs="Arial" w:eastAsia="Arial" w:hAnsi="Arial"/>
      <w:b/>
      <w:bCs/>
      <w:color w:val="007361"/>
      <w:sz w:val="40"/>
      <w:szCs w:val="40"/>
    </w:rPr>
  </w:style>
  <w:style w:type="paragraph" w:styleId="Heading3">
    <w:name w:val="Heading 3"/>
    <w:basedOn w:val="Normal"/>
    <w:next w:val="Normal"/>
    <w:qFormat/>
    <w:pPr>
      <w:spacing w:before="280" w:after="120"/>
      <w:outlineLvl w:val="2"/>
    </w:pPr>
    <w:rPr>
      <w:rFonts w:ascii="Arial" w:cs="Arial" w:eastAsia="Arial" w:hAnsi="Arial"/>
      <w:b/>
      <w:bCs/>
      <w:color w:val="00313F"/>
      <w:sz w:val="36"/>
      <w:szCs w:val="36"/>
    </w:rPr>
  </w:style>
  <w:style w:type="paragraph" w:styleId="H1-CDPS">
    <w:name w:val="H1 - CDPS"/>
    <w:basedOn w:val="Normal"/>
    <w:next w:val="Normal"/>
    <w:pPr>
      <w:spacing w:before="360" w:after="440"/>
    </w:pPr>
    <w:rPr>
      <w:rFonts w:ascii="Arial" w:cs="Arial" w:eastAsia="Arial" w:hAnsi="Arial"/>
      <w:b/>
      <w:bCs/>
      <w:color w:val="007361"/>
      <w:sz w:val="48"/>
      <w:szCs w:val="48"/>
    </w:rPr>
  </w:style>
  <w:style w:type="paragraph" w:styleId="Bodyquote">
    <w:name w:val="Body quote"/>
    <w:basedOn w:val="Normal"/>
    <w:next w:val="Normal"/>
    <w:pPr>
      <w:pBdr>
        <w:left w:val="single" w:color="307162" w:sz="12" w:space="10"/>
      </w:pBdr>
      <w:spacing w:before="200" w:after="320"/>
      <w:ind w:left="720"/>
    </w:pPr>
    <w:rPr>
      <w:rFonts w:ascii="Arial" w:cs="Arial" w:eastAsia="Arial" w:hAnsi="Arial"/>
      <w:i/>
      <w:iCs/>
      <w:color w:val="307162"/>
      <w:sz w:val="28"/>
      <w:szCs w:val="28"/>
    </w:rPr>
  </w:style>
  <w:style w:type="paragraph" w:styleId="Leadquote">
    <w:name w:val="Lead quote"/>
    <w:basedOn w:val="Normal"/>
    <w:next w:val="Normal"/>
    <w:pPr>
      <w:pBdr>
        <w:left w:val="single" w:color="307162" w:sz="16" w:space="10"/>
      </w:pBdr>
      <w:spacing w:before="240" w:after="240" w:line="240" w:lineRule="exact"/>
      <w:ind w:left="720"/>
    </w:pPr>
    <w:rPr>
      <w:rFonts w:ascii="Arial" w:cs="Arial" w:eastAsia="Arial" w:hAnsi="Arial"/>
      <w:i/>
      <w:iCs/>
      <w:color w:val="307162"/>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2026-03-16T13:09:16.822Z</dcterms:created>
  <dcterms:modified xsi:type="dcterms:W3CDTF">2026-03-16T13:09:16.823Z</dcterms:modified>
</cp:coreProperties>
</file>

<file path=docProps/custom.xml><?xml version="1.0" encoding="utf-8"?>
<Properties xmlns="http://schemas.openxmlformats.org/officeDocument/2006/custom-properties" xmlns:vt="http://schemas.openxmlformats.org/officeDocument/2006/docPropsVTypes"/>
</file>