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Midgard Brand Questionnaire Decision Record</w:t>
      </w:r>
    </w:p>
    <w:p>
      <w:r>
        <w:rPr>
          <w:i/>
        </w:rPr>
        <w:t>Source: 01-brand-voice-tone/Midgard_Brand_Questionnaire_Decision_Record.md</w:t>
        <w:br/>
      </w:r>
      <w:r>
        <w:rPr>
          <w:i/>
        </w:rPr>
        <w:t>Generated: 2026-05-28</w:t>
      </w:r>
    </w:p>
    <w:p>
      <w:pPr>
        <w:pStyle w:val="Heading1"/>
      </w:pPr>
      <w:r>
        <w:t>Midgard Brand Questionnaire Decision Record</w:t>
      </w:r>
    </w:p>
    <w:p>
      <w:r>
        <w:t>Prepared: 2026-05-28</w:t>
      </w:r>
    </w:p>
    <w:p>
      <w:r>
        <w:t>Status: Reconstructed decision record from the brand questionnaire work, saved brand direction, and follow-up implementation corrections. This is not a verbatim transcript; it is a team-readable record of the questions asked, Dave's captured answers, and the decisions that resulted.</w:t>
      </w:r>
    </w:p>
    <w:p>
      <w:pPr>
        <w:pStyle w:val="Heading2"/>
      </w:pPr>
      <w:r>
        <w:t>Executive Summary</w:t>
      </w:r>
    </w:p>
    <w:p>
      <w:r>
        <w:t>Midgard's next-phase brand direction centers on a Category Rebel voice with Confident Challenger sharpness. The primary audience is builders and partners, with Users, Builders, and Partners as plain audience paths. The emotional promise is trust: explain why the system should be trusted before selling speed, scale, or momentum.</w:t>
      </w:r>
    </w:p>
    <w:p>
      <w:r>
        <w:t>The visual world is Dark Ancient Tech / Mythic Tree World. Trust Architecture is the mechanism layer inside that world. The correct visual execution is not a crude stick-frame tree; it is an ancient technical world-tree system made of stone, gold circuitry, branching trust paths, settlement bedrock, proof apertures, and controlled Midgard green verification signal.</w:t>
      </w:r>
    </w:p>
    <w:p>
      <w:r>
        <w:t>The first production package is brand guidelines plus a 12 to 15 slide launch deck spec, then selected key slides can become higher-end Figma/design specs and coded prototypes.</w:t>
      </w:r>
    </w:p>
    <w:p>
      <w:pPr>
        <w:pStyle w:val="Heading2"/>
      </w:pPr>
      <w:r>
        <w:t>How To Read This</w:t>
      </w:r>
    </w:p>
    <w:p>
      <w:r>
        <w:t>Each item below includes:</w:t>
      </w:r>
    </w:p>
    <w:p>
      <w:pPr>
        <w:pStyle w:val="ListBullet"/>
      </w:pPr>
      <w:r>
        <w:t>Question: the consultant-style question asked during the brand direction process.</w:t>
      </w:r>
    </w:p>
    <w:p>
      <w:pPr>
        <w:pStyle w:val="ListBullet"/>
      </w:pPr>
      <w:r>
        <w:t>Dave's answer: the captured answer or decision.</w:t>
      </w:r>
    </w:p>
    <w:p>
      <w:pPr>
        <w:pStyle w:val="ListBullet"/>
      </w:pPr>
      <w:r>
        <w:t>Resulting decision: how that answer shaped the brand package.</w:t>
      </w:r>
    </w:p>
    <w:p>
      <w:pPr>
        <w:pStyle w:val="Heading2"/>
      </w:pPr>
      <w:r>
        <w:t>1. Strategy And Category</w:t>
      </w:r>
    </w:p>
    <w:p>
      <w:pPr>
        <w:pStyle w:val="Heading3"/>
      </w:pPr>
      <w:r>
        <w:t>1. What role should Midgard play in the category?</w:t>
      </w:r>
    </w:p>
    <w:p>
      <w:r>
        <w:t>Dave's answer: Midgard should challenge ETH L2 fragmentation and generic rollup thinking, but with mechanism and evidence behind the challenge.</w:t>
      </w:r>
    </w:p>
    <w:p>
      <w:r>
        <w:t>Resulting decision: Use a Category Rebel voice, but avoid cheap shots. Diagnose structural category problems rather than attacking specific competitors or users.</w:t>
      </w:r>
    </w:p>
    <w:p>
      <w:pPr>
        <w:pStyle w:val="Heading3"/>
      </w:pPr>
      <w:r>
        <w:t>2. How sharp should the brand be?</w:t>
      </w:r>
    </w:p>
    <w:p>
      <w:r>
        <w:t>Dave's answer: Sharp enough to feel like a challenger, but not reckless or unserious.</w:t>
      </w:r>
    </w:p>
    <w:p>
      <w:r>
        <w:t>Resulting decision: Use Confident Challenger sharpness. The tone mix is 70 direct / 30 defiant.</w:t>
      </w:r>
    </w:p>
    <w:p>
      <w:pPr>
        <w:pStyle w:val="Heading3"/>
      </w:pPr>
      <w:r>
        <w:t>3. Who matters most for the next phase?</w:t>
      </w:r>
    </w:p>
    <w:p>
      <w:r>
        <w:t>Dave's answer: Builders and partners are the primary audience.</w:t>
      </w:r>
    </w:p>
    <w:p>
      <w:r>
        <w:t>Resulting decision: The launch deck, gateway, homepage, and partner materials should be builder/partner-first, while still supporting Users, Builders, and Partners as separate paths.</w:t>
      </w:r>
    </w:p>
    <w:p>
      <w:pPr>
        <w:pStyle w:val="Heading3"/>
      </w:pPr>
      <w:r>
        <w:t>4. What should the audience feel?</w:t>
      </w:r>
    </w:p>
    <w:p>
      <w:r>
        <w:t>Dave's answer: Cardano-native scaling should feel like it is becoming inevitable because the architecture earns trust.</w:t>
      </w:r>
    </w:p>
    <w:p>
      <w:r>
        <w:t>Resulting decision: The brand should create inevitability through mechanism, proof, and clarity, not hype or unsupported claims.</w:t>
      </w:r>
    </w:p>
    <w:p>
      <w:pPr>
        <w:pStyle w:val="Heading3"/>
      </w:pPr>
      <w:r>
        <w:t>5. What should Midgard lead with: speed, trust, migration, or something else?</w:t>
      </w:r>
    </w:p>
    <w:p>
      <w:r>
        <w:t>Dave's answer: Trust comes first. Explain why the system should be trusted before selling speed or hype.</w:t>
      </w:r>
    </w:p>
    <w:p>
      <w:r>
        <w:t>Resulting decision: The core story posture is Trust Architecture. The deck should use a trust-first story arc, but that arc is not the deck name.</w:t>
      </w:r>
    </w:p>
    <w:p>
      <w:pPr>
        <w:pStyle w:val="Heading2"/>
      </w:pPr>
      <w:r>
        <w:t>2. Voice And Tone</w:t>
      </w:r>
    </w:p>
    <w:p>
      <w:pPr>
        <w:pStyle w:val="Heading3"/>
      </w:pPr>
      <w:r>
        <w:t>6. What is the core voice?</w:t>
      </w:r>
    </w:p>
    <w:p>
      <w:r>
        <w:t>Dave's answer: Category Rebel.</w:t>
      </w:r>
    </w:p>
    <w:p>
      <w:r>
        <w:t>Resulting decision: Midgard can name a category problem and take a point of view, but every challenge must be grounded in mechanism.</w:t>
      </w:r>
    </w:p>
    <w:p>
      <w:pPr>
        <w:pStyle w:val="Heading3"/>
      </w:pPr>
      <w:r>
        <w:t>7. What is the sharpness level?</w:t>
      </w:r>
    </w:p>
    <w:p>
      <w:r>
        <w:t>Dave's answer: Confident Challenger.</w:t>
      </w:r>
    </w:p>
    <w:p>
      <w:r>
        <w:t>Resulting decision: The brand can be provocative, especially in category diagnosis, founder voice, and major campaign moments.</w:t>
      </w:r>
    </w:p>
    <w:p>
      <w:pPr>
        <w:pStyle w:val="Heading3"/>
      </w:pPr>
      <w:r>
        <w:t>8. What is the tone mix?</w:t>
      </w:r>
    </w:p>
    <w:p>
      <w:r>
        <w:t>Dave's answer: 70 direct / 30 defiant.</w:t>
      </w:r>
    </w:p>
    <w:p>
      <w:r>
        <w:t>Resulting decision: Most copy should be clean, exact, and useful. The defiant edge appears selectively.</w:t>
      </w:r>
    </w:p>
    <w:p>
      <w:pPr>
        <w:pStyle w:val="Heading3"/>
      </w:pPr>
      <w:r>
        <w:t>9. What should the copy shape be?</w:t>
      </w:r>
    </w:p>
    <w:p>
      <w:r>
        <w:t>Dave's answer: Sharp thesis.</w:t>
      </w:r>
    </w:p>
    <w:p>
      <w:r>
        <w:t>Resulting decision: Headlines and slide openers should make one clear point. No long warm-up before the thesis.</w:t>
      </w:r>
    </w:p>
    <w:p>
      <w:pPr>
        <w:pStyle w:val="Heading3"/>
      </w:pPr>
      <w:r>
        <w:t>10. What should the signature style be?</w:t>
      </w:r>
    </w:p>
    <w:p>
      <w:r>
        <w:t>Dave's answer: Plain spoken.</w:t>
      </w:r>
    </w:p>
    <w:p>
      <w:r>
        <w:t>Resulting decision: Even when visuals are mythic, the copy stays direct and practical.</w:t>
      </w:r>
    </w:p>
    <w:p>
      <w:pPr>
        <w:pStyle w:val="Heading3"/>
      </w:pPr>
      <w:r>
        <w:t>11. How should jargon be handled?</w:t>
      </w:r>
    </w:p>
    <w:p>
      <w:r>
        <w:t>Dave's answer: Translate first, then name.</w:t>
      </w:r>
    </w:p>
    <w:p>
      <w:r>
        <w:t>Resulting decision: Explain the mechanism in normal language before using technical labels.</w:t>
      </w:r>
    </w:p>
    <w:p>
      <w:pPr>
        <w:pStyle w:val="Heading3"/>
      </w:pPr>
      <w:r>
        <w:t>12. What voice risk should we avoid most?</w:t>
      </w:r>
    </w:p>
    <w:p>
      <w:r>
        <w:t>Dave's answer: No cheap shots.</w:t>
      </w:r>
    </w:p>
    <w:p>
      <w:r>
        <w:t>Resulting decision: Do not mock ecosystems, competitors, or user choices. Diagnose structure, not people.</w:t>
      </w:r>
    </w:p>
    <w:p>
      <w:pPr>
        <w:pStyle w:val="Heading3"/>
      </w:pPr>
      <w:r>
        <w:t>13. Can founder voice be sharper?</w:t>
      </w:r>
    </w:p>
    <w:p>
      <w:r>
        <w:t>Dave's answer: Yes, when clearly founder-led or signed.</w:t>
      </w:r>
    </w:p>
    <w:p>
      <w:r>
        <w:t>Resulting decision: Founder voice can carry more edge. The main brand voice stays measured and proof-led.</w:t>
      </w:r>
    </w:p>
    <w:p>
      <w:pPr>
        <w:pStyle w:val="Heading3"/>
      </w:pPr>
      <w:r>
        <w:t>14. What should social tone feel like?</w:t>
      </w:r>
    </w:p>
    <w:p>
      <w:r>
        <w:t>Dave's answer: Technical Provocateur.</w:t>
      </w:r>
    </w:p>
    <w:p>
      <w:r>
        <w:t>Resulting decision: Social can be sharper, but should still be useful, source-aware, and grounded in mechanism.</w:t>
      </w:r>
    </w:p>
    <w:p>
      <w:pPr>
        <w:pStyle w:val="Heading2"/>
      </w:pPr>
      <w:r>
        <w:t>3. Language Territories</w:t>
      </w:r>
    </w:p>
    <w:p>
      <w:pPr>
        <w:pStyle w:val="Heading3"/>
      </w:pPr>
      <w:r>
        <w:t>15. What is the tagline territory?</w:t>
      </w:r>
    </w:p>
    <w:p>
      <w:r>
        <w:t>Dave's answer: Trust The Path.</w:t>
      </w:r>
    </w:p>
    <w:p>
      <w:r>
        <w:t>Resulting decision: Use Trust The Path as a brand territory and deck/gateway theme, not as a slogan repeated everywhere.</w:t>
      </w:r>
    </w:p>
    <w:p>
      <w:pPr>
        <w:pStyle w:val="Heading3"/>
      </w:pPr>
      <w:r>
        <w:t>16. What is the CTA style?</w:t>
      </w:r>
    </w:p>
    <w:p>
      <w:r>
        <w:t>Dave's answer: Verify Then Build.</w:t>
      </w:r>
    </w:p>
    <w:p>
      <w:r>
        <w:t>Resulting decision: Use Verify Then Build as the primary builder/partner CTA style.</w:t>
      </w:r>
    </w:p>
    <w:p>
      <w:pPr>
        <w:pStyle w:val="Heading3"/>
      </w:pPr>
      <w:r>
        <w:t>17. What is the public-safe migration campaign frame?</w:t>
      </w:r>
    </w:p>
    <w:p>
      <w:r>
        <w:t>Dave's answer: Secure Migration.</w:t>
      </w:r>
    </w:p>
    <w:p>
      <w:r>
        <w:t>Resulting decision: Use Secure Migration externally. Do not use internal vampire-attack language in public materials.</w:t>
      </w:r>
    </w:p>
    <w:p>
      <w:pPr>
        <w:pStyle w:val="Heading3"/>
      </w:pPr>
      <w:r>
        <w:t>18. What should the deck arc be?</w:t>
      </w:r>
    </w:p>
    <w:p>
      <w:r>
        <w:t>Dave's answer: trust before build momentum. This was captured as a language/theme direction, not a name.</w:t>
      </w:r>
    </w:p>
    <w:p>
      <w:r>
        <w:t>Resulting decision: The launch deck sequence should establish trust, show mechanism, then ask builders/partners to engage.</w:t>
      </w:r>
    </w:p>
    <w:p>
      <w:pPr>
        <w:pStyle w:val="Heading3"/>
      </w:pPr>
      <w:r>
        <w:t>19. What should normal readers hear first?</w:t>
      </w:r>
    </w:p>
    <w:p>
      <w:r>
        <w:t>Dave's answer: Why Trust It.</w:t>
      </w:r>
    </w:p>
    <w:p>
      <w:r>
        <w:t>Resulting decision: The user path should answer why to trust Midgard before asking users to take action.</w:t>
      </w:r>
    </w:p>
    <w:p>
      <w:pPr>
        <w:pStyle w:val="Heading2"/>
      </w:pPr>
      <w:r>
        <w:t>4. Audience Paths</w:t>
      </w:r>
    </w:p>
    <w:p>
      <w:pPr>
        <w:pStyle w:val="Heading3"/>
      </w:pPr>
      <w:r>
        <w:t>20. Should Midgard have one voice or separate voices by persona?</w:t>
      </w:r>
    </w:p>
    <w:p>
      <w:r>
        <w:t>Dave's answer: One coherent Midgard voice with persona modes.</w:t>
      </w:r>
    </w:p>
    <w:p>
      <w:r>
        <w:t>Resulting decision: Keep one brand voice, but adapt depth and emphasis by audience.</w:t>
      </w:r>
    </w:p>
    <w:p>
      <w:pPr>
        <w:pStyle w:val="Heading3"/>
      </w:pPr>
      <w:r>
        <w:t>21. What are the audience paths?</w:t>
      </w:r>
    </w:p>
    <w:p>
      <w:r>
        <w:t>Dave's answer: Users, Builders, Partners.</w:t>
      </w:r>
    </w:p>
    <w:p>
      <w:r>
        <w:t>Resulting decision: Use plain labels. Do not invent lore names for audience paths.</w:t>
      </w:r>
    </w:p>
    <w:p>
      <w:pPr>
        <w:pStyle w:val="Heading3"/>
      </w:pPr>
      <w:r>
        <w:t>22. What does the Users path need to answer?</w:t>
      </w:r>
    </w:p>
    <w:p>
      <w:r>
        <w:t>Dave's answer: Why trust it?</w:t>
      </w:r>
    </w:p>
    <w:p>
      <w:r>
        <w:t>Resulting decision: Users get clear explanation, safety/status context, support routes, and official channels.</w:t>
      </w:r>
    </w:p>
    <w:p>
      <w:pPr>
        <w:pStyle w:val="Heading3"/>
      </w:pPr>
      <w:r>
        <w:t>23. What does the Builders path need to answer?</w:t>
      </w:r>
    </w:p>
    <w:p>
      <w:r>
        <w:t>Dave's answer: Can I verify then build?</w:t>
      </w:r>
    </w:p>
    <w:p>
      <w:r>
        <w:t>Resulting decision: Builders get architecture, constraints, docs, examples, Midgard Builder Readiness, technical working sessions, and office hours.</w:t>
      </w:r>
    </w:p>
    <w:p>
      <w:pPr>
        <w:pStyle w:val="Heading3"/>
      </w:pPr>
      <w:r>
        <w:t>24. What does the Partners path need to answer?</w:t>
      </w:r>
    </w:p>
    <w:p>
      <w:r>
        <w:t>Dave's answer: What role can we play safely?</w:t>
      </w:r>
    </w:p>
    <w:p>
      <w:r>
        <w:t>Resulting decision: Partners enter through functional readiness tracks first. Co-marketing comes later and only after approval.</w:t>
      </w:r>
    </w:p>
    <w:p>
      <w:pPr>
        <w:pStyle w:val="Heading2"/>
      </w:pPr>
      <w:r>
        <w:t>5. Security, Trust, And Claims</w:t>
      </w:r>
    </w:p>
    <w:p>
      <w:pPr>
        <w:pStyle w:val="Heading3"/>
      </w:pPr>
      <w:r>
        <w:t>25. How bold should security language be?</w:t>
      </w:r>
    </w:p>
    <w:p>
      <w:r>
        <w:t>Dave's answer: Bold But Qualified.</w:t>
      </w:r>
    </w:p>
    <w:p>
      <w:r>
        <w:t>Resulting decision: Strongly emphasize architecture, settlement, proof paths, challenge mechanics, and Cardano L1 anchoring, while naming current limits.</w:t>
      </w:r>
    </w:p>
    <w:p>
      <w:pPr>
        <w:pStyle w:val="Heading3"/>
      </w:pPr>
      <w:r>
        <w:t>26. How should Cardano L1 anchoring be handled?</w:t>
      </w:r>
    </w:p>
    <w:p>
      <w:r>
        <w:t>Dave's answer: It should be central, but claim strength must stay approved.</w:t>
      </w:r>
    </w:p>
    <w:p>
      <w:r>
        <w:t>Resulting decision: Use Cardano L1 as bedrock, rail, or settlement layer visually. Public copy inherits claim strength from the claims matrix.</w:t>
      </w:r>
    </w:p>
    <w:p>
      <w:pPr>
        <w:pStyle w:val="Heading3"/>
      </w:pPr>
      <w:r>
        <w:t>27. How should testnet and mainnet status be handled?</w:t>
      </w:r>
    </w:p>
    <w:p>
      <w:r>
        <w:t>Dave's answer: Separate what is live, planned, simulated, testnet, and mainnet.</w:t>
      </w:r>
    </w:p>
    <w:p>
      <w:r>
        <w:t>Resulting decision: Use confidence labels, demonstration-data labels, and source/status chips.</w:t>
      </w:r>
    </w:p>
    <w:p>
      <w:pPr>
        <w:pStyle w:val="Heading3"/>
      </w:pPr>
      <w:r>
        <w:t>28. How should token/governance-token language be handled?</w:t>
      </w:r>
    </w:p>
    <w:p>
      <w:r>
        <w:t>Dave's answer: Do not mention tokens publicly at this stage; internally, begin planning a retroactive-impact token model that learns from Optimism.</w:t>
      </w:r>
    </w:p>
    <w:p>
      <w:r>
        <w:t>Resulting decision: Public token, reward, airdrop, points, yield, eligibility, and governance claims must stay out of launch materials unless token policy, counsel, and leadership approve exact language.</w:t>
      </w:r>
    </w:p>
    <w:p>
      <w:pPr>
        <w:pStyle w:val="Heading3"/>
      </w:pPr>
      <w:r>
        <w:t>29. How should ETH L2 comparisons be handled?</w:t>
      </w:r>
    </w:p>
    <w:p>
      <w:r>
        <w:t>Dave's answer: Challenge fragmentation and generic rollup thinking, but do not overreach.</w:t>
      </w:r>
    </w:p>
    <w:p>
      <w:r>
        <w:t>Resulting decision: Category diagnosis is allowed. Unsupported superiority claims and named attacks are not.</w:t>
      </w:r>
    </w:p>
    <w:p>
      <w:pPr>
        <w:pStyle w:val="Heading2"/>
      </w:pPr>
      <w:r>
        <w:t>6. Visual Direction</w:t>
      </w:r>
    </w:p>
    <w:p>
      <w:pPr>
        <w:pStyle w:val="Heading3"/>
      </w:pPr>
      <w:r>
        <w:t>30. What is the visual world?</w:t>
      </w:r>
    </w:p>
    <w:p>
      <w:r>
        <w:t>Dave's answer: Mythic Tree World with Ancient Tech styling.</w:t>
      </w:r>
    </w:p>
    <w:p>
      <w:r>
        <w:t>Resulting decision: Use Dark Ancient Tech / Mythic Tree World as the visual system.</w:t>
      </w:r>
    </w:p>
    <w:p>
      <w:pPr>
        <w:pStyle w:val="Heading3"/>
      </w:pPr>
      <w:r>
        <w:t>31. What is the palette?</w:t>
      </w:r>
    </w:p>
    <w:p>
      <w:r>
        <w:t>Dave's answer: Mostly dark with Midgard green, muted gold, stone, and deep ink.</w:t>
      </w:r>
    </w:p>
    <w:p>
      <w:r>
        <w:t>Resulting decision: Gold should be visibly tied to proof, settlement, activation, and trust-path circuitry. Green should be the controlled trust signal.</w:t>
      </w:r>
    </w:p>
    <w:p>
      <w:pPr>
        <w:pStyle w:val="Heading3"/>
      </w:pPr>
      <w:r>
        <w:t>32. What should the visual feeling be?</w:t>
      </w:r>
    </w:p>
    <w:p>
      <w:r>
        <w:t>Dave's answer: Mythic but not fantasy-game.</w:t>
      </w:r>
    </w:p>
    <w:p>
      <w:r>
        <w:t>Resulting decision: The visual system can be cinematic and mythic, but the interface and copy stay technical, credible, and useful.</w:t>
      </w:r>
    </w:p>
    <w:p>
      <w:pPr>
        <w:pStyle w:val="Heading3"/>
      </w:pPr>
      <w:r>
        <w:t>33. What should be avoided visually?</w:t>
      </w:r>
    </w:p>
    <w:p>
      <w:r>
        <w:t>Dave's answer: No generic crypto, no purple-blue gradient futurism, no fantasy-game motifs, no stock tech, no obvious AI artifacts, no cheap overdecorated diagrams.</w:t>
      </w:r>
    </w:p>
    <w:p>
      <w:r>
        <w:t>Resulting decision: Use beautiful schematics, stone, gold circuitry, proof labels, rails, topology, and controlled motion.</w:t>
      </w:r>
    </w:p>
    <w:p>
      <w:pPr>
        <w:pStyle w:val="Heading3"/>
      </w:pPr>
      <w:r>
        <w:t>34. What should the Cinematic Gateway do?</w:t>
      </w:r>
    </w:p>
    <w:p>
      <w:r>
        <w:t>Dave's answer: Deliver the high-emotion world-tree moment before the normal homepage.</w:t>
      </w:r>
    </w:p>
    <w:p>
      <w:r>
        <w:t>Resulting decision: The gateway gets minimal copy and a cinematic mythic world-tree trust-path visual.</w:t>
      </w:r>
    </w:p>
    <w:p>
      <w:pPr>
        <w:pStyle w:val="Heading3"/>
      </w:pPr>
      <w:r>
        <w:t>35. What should the homepage or second page do?</w:t>
      </w:r>
    </w:p>
    <w:p>
      <w:r>
        <w:t>Dave's answer: Show advanced living system visuals: tree/topology, transaction routes, batching, settlement, proofs, and simulated data first.</w:t>
      </w:r>
    </w:p>
    <w:p>
      <w:r>
        <w:t>Resulting decision: The second page is a Living Trust Architecture system with inspectable layers.</w:t>
      </w:r>
    </w:p>
    <w:p>
      <w:pPr>
        <w:pStyle w:val="Heading3"/>
      </w:pPr>
      <w:r>
        <w:t>36. What should child pages and docs do?</w:t>
      </w:r>
    </w:p>
    <w:p>
      <w:r>
        <w:t>Dave's answer: Use quiet motion and clear facts.</w:t>
      </w:r>
    </w:p>
    <w:p>
      <w:r>
        <w:t>Resulting decision: Docs can be full-brand, but prose and code remain primary.</w:t>
      </w:r>
    </w:p>
    <w:p>
      <w:pPr>
        <w:pStyle w:val="Heading3"/>
      </w:pPr>
      <w:r>
        <w:t>37. What are the texture routes?</w:t>
      </w:r>
    </w:p>
    <w:p>
      <w:r>
        <w:t>Dave's answer: Preserve Stone + Light and Organic Rootwork for later comparison.</w:t>
      </w:r>
    </w:p>
    <w:p>
      <w:r>
        <w:t>Resulting decision: Stone + Light supports permanence and executive seriousness. Organic Rootwork supports system-alive energy and the Mythic Tree World premise.</w:t>
      </w:r>
    </w:p>
    <w:p>
      <w:pPr>
        <w:pStyle w:val="Heading3"/>
      </w:pPr>
      <w:r>
        <w:t>38. How should the older colorful Tree World handoff be treated?</w:t>
      </w:r>
    </w:p>
    <w:p>
      <w:r>
        <w:t>Dave's answer: Preserve it as an option, but this new direction is separate.</w:t>
      </w:r>
    </w:p>
    <w:p>
      <w:r>
        <w:t>Resulting decision: The older colorful handoff remains reference-only. It does not overwrite the darker trust-architecture branch.</w:t>
      </w:r>
    </w:p>
    <w:p>
      <w:pPr>
        <w:pStyle w:val="Heading3"/>
      </w:pPr>
      <w:r>
        <w:t>39. What correction did Dave make about the tree theme?</w:t>
      </w:r>
    </w:p>
    <w:p>
      <w:r>
        <w:t>Dave's answer: The issue was the crude stick-frame tree execution, not the tree theme itself. The ancient tech world is still tree-themed.</w:t>
      </w:r>
    </w:p>
    <w:p>
      <w:r>
        <w:t>Resulting decision: The correct rule is: keep Mythic Tree World, but execute it as Dark Ancient Tech and trust architecture. Ban stick-frame trees, literal forests, wooden trunks, leafy branches, and fantasy nature.</w:t>
      </w:r>
    </w:p>
    <w:p>
      <w:pPr>
        <w:pStyle w:val="Heading2"/>
      </w:pPr>
      <w:r>
        <w:t>7. Motion And Interaction</w:t>
      </w:r>
    </w:p>
    <w:p>
      <w:pPr>
        <w:pStyle w:val="Heading3"/>
      </w:pPr>
      <w:r>
        <w:t>40. How much motion should the brand use?</w:t>
      </w:r>
    </w:p>
    <w:p>
      <w:r>
        <w:t>Dave's answer: Motion should impress, but must remain performant and optional.</w:t>
      </w:r>
    </w:p>
    <w:p>
      <w:r>
        <w:t>Resulting decision: Build static fallback first. Respect reduced-motion settings.</w:t>
      </w:r>
    </w:p>
    <w:p>
      <w:pPr>
        <w:pStyle w:val="Heading3"/>
      </w:pPr>
      <w:r>
        <w:t>41. Should the site use forced guided scroll?</w:t>
      </w:r>
    </w:p>
    <w:p>
      <w:r>
        <w:t>Dave's answer: No. Prefer Natural Reveal.</w:t>
      </w:r>
    </w:p>
    <w:p>
      <w:r>
        <w:t>Resulting decision: Content should reveal as users move normally through the page.</w:t>
      </w:r>
    </w:p>
    <w:p>
      <w:pPr>
        <w:pStyle w:val="Heading3"/>
      </w:pPr>
      <w:r>
        <w:t>42. Should users be able to inspect the system?</w:t>
      </w:r>
    </w:p>
    <w:p>
      <w:r>
        <w:t>Dave's answer: Yes. Explore mode should inspect key layers.</w:t>
      </w:r>
    </w:p>
    <w:p>
      <w:r>
        <w:t>Resulting decision: Prioritize Trust Layers as the main system view: activity, batching, proof, challenge, settlement, Cardano L1.</w:t>
      </w:r>
    </w:p>
    <w:p>
      <w:pPr>
        <w:pStyle w:val="Heading3"/>
      </w:pPr>
      <w:r>
        <w:t>43. What should mobile feel like?</w:t>
      </w:r>
    </w:p>
    <w:p>
      <w:r>
        <w:t>Dave's answer: Intentional and premium, not a cropped desktop.</w:t>
      </w:r>
    </w:p>
    <w:p>
      <w:r>
        <w:t>Resulting decision: Every hero, diagram, and interaction needs a mobile-safe treatment.</w:t>
      </w:r>
    </w:p>
    <w:p>
      <w:pPr>
        <w:pStyle w:val="Heading3"/>
      </w:pPr>
      <w:r>
        <w:t>44. Should rich media use audio?</w:t>
      </w:r>
    </w:p>
    <w:p>
      <w:r>
        <w:t>Dave's answer: Video only, no default audio.</w:t>
      </w:r>
    </w:p>
    <w:p>
      <w:r>
        <w:t>Resulting decision: Motion tests should be visual only by default.</w:t>
      </w:r>
    </w:p>
    <w:p>
      <w:pPr>
        <w:pStyle w:val="Heading2"/>
      </w:pPr>
      <w:r>
        <w:t>8. Launch Deck And First Package</w:t>
      </w:r>
    </w:p>
    <w:p>
      <w:pPr>
        <w:pStyle w:val="Heading3"/>
      </w:pPr>
      <w:r>
        <w:t>45. What should the first concrete deliverables be?</w:t>
      </w:r>
    </w:p>
    <w:p>
      <w:r>
        <w:t>Dave's answer: Brand guidelines plus a 12 to 15 slide launch deck spec.</w:t>
      </w:r>
    </w:p>
    <w:p>
      <w:r>
        <w:t>Resulting decision: First production package is brand guidelines plus launch deck spec, not final public copy.</w:t>
      </w:r>
    </w:p>
    <w:p>
      <w:pPr>
        <w:pStyle w:val="Heading3"/>
      </w:pPr>
      <w:r>
        <w:t>46. What format should the deck use first?</w:t>
      </w:r>
    </w:p>
    <w:p>
      <w:r>
        <w:t>Dave's answer: Editable PPTX first, then Figma/design specs for key slides.</w:t>
      </w:r>
    </w:p>
    <w:p>
      <w:r>
        <w:t>Resulting decision: Build reviewable PPTX first. Upgrade selected key slides later.</w:t>
      </w:r>
    </w:p>
    <w:p>
      <w:pPr>
        <w:pStyle w:val="Heading3"/>
      </w:pPr>
      <w:r>
        <w:t>47. How long should the launch deck be?</w:t>
      </w:r>
    </w:p>
    <w:p>
      <w:r>
        <w:t>Dave's answer: 12 to 15 slides.</w:t>
      </w:r>
    </w:p>
    <w:p>
      <w:r>
        <w:t>Resulting decision: The deck spec supports a 14-slide core version and optional appendix.</w:t>
      </w:r>
    </w:p>
    <w:p>
      <w:pPr>
        <w:pStyle w:val="Heading3"/>
      </w:pPr>
      <w:r>
        <w:t>48. What is the deck proof/emotion ratio?</w:t>
      </w:r>
    </w:p>
    <w:p>
      <w:r>
        <w:t>Dave's answer: 70 proof / 30 myth.</w:t>
      </w:r>
    </w:p>
    <w:p>
      <w:r>
        <w:t>Resulting decision: Cinematic visuals open and close the story, while the body uses diagrams, proof objects, readiness matrices, and status labels.</w:t>
      </w:r>
    </w:p>
    <w:p>
      <w:pPr>
        <w:pStyle w:val="Heading3"/>
      </w:pPr>
      <w:r>
        <w:t>49. What credibility order should the deck use?</w:t>
      </w:r>
    </w:p>
    <w:p>
      <w:r>
        <w:t>Dave's answer: Architecture first.</w:t>
      </w:r>
    </w:p>
    <w:p>
      <w:r>
        <w:t>Resulting decision: Explain the mechanism before partner asks, campaign asks, or hype.</w:t>
      </w:r>
    </w:p>
    <w:p>
      <w:pPr>
        <w:pStyle w:val="Heading3"/>
      </w:pPr>
      <w:r>
        <w:t>50. Should v1 include final sample copy?</w:t>
      </w:r>
    </w:p>
    <w:p>
      <w:r>
        <w:t>Dave's answer: No sample copy in v1.</w:t>
      </w:r>
    </w:p>
    <w:p>
      <w:r>
        <w:t>Resulting decision: v1 should include structure, intent, voice rules, slide purpose, and proof objects.</w:t>
      </w:r>
    </w:p>
    <w:p>
      <w:pPr>
        <w:pStyle w:val="Heading2"/>
      </w:pPr>
      <w:r>
        <w:t>9. AI-Assisted Production Workflow</w:t>
      </w:r>
    </w:p>
    <w:p>
      <w:pPr>
        <w:pStyle w:val="Heading3"/>
      </w:pPr>
      <w:r>
        <w:t>51. Who owns first production?</w:t>
      </w:r>
    </w:p>
    <w:p>
      <w:r>
        <w:t>Dave's answer: Internal AI-led first, using best tools where helpful but minimizing tool sprawl.</w:t>
      </w:r>
    </w:p>
    <w:p>
      <w:r>
        <w:t>Resulting decision: Codex/Claude orchestrate specs, prompts, deck outlines, code prototypes, and production routing.</w:t>
      </w:r>
    </w:p>
    <w:p>
      <w:pPr>
        <w:pStyle w:val="Heading3"/>
      </w:pPr>
      <w:r>
        <w:t>52. Which tools belong in the production stack?</w:t>
      </w:r>
    </w:p>
    <w:p>
      <w:r>
        <w:t>Dave's answer: Codex/Claude, Midjourney or equivalent, Runway Gen-4 or Luma Ray/Dream Machine, Spline or Three.js, Rive, Figma/Figma Make/Relume, PPTX/Figma.</w:t>
      </w:r>
    </w:p>
    <w:p>
      <w:r>
        <w:t>Resulting decision: Each tool gets a specific role in the production handoff.</w:t>
      </w:r>
    </w:p>
    <w:p>
      <w:pPr>
        <w:pStyle w:val="Heading3"/>
      </w:pPr>
      <w:r>
        <w:t>53. Can AI-generated public assets be used?</w:t>
      </w:r>
    </w:p>
    <w:p>
      <w:r>
        <w:t>Dave's answer: Yes, only if commercial-safe enough, high-quality, original-looking, and free of obvious AI artifacts.</w:t>
      </w:r>
    </w:p>
    <w:p>
      <w:r>
        <w:t>Resulting decision: Do not spotlight AI usage publicly. Keep prompts, sources, candidates, licenses, and edit decisions in a production log.</w:t>
      </w:r>
    </w:p>
    <w:p>
      <w:pPr>
        <w:pStyle w:val="Heading2"/>
      </w:pPr>
      <w:r>
        <w:t>10. Implementation Corrections</w:t>
      </w:r>
    </w:p>
    <w:p>
      <w:pPr>
        <w:pStyle w:val="Heading3"/>
      </w:pPr>
      <w:r>
        <w:t>54. Should old skills or old generated assets be reused?</w:t>
      </w:r>
    </w:p>
    <w:p>
      <w:r>
        <w:t>Dave's answer: No. All new designs from this direction except the base logo.</w:t>
      </w:r>
    </w:p>
    <w:p>
      <w:r>
        <w:t>Resulting decision: The only inherited visual asset allowed by default is the base Midgard logo.</w:t>
      </w:r>
    </w:p>
    <w:p>
      <w:pPr>
        <w:pStyle w:val="Heading3"/>
      </w:pPr>
      <w:r>
        <w:t>55. What exactly should be custom-built?</w:t>
      </w:r>
    </w:p>
    <w:p>
      <w:r>
        <w:t>Dave's answer: Cinematic pages, diagrams, interactions, deck layouts, proof objects, motion treatments, and web prototype.</w:t>
      </w:r>
    </w:p>
    <w:p>
      <w:r>
        <w:t>Resulting decision: Final production should not depend on old DRep/AlphaGrowth visuals, old deck skill artifacts, or older generated structures.</w:t>
      </w:r>
    </w:p>
    <w:p>
      <w:pPr>
        <w:pStyle w:val="Heading3"/>
      </w:pPr>
      <w:r>
        <w:t>56. How should the team port this work?</w:t>
      </w:r>
    </w:p>
    <w:p>
      <w:r>
        <w:t>Dave's answer: Create a full portable package with marketing, voice, brand, tone, design details, tool handoffs, assets, deck, and prototype.</w:t>
      </w:r>
    </w:p>
    <w:p>
      <w:r>
        <w:t>Resulting decision: Use Midgard_Portable_Brand_Package_2026-05-28/ as the portable team handoff package.</w:t>
      </w:r>
    </w:p>
    <w:p>
      <w:pPr>
        <w:pStyle w:val="Heading2"/>
      </w:pPr>
      <w:r>
        <w:t>11. Open Decisions Still Needing Team Or CEO Approval</w:t>
      </w:r>
    </w:p>
    <w:p>
      <w:pPr>
        <w:pStyle w:val="ListBullet"/>
      </w:pPr>
      <w:r>
        <w:t>Approved public status language.</w:t>
      </w:r>
    </w:p>
    <w:p>
      <w:pPr>
        <w:pStyle w:val="ListBullet"/>
      </w:pPr>
      <w:r>
        <w:t>Approved Cardano L1 anchoring claim strength.</w:t>
      </w:r>
    </w:p>
    <w:p>
      <w:pPr>
        <w:pStyle w:val="ListBullet"/>
      </w:pPr>
      <w:r>
        <w:t>Approved token/governance-token language and restrictions.</w:t>
      </w:r>
    </w:p>
    <w:p>
      <w:pPr>
        <w:pStyle w:val="ListBullet"/>
      </w:pPr>
      <w:r>
        <w:t>Approved partner naming, logo, quote, and co-marketing rules.</w:t>
      </w:r>
    </w:p>
    <w:p>
      <w:pPr>
        <w:pStyle w:val="ListBullet"/>
      </w:pPr>
      <w:r>
        <w:t>Approved comparative-claims framing for ETH L2 category diagnosis.</w:t>
      </w:r>
    </w:p>
    <w:p>
      <w:pPr>
        <w:pStyle w:val="ListBullet"/>
      </w:pPr>
      <w:r>
        <w:t>Evidence available for testnet readiness and mainnet delta.</w:t>
      </w:r>
    </w:p>
    <w:p>
      <w:pPr>
        <w:pStyle w:val="ListBullet"/>
      </w:pPr>
      <w:r>
        <w:t>Final choice between Stone + Light and Organic Rootwork for the dominant key art route.</w:t>
      </w:r>
    </w:p>
    <w:p>
      <w:pPr>
        <w:pStyle w:val="ListBullet"/>
      </w:pPr>
      <w:r>
        <w:t>Whether public AI-generated imagery is acceptable after rights and artifact review.</w:t>
      </w:r>
    </w:p>
    <w:p>
      <w:pPr>
        <w:pStyle w:val="Heading2"/>
      </w:pPr>
      <w:r>
        <w:t>12. Final Direction In One Paragraph</w:t>
      </w:r>
    </w:p>
    <w:p>
      <w:r>
        <w:t>Midgard should present itself as a Category Rebel and Confident Challenger for Cardano-native scaling: plain-spoken, technical, and trust-first, with enough defiant edge to challenge fragmented rollup thinking without becoming a cheap-shot brand. The visual world is Dark Ancient Tech / Mythic Tree World, where trust architecture appears as branching paths, proof circuitry, settlement rails, and Cardano L1 bedrock. Builders and partners are the primary audience, Users/Builders/Partners remain the plain audience paths, and every public claim must stay bold but qualified until approved.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