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Midgard Brand And Marketing System</w:t>
      </w:r>
    </w:p>
    <w:p>
      <w:r>
        <w:rPr>
          <w:i/>
        </w:rPr>
        <w:t>Source: 01-brand-voice-tone/Midgard_Brand_and_Marketing_System.md</w:t>
        <w:br/>
      </w:r>
      <w:r>
        <w:rPr>
          <w:i/>
        </w:rPr>
        <w:t>Generated: 2026-05-28</w:t>
      </w:r>
    </w:p>
    <w:p>
      <w:pPr>
        <w:pStyle w:val="Heading1"/>
      </w:pPr>
      <w:r>
        <w:t>Midgard Brand and Marketing Artifact System</w:t>
      </w:r>
    </w:p>
    <w:p>
      <w:r>
        <w:t>Prepared: May 14, 2026</w:t>
      </w:r>
    </w:p>
    <w:p>
      <w:r>
        <w:t>Purpose: make every Midgard report, pitch deck, one-pager, proposal artifact, and executive brief feel like it came from one polished technical brand system. The system should be spacious, evidence-led, and visibly Midgard without becoming decorative or over-sectioned.</w:t>
      </w:r>
    </w:p>
    <w:p>
      <w:pPr>
        <w:pStyle w:val="Heading2"/>
      </w:pPr>
      <w:r>
        <w:t>Brand Center</w:t>
      </w:r>
    </w:p>
    <w:p>
      <w:r>
        <w:t>Midgard is a Cardano-native Layer 2 scaling protocol. The brand should feel serious, technical, calm, and sharp. It should not feel like a generic crypto launch, a VC hype deck, or a compliance report wearing a logo.</w:t>
      </w:r>
    </w:p>
    <w:p>
      <w:r>
        <w:t>Core signal:</w:t>
      </w:r>
    </w:p>
    <w:p>
      <w:pPr>
        <w:pStyle w:val="ListBullet"/>
      </w:pPr>
      <w:r>
        <w:t>The public website currently positions Midgard as "Cardano, Accelerated" and shows status as Pre-Alpha Testnet.</w:t>
      </w:r>
    </w:p>
    <w:p>
      <w:pPr>
        <w:pStyle w:val="ListBullet"/>
      </w:pPr>
      <w:r>
        <w:t>Cardano-native scaling without asking builders to leave the ecosystem.</w:t>
      </w:r>
    </w:p>
    <w:p>
      <w:pPr>
        <w:pStyle w:val="ListBullet"/>
      </w:pPr>
      <w:r>
        <w:t>Layer 1 remains the settlement, security, and dispute-resolution anchor.</w:t>
      </w:r>
    </w:p>
    <w:p>
      <w:pPr>
        <w:pStyle w:val="ListBullet"/>
      </w:pPr>
      <w:r>
        <w:t>Midgard handles open, permissionless application environments where users and participants are not known in advance.</w:t>
      </w:r>
    </w:p>
    <w:p>
      <w:pPr>
        <w:pStyle w:val="ListBullet"/>
      </w:pPr>
      <w:r>
        <w:t>The EUTXO model is a product advantage, not merely a developer constraint.</w:t>
      </w:r>
    </w:p>
    <w:p>
      <w:pPr>
        <w:pStyle w:val="ListBullet"/>
      </w:pPr>
      <w:r>
        <w:t>Public claims must distinguish current status, planned roadmap, technical design, and production proof.</w:t>
      </w:r>
    </w:p>
    <w:p>
      <w:pPr>
        <w:pStyle w:val="Heading2"/>
      </w:pPr>
      <w:r>
        <w:t>Voice</w:t>
      </w:r>
    </w:p>
    <w:p>
      <w:r>
        <w:t>Use a voice that is technical, direct, and useful. The reader should feel that the artifact was written by people who understand the protocol, the market, and the audience's decision process.</w:t>
      </w:r>
    </w:p>
    <w:p>
      <w:r>
        <w:t>Voice attributes:</w:t>
      </w:r>
    </w:p>
    <w:p>
      <w:pPr>
        <w:pStyle w:val="ListBullet"/>
      </w:pPr>
      <w:r>
        <w:t>Precise: explain mechanism before metaphor.</w:t>
      </w:r>
    </w:p>
    <w:p>
      <w:pPr>
        <w:pStyle w:val="ListBullet"/>
      </w:pPr>
      <w:r>
        <w:t>Confident: lead with the answer, then show the proof.</w:t>
      </w:r>
    </w:p>
    <w:p>
      <w:pPr>
        <w:pStyle w:val="ListBullet"/>
      </w:pPr>
      <w:r>
        <w:t>Measured: avoid hype, inevitability language, and unsupported superlatives.</w:t>
      </w:r>
    </w:p>
    <w:p>
      <w:pPr>
        <w:pStyle w:val="ListBullet"/>
      </w:pPr>
      <w:r>
        <w:t>Builder-aware: speak to developers, wallets, dApps, SPOs, and governance readers without flattening them into one audience.</w:t>
      </w:r>
    </w:p>
    <w:p>
      <w:pPr>
        <w:pStyle w:val="ListBullet"/>
      </w:pPr>
      <w:r>
        <w:t>Ecosystem-positive: frame Layer 2 activity as additive to Cardano where the source supports that claim.</w:t>
      </w:r>
    </w:p>
    <w:p>
      <w:r>
        <w:t>Avoid:</w:t>
      </w:r>
    </w:p>
    <w:p>
      <w:pPr>
        <w:pStyle w:val="ListBullet"/>
      </w:pPr>
      <w:r>
        <w:t>"Revolutionary", "game-changing", "ultimate", "solves scaling", or similar generic crypto language.</w:t>
      </w:r>
    </w:p>
    <w:p>
      <w:pPr>
        <w:pStyle w:val="ListBullet"/>
      </w:pPr>
      <w:r>
        <w:t>Treating planned items as delivered.</w:t>
      </w:r>
    </w:p>
    <w:p>
      <w:pPr>
        <w:pStyle w:val="ListBullet"/>
      </w:pPr>
      <w:r>
        <w:t>Dense technical prose pasted from the spec without an executive interpretation.</w:t>
      </w:r>
    </w:p>
    <w:p>
      <w:pPr>
        <w:pStyle w:val="ListBullet"/>
      </w:pPr>
      <w:r>
        <w:t>Too many headings stacked on top of each other.</w:t>
      </w:r>
    </w:p>
    <w:p>
      <w:pPr>
        <w:pStyle w:val="ListBullet"/>
      </w:pPr>
      <w:r>
        <w:t>Em dashes.</w:t>
      </w:r>
    </w:p>
    <w:p>
      <w:pPr>
        <w:pStyle w:val="Heading2"/>
      </w:pPr>
      <w:r>
        <w:t>Messaging Pillars</w:t>
      </w:r>
    </w:p>
    <w:p>
      <w:pPr>
        <w:pStyle w:val="ListNumber"/>
      </w:pPr>
      <w:r>
        <w:t>Cardano-native continuity</w:t>
      </w:r>
    </w:p>
    <w:p>
      <w:r>
        <w:t>Midgard gives Cardano builders a scaling path that preserves Cardano's security model, wallets, tooling assumptions, and ecosystem alignment.</w:t>
      </w:r>
    </w:p>
    <w:p>
      <w:pPr>
        <w:pStyle w:val="ListNumber"/>
      </w:pPr>
      <w:r>
        <w:t>Open application environments</w:t>
      </w:r>
    </w:p>
    <w:p>
      <w:r>
        <w:t>Hydra and Midgard should be framed as complementary. Hydra serves known-party, high-frequency contexts. Midgard serves open, permissionless applications such as DEXs, lending markets, NFT marketplaces, and consumer applications.</w:t>
      </w:r>
    </w:p>
    <w:p>
      <w:pPr>
        <w:pStyle w:val="ListNumber"/>
      </w:pPr>
      <w:r>
        <w:t>EUTXO as advantage</w:t>
      </w:r>
    </w:p>
    <w:p>
      <w:r>
        <w:t>Midgard's strongest differentiated technical story is that Cardano's localized state can make fraud-proof design more targeted. Treat this as a technical design advantage unless production benchmarks support stronger claims.</w:t>
      </w:r>
    </w:p>
    <w:p>
      <w:pPr>
        <w:pStyle w:val="ListNumber"/>
      </w:pPr>
      <w:r>
        <w:t>L1 anchored economics</w:t>
      </w:r>
    </w:p>
    <w:p>
      <w:r>
        <w:t>Midgard should be presented as extending Cardano, not replacing it. Rollup commitments and settlement activity anchor back to Layer 1.</w:t>
      </w:r>
    </w:p>
    <w:p>
      <w:pPr>
        <w:pStyle w:val="ListNumber"/>
      </w:pPr>
      <w:r>
        <w:t>Proof over posture</w:t>
      </w:r>
    </w:p>
    <w:p>
      <w:r>
        <w:t>Show sources, repo signals, milestone status, diagrams, and explicit claim confidence. The brand feels stronger when it is disciplined.</w:t>
      </w:r>
    </w:p>
    <w:p>
      <w:pPr>
        <w:pStyle w:val="Heading2"/>
      </w:pPr>
      <w:r>
        <w:t>Typography</w:t>
      </w:r>
    </w:p>
    <w:p>
      <w:r>
        <w:t>Primary display: Poppins</w:t>
      </w:r>
    </w:p>
    <w:p>
      <w:pPr>
        <w:pStyle w:val="ListBullet"/>
      </w:pPr>
      <w:r>
        <w:t>Use for title pages, deck titles, major report section openers, callout numbers, and short proof labels.</w:t>
      </w:r>
    </w:p>
    <w:p>
      <w:pPr>
        <w:pStyle w:val="ListBullet"/>
      </w:pPr>
      <w:r>
        <w:t>Weight range: 500, 600, 700. Avoid ultra-light weights.</w:t>
      </w:r>
    </w:p>
    <w:p>
      <w:r>
        <w:t>Primary body: Inter</w:t>
      </w:r>
    </w:p>
    <w:p>
      <w:pPr>
        <w:pStyle w:val="ListBullet"/>
      </w:pPr>
      <w:r>
        <w:t>Use for report prose, deck body copy, table text, and dense explanatory paragraphs.</w:t>
      </w:r>
    </w:p>
    <w:p>
      <w:pPr>
        <w:pStyle w:val="ListBullet"/>
      </w:pPr>
      <w:r>
        <w:t>If Inter is unavailable, use Source Sans 3, Aptos, Helvetica Neue, or Arial in that order.</w:t>
      </w:r>
    </w:p>
    <w:p>
      <w:r>
        <w:t>Technical labels: JetBrains Mono</w:t>
      </w:r>
    </w:p>
    <w:p>
      <w:pPr>
        <w:pStyle w:val="ListBullet"/>
      </w:pPr>
      <w:r>
        <w:t>Use sparingly for protocol labels, source tags, repo paths, status chips, and diagram labels.</w:t>
      </w:r>
    </w:p>
    <w:p>
      <w:pPr>
        <w:pStyle w:val="ListBullet"/>
      </w:pPr>
      <w:r>
        <w:t>If unavailable, use IBM Plex Mono, SF Mono, Aptos Mono, or Consolas.</w:t>
      </w:r>
    </w:p>
    <w:p>
      <w:r>
        <w:t>Type scale: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Reports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Decks</w:t>
            </w:r>
          </w:p>
        </w:tc>
      </w:tr>
      <w:tr>
        <w:tc>
          <w:tcPr>
            <w:tcW w:type="dxa" w:w="3312"/>
          </w:tcPr>
          <w:p>
            <w:r>
              <w:t>Cover title</w:t>
            </w:r>
          </w:p>
        </w:tc>
        <w:tc>
          <w:tcPr>
            <w:tcW w:type="dxa" w:w="3312"/>
          </w:tcPr>
          <w:p>
            <w:r>
              <w:t>28 to 34 pt</w:t>
            </w:r>
          </w:p>
        </w:tc>
        <w:tc>
          <w:tcPr>
            <w:tcW w:type="dxa" w:w="3312"/>
          </w:tcPr>
          <w:p>
            <w:r>
              <w:t>46 to 58 px</w:t>
            </w:r>
          </w:p>
        </w:tc>
      </w:tr>
      <w:tr>
        <w:tc>
          <w:tcPr>
            <w:tcW w:type="dxa" w:w="3312"/>
          </w:tcPr>
          <w:p>
            <w:r>
              <w:t>Section opener</w:t>
            </w:r>
          </w:p>
        </w:tc>
        <w:tc>
          <w:tcPr>
            <w:tcW w:type="dxa" w:w="3312"/>
          </w:tcPr>
          <w:p>
            <w:r>
              <w:t>16 to 20 pt</w:t>
            </w:r>
          </w:p>
        </w:tc>
        <w:tc>
          <w:tcPr>
            <w:tcW w:type="dxa" w:w="3312"/>
          </w:tcPr>
          <w:p>
            <w:r>
              <w:t>28 to 36 px</w:t>
            </w:r>
          </w:p>
        </w:tc>
      </w:tr>
      <w:tr>
        <w:tc>
          <w:tcPr>
            <w:tcW w:type="dxa" w:w="3312"/>
          </w:tcPr>
          <w:p>
            <w:r>
              <w:t>Body</w:t>
            </w:r>
          </w:p>
        </w:tc>
        <w:tc>
          <w:tcPr>
            <w:tcW w:type="dxa" w:w="3312"/>
          </w:tcPr>
          <w:p>
            <w:r>
              <w:t>10.0 to 10.75 pt</w:t>
            </w:r>
          </w:p>
        </w:tc>
        <w:tc>
          <w:tcPr>
            <w:tcW w:type="dxa" w:w="3312"/>
          </w:tcPr>
          <w:p>
            <w:r>
              <w:t>17 to 22 px</w:t>
            </w:r>
          </w:p>
        </w:tc>
      </w:tr>
      <w:tr>
        <w:tc>
          <w:tcPr>
            <w:tcW w:type="dxa" w:w="3312"/>
          </w:tcPr>
          <w:p>
            <w:r>
              <w:t>Metadata</w:t>
            </w:r>
          </w:p>
        </w:tc>
        <w:tc>
          <w:tcPr>
            <w:tcW w:type="dxa" w:w="3312"/>
          </w:tcPr>
          <w:p>
            <w:r>
              <w:t>7.5 to 8.5 pt</w:t>
            </w:r>
          </w:p>
        </w:tc>
        <w:tc>
          <w:tcPr>
            <w:tcW w:type="dxa" w:w="3312"/>
          </w:tcPr>
          <w:p>
            <w:r>
              <w:t>11 to 13 px</w:t>
            </w:r>
          </w:p>
        </w:tc>
      </w:tr>
      <w:tr>
        <w:tc>
          <w:tcPr>
            <w:tcW w:type="dxa" w:w="3312"/>
          </w:tcPr>
          <w:p>
            <w:r>
              <w:t>Technical label</w:t>
            </w:r>
          </w:p>
        </w:tc>
        <w:tc>
          <w:tcPr>
            <w:tcW w:type="dxa" w:w="3312"/>
          </w:tcPr>
          <w:p>
            <w:r>
              <w:t>7.5 to 9 pt</w:t>
            </w:r>
          </w:p>
        </w:tc>
        <w:tc>
          <w:tcPr>
            <w:tcW w:type="dxa" w:w="3312"/>
          </w:tcPr>
          <w:p>
            <w:r>
              <w:t>10 to 13 px</w:t>
            </w:r>
          </w:p>
        </w:tc>
      </w:tr>
    </w:tbl>
    <w:p>
      <w:pPr>
        <w:pStyle w:val="Heading2"/>
      </w:pPr>
      <w:r>
        <w:t>Color System</w:t>
      </w:r>
    </w:p>
    <w:p>
      <w:r>
        <w:t>Use restrained color. Midgard green is the accent, not the whole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Hex</w:t>
            </w:r>
          </w:p>
        </w:tc>
        <w:tc>
          <w:tcPr>
            <w:tcW w:type="dxa" w:w="3312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312"/>
          </w:tcPr>
          <w:p>
            <w:r>
              <w:t>Midgard green</w:t>
            </w:r>
          </w:p>
        </w:tc>
        <w:tc>
          <w:tcPr>
            <w:tcW w:type="dxa" w:w="3312"/>
          </w:tcPr>
          <w:p>
            <w:r>
              <w:t>#20BE43</w:t>
            </w:r>
          </w:p>
        </w:tc>
        <w:tc>
          <w:tcPr>
            <w:tcW w:type="dxa" w:w="3312"/>
          </w:tcPr>
          <w:p>
            <w:r>
              <w:t>Primary accent, rules, callout numbers, active status</w:t>
            </w:r>
          </w:p>
        </w:tc>
      </w:tr>
      <w:tr>
        <w:tc>
          <w:tcPr>
            <w:tcW w:type="dxa" w:w="3312"/>
          </w:tcPr>
          <w:p>
            <w:r>
              <w:t>Deep ink</w:t>
            </w:r>
          </w:p>
        </w:tc>
        <w:tc>
          <w:tcPr>
            <w:tcW w:type="dxa" w:w="3312"/>
          </w:tcPr>
          <w:p>
            <w:r>
              <w:t>#07120B</w:t>
            </w:r>
          </w:p>
        </w:tc>
        <w:tc>
          <w:tcPr>
            <w:tcW w:type="dxa" w:w="3312"/>
          </w:tcPr>
          <w:p>
            <w:r>
              <w:t>Main text and dark panels</w:t>
            </w:r>
          </w:p>
        </w:tc>
      </w:tr>
      <w:tr>
        <w:tc>
          <w:tcPr>
            <w:tcW w:type="dxa" w:w="3312"/>
          </w:tcPr>
          <w:p>
            <w:r>
              <w:t>Charcoal</w:t>
            </w:r>
          </w:p>
        </w:tc>
        <w:tc>
          <w:tcPr>
            <w:tcW w:type="dxa" w:w="3312"/>
          </w:tcPr>
          <w:p>
            <w:r>
              <w:t>#101820</w:t>
            </w:r>
          </w:p>
        </w:tc>
        <w:tc>
          <w:tcPr>
            <w:tcW w:type="dxa" w:w="3312"/>
          </w:tcPr>
          <w:p>
            <w:r>
              <w:t>Alternative dark background</w:t>
            </w:r>
          </w:p>
        </w:tc>
      </w:tr>
      <w:tr>
        <w:tc>
          <w:tcPr>
            <w:tcW w:type="dxa" w:w="3312"/>
          </w:tcPr>
          <w:p>
            <w:r>
              <w:t>Paper</w:t>
            </w:r>
          </w:p>
        </w:tc>
        <w:tc>
          <w:tcPr>
            <w:tcW w:type="dxa" w:w="3312"/>
          </w:tcPr>
          <w:p>
            <w:r>
              <w:t>#F8FAF5</w:t>
            </w:r>
          </w:p>
        </w:tc>
        <w:tc>
          <w:tcPr>
            <w:tcW w:type="dxa" w:w="3312"/>
          </w:tcPr>
          <w:p>
            <w:r>
              <w:t>Report background blocks and soft section areas</w:t>
            </w:r>
          </w:p>
        </w:tc>
      </w:tr>
      <w:tr>
        <w:tc>
          <w:tcPr>
            <w:tcW w:type="dxa" w:w="3312"/>
          </w:tcPr>
          <w:p>
            <w:r>
              <w:t>Soft green</w:t>
            </w:r>
          </w:p>
        </w:tc>
        <w:tc>
          <w:tcPr>
            <w:tcW w:type="dxa" w:w="3312"/>
          </w:tcPr>
          <w:p>
            <w:r>
              <w:t>#EAF6EC</w:t>
            </w:r>
          </w:p>
        </w:tc>
        <w:tc>
          <w:tcPr>
            <w:tcW w:type="dxa" w:w="3312"/>
          </w:tcPr>
          <w:p>
            <w:r>
              <w:t>Callouts and proof cards</w:t>
            </w:r>
          </w:p>
        </w:tc>
      </w:tr>
      <w:tr>
        <w:tc>
          <w:tcPr>
            <w:tcW w:type="dxa" w:w="3312"/>
          </w:tcPr>
          <w:p>
            <w:r>
              <w:t>Mist line</w:t>
            </w:r>
          </w:p>
        </w:tc>
        <w:tc>
          <w:tcPr>
            <w:tcW w:type="dxa" w:w="3312"/>
          </w:tcPr>
          <w:p>
            <w:r>
              <w:t>#D7E2D8</w:t>
            </w:r>
          </w:p>
        </w:tc>
        <w:tc>
          <w:tcPr>
            <w:tcW w:type="dxa" w:w="3312"/>
          </w:tcPr>
          <w:p>
            <w:r>
              <w:t>Rules, table borders, dividers</w:t>
            </w:r>
          </w:p>
        </w:tc>
      </w:tr>
      <w:tr>
        <w:tc>
          <w:tcPr>
            <w:tcW w:type="dxa" w:w="3312"/>
          </w:tcPr>
          <w:p>
            <w:r>
              <w:t>Slate</w:t>
            </w:r>
          </w:p>
        </w:tc>
        <w:tc>
          <w:tcPr>
            <w:tcW w:type="dxa" w:w="3312"/>
          </w:tcPr>
          <w:p>
            <w:r>
              <w:t>#475569</w:t>
            </w:r>
          </w:p>
        </w:tc>
        <w:tc>
          <w:tcPr>
            <w:tcW w:type="dxa" w:w="3312"/>
          </w:tcPr>
          <w:p>
            <w:r>
              <w:t>Metadata and secondary text</w:t>
            </w:r>
          </w:p>
        </w:tc>
      </w:tr>
      <w:tr>
        <w:tc>
          <w:tcPr>
            <w:tcW w:type="dxa" w:w="3312"/>
          </w:tcPr>
          <w:p>
            <w:r>
              <w:t>Cardano blue</w:t>
            </w:r>
          </w:p>
        </w:tc>
        <w:tc>
          <w:tcPr>
            <w:tcW w:type="dxa" w:w="3312"/>
          </w:tcPr>
          <w:p>
            <w:r>
              <w:t>#0033AD</w:t>
            </w:r>
          </w:p>
        </w:tc>
        <w:tc>
          <w:tcPr>
            <w:tcW w:type="dxa" w:w="3312"/>
          </w:tcPr>
          <w:p>
            <w:r>
              <w:t>Secondary ecosystem cue only</w:t>
            </w:r>
          </w:p>
        </w:tc>
      </w:tr>
      <w:tr>
        <w:tc>
          <w:tcPr>
            <w:tcW w:type="dxa" w:w="3312"/>
          </w:tcPr>
          <w:p>
            <w:r>
              <w:t>Warning amber</w:t>
            </w:r>
          </w:p>
        </w:tc>
        <w:tc>
          <w:tcPr>
            <w:tcW w:type="dxa" w:w="3312"/>
          </w:tcPr>
          <w:p>
            <w:r>
              <w:t>#B7791F</w:t>
            </w:r>
          </w:p>
        </w:tc>
        <w:tc>
          <w:tcPr>
            <w:tcW w:type="dxa" w:w="3312"/>
          </w:tcPr>
          <w:p>
            <w:r>
              <w:t>Claim caution, not decoration</w:t>
            </w:r>
          </w:p>
        </w:tc>
      </w:tr>
    </w:tbl>
    <w:p>
      <w:r>
        <w:t>Do not make the palette one-note green. Pair Midgard green with black, white, paper, and slate. Use Cardano blue only when the artifact is explicitly connecting to Cardano ecosystem context.</w:t>
      </w:r>
    </w:p>
    <w:p>
      <w:pPr>
        <w:pStyle w:val="Heading2"/>
      </w:pPr>
      <w:r>
        <w:t>Spacing and Layout</w:t>
      </w:r>
    </w:p>
    <w:p>
      <w:r>
        <w:t>Use a few strong sections rather than many headings.</w:t>
      </w:r>
    </w:p>
    <w:p>
      <w:r>
        <w:t>Reports:</w:t>
      </w:r>
    </w:p>
    <w:p>
      <w:pPr>
        <w:pStyle w:val="ListBullet"/>
      </w:pPr>
      <w:r>
        <w:t>0.65 to 0.75 inch margins.</w:t>
      </w:r>
    </w:p>
    <w:p>
      <w:pPr>
        <w:pStyle w:val="ListBullet"/>
      </w:pPr>
      <w:r>
        <w:t>Use a compact logo/meta header, then a strong thesis block.</w:t>
      </w:r>
    </w:p>
    <w:p>
      <w:pPr>
        <w:pStyle w:val="ListBullet"/>
      </w:pPr>
      <w:r>
        <w:t>Use 1 to 2 visual anchors per page: proof cards, mechanism diagram, evidence table, or claim guardrail.</w:t>
      </w:r>
    </w:p>
    <w:p>
      <w:pPr>
        <w:pStyle w:val="ListBullet"/>
      </w:pPr>
      <w:r>
        <w:t>Paragraphs should usually be 2 to 4 lines.</w:t>
      </w:r>
    </w:p>
    <w:p>
      <w:pPr>
        <w:pStyle w:val="ListBullet"/>
      </w:pPr>
      <w:r>
        <w:t>Use tables only for comparable fields or proof registers. Do not put normal prose in grids.</w:t>
      </w:r>
    </w:p>
    <w:p>
      <w:pPr>
        <w:pStyle w:val="ListBullet"/>
      </w:pPr>
      <w:r>
        <w:t>Use source footers in small slate text.</w:t>
      </w:r>
    </w:p>
    <w:p>
      <w:r>
        <w:t>Decks:</w:t>
      </w:r>
    </w:p>
    <w:p>
      <w:pPr>
        <w:pStyle w:val="ListBullet"/>
      </w:pPr>
      <w:r>
        <w:t>16:9 format.</w:t>
      </w:r>
    </w:p>
    <w:p>
      <w:pPr>
        <w:pStyle w:val="ListBullet"/>
      </w:pPr>
      <w:r>
        <w:t>One claim per slide.</w:t>
      </w:r>
    </w:p>
    <w:p>
      <w:pPr>
        <w:pStyle w:val="ListBullet"/>
      </w:pPr>
      <w:r>
        <w:t>One proof object per slide.</w:t>
      </w:r>
    </w:p>
    <w:p>
      <w:pPr>
        <w:pStyle w:val="ListBullet"/>
      </w:pPr>
      <w:r>
        <w:t>Plenty of white or near-black negative space.</w:t>
      </w:r>
    </w:p>
    <w:p>
      <w:pPr>
        <w:pStyle w:val="ListBullet"/>
      </w:pPr>
      <w:r>
        <w:t>Use diagrams, rails, simple data cards, and proof ladders instead of decorative card grids.</w:t>
      </w:r>
    </w:p>
    <w:p>
      <w:pPr>
        <w:pStyle w:val="ListBullet"/>
      </w:pPr>
      <w:r>
        <w:t>At thumbnail size, every slide should have a distinct rhythm.</w:t>
      </w:r>
    </w:p>
    <w:p>
      <w:r>
        <w:t>One-page briefs:</w:t>
      </w:r>
    </w:p>
    <w:p>
      <w:pPr>
        <w:pStyle w:val="ListBullet"/>
      </w:pPr>
      <w:r>
        <w:t>Title and one-sentence positioning at top.</w:t>
      </w:r>
    </w:p>
    <w:p>
      <w:pPr>
        <w:pStyle w:val="ListBullet"/>
      </w:pPr>
      <w:r>
        <w:t>Three horizontal content lanes: what it is, why it matters, proof and status.</w:t>
      </w:r>
    </w:p>
    <w:p>
      <w:pPr>
        <w:pStyle w:val="ListBullet"/>
      </w:pPr>
      <w:r>
        <w:t>One compact mechanism diagram.</w:t>
      </w:r>
    </w:p>
    <w:p>
      <w:pPr>
        <w:pStyle w:val="ListBullet"/>
      </w:pPr>
      <w:r>
        <w:t>Source list at the bottom.</w:t>
      </w:r>
    </w:p>
    <w:p>
      <w:pPr>
        <w:pStyle w:val="Heading2"/>
      </w:pPr>
      <w:r>
        <w:t>Artifact Patterns</w:t>
      </w:r>
    </w:p>
    <w:p>
      <w:r>
        <w:t>Executive report pattern:</w:t>
      </w:r>
    </w:p>
    <w:p>
      <w:pPr>
        <w:pStyle w:val="ListNumber"/>
      </w:pPr>
      <w:r>
        <w:t>Title and thesis</w:t>
      </w:r>
    </w:p>
    <w:p>
      <w:pPr>
        <w:pStyle w:val="ListNumber"/>
      </w:pPr>
      <w:r>
        <w:t>Product at a glance</w:t>
      </w:r>
    </w:p>
    <w:p>
      <w:pPr>
        <w:pStyle w:val="ListNumber"/>
      </w:pPr>
      <w:r>
        <w:t>Mechanism diagram</w:t>
      </w:r>
    </w:p>
    <w:p>
      <w:pPr>
        <w:pStyle w:val="ListNumber"/>
      </w:pPr>
      <w:r>
        <w:t>Market and audience fit</w:t>
      </w:r>
    </w:p>
    <w:p>
      <w:pPr>
        <w:pStyle w:val="ListNumber"/>
      </w:pPr>
      <w:r>
        <w:t>Claim guardrails</w:t>
      </w:r>
    </w:p>
    <w:p>
      <w:pPr>
        <w:pStyle w:val="ListNumber"/>
      </w:pPr>
      <w:r>
        <w:t>Sources used</w:t>
      </w:r>
    </w:p>
    <w:p>
      <w:r>
        <w:t>Pitch deck pattern:</w:t>
      </w:r>
    </w:p>
    <w:p>
      <w:pPr>
        <w:pStyle w:val="ListNumber"/>
      </w:pPr>
      <w:r>
        <w:t>Thesis title slide</w:t>
      </w:r>
    </w:p>
    <w:p>
      <w:pPr>
        <w:pStyle w:val="ListNumber"/>
      </w:pPr>
      <w:r>
        <w:t>Market problem and platform-selection filter</w:t>
      </w:r>
    </w:p>
    <w:p>
      <w:pPr>
        <w:pStyle w:val="ListNumber"/>
      </w:pPr>
      <w:r>
        <w:t>Midgard mechanism and L1 anchor</w:t>
      </w:r>
    </w:p>
    <w:p>
      <w:pPr>
        <w:pStyle w:val="ListNumber"/>
      </w:pPr>
      <w:r>
        <w:t>Differentiation: EUTXO-localized fraud proofs</w:t>
      </w:r>
    </w:p>
    <w:p>
      <w:pPr>
        <w:pStyle w:val="ListNumber"/>
      </w:pPr>
      <w:r>
        <w:t>Roadmap, proof, and claim confidence</w:t>
      </w:r>
    </w:p>
    <w:p>
      <w:r>
        <w:t>Proposal or governance brief pattern:</w:t>
      </w:r>
    </w:p>
    <w:p>
      <w:pPr>
        <w:pStyle w:val="ListNumber"/>
      </w:pPr>
      <w:r>
        <w:t>Decision summary</w:t>
      </w:r>
    </w:p>
    <w:p>
      <w:pPr>
        <w:pStyle w:val="ListNumber"/>
      </w:pPr>
      <w:r>
        <w:t>What is funded or requested</w:t>
      </w:r>
    </w:p>
    <w:p>
      <w:pPr>
        <w:pStyle w:val="ListNumber"/>
      </w:pPr>
      <w:r>
        <w:t>Why it matters for Cardano</w:t>
      </w:r>
    </w:p>
    <w:p>
      <w:pPr>
        <w:pStyle w:val="ListNumber"/>
      </w:pPr>
      <w:r>
        <w:t>Evidence and delivery signals</w:t>
      </w:r>
    </w:p>
    <w:p>
      <w:pPr>
        <w:pStyle w:val="ListNumber"/>
      </w:pPr>
      <w:r>
        <w:t>Risks, dependencies, and review conditions</w:t>
      </w:r>
    </w:p>
    <w:p>
      <w:pPr>
        <w:pStyle w:val="Heading2"/>
      </w:pPr>
      <w:r>
        <w:t>Claim Guardrails</w:t>
      </w:r>
    </w:p>
    <w:p>
      <w:r>
        <w:t>Use three confidence levels:</w:t>
      </w:r>
    </w:p>
    <w:p>
      <w:pPr>
        <w:pStyle w:val="ListBullet"/>
      </w:pPr>
      <w:r>
        <w:t>Public fact: directly supported by public source.</w:t>
      </w:r>
    </w:p>
    <w:p>
      <w:pPr>
        <w:pStyle w:val="ListBullet"/>
      </w:pPr>
      <w:r>
        <w:t>Technical design claim: supported by the spec or repo, but not necessarily production-proven.</w:t>
      </w:r>
    </w:p>
    <w:p>
      <w:pPr>
        <w:pStyle w:val="ListBullet"/>
      </w:pPr>
      <w:r>
        <w:t>Roadmap or planned claim: target, proposal, or stated plan that needs refreshed verification before external use.</w:t>
      </w:r>
    </w:p>
    <w:p>
      <w: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Preferred handling</w:t>
            </w:r>
          </w:p>
        </w:tc>
      </w:tr>
      <w:tr>
        <w:tc>
          <w:tcPr>
            <w:tcW w:type="dxa" w:w="3312"/>
          </w:tcPr>
          <w:p>
            <w:r>
              <w:t>Midgard is Cardano's first optimistic rollup protocol.</w:t>
            </w:r>
          </w:p>
        </w:tc>
        <w:tc>
          <w:tcPr>
            <w:tcW w:type="dxa" w:w="3312"/>
          </w:tcPr>
          <w:p>
            <w:r>
              <w:t>Public fact / spec claim</w:t>
            </w:r>
          </w:p>
        </w:tc>
        <w:tc>
          <w:tcPr>
            <w:tcW w:type="dxa" w:w="3312"/>
          </w:tcPr>
          <w:p>
            <w:r>
              <w:t>Safe with source citation.</w:t>
            </w:r>
          </w:p>
        </w:tc>
      </w:tr>
      <w:tr>
        <w:tc>
          <w:tcPr>
            <w:tcW w:type="dxa" w:w="3312"/>
          </w:tcPr>
          <w:p>
            <w:r>
              <w:t>Public website status is Pre-Alpha Testnet.</w:t>
            </w:r>
          </w:p>
        </w:tc>
        <w:tc>
          <w:tcPr>
            <w:tcW w:type="dxa" w:w="3312"/>
          </w:tcPr>
          <w:p>
            <w:r>
              <w:t>Public website status</w:t>
            </w:r>
          </w:p>
        </w:tc>
        <w:tc>
          <w:tcPr>
            <w:tcW w:type="dxa" w:w="3312"/>
          </w:tcPr>
          <w:p>
            <w:r>
              <w:t>Safe with website citation and access date.</w:t>
            </w:r>
          </w:p>
        </w:tc>
      </w:tr>
      <w:tr>
        <w:tc>
          <w:tcPr>
            <w:tcW w:type="dxa" w:w="3312"/>
          </w:tcPr>
          <w:p>
            <w:r>
              <w:t>Midgard can process a significantly higher volume of transactions while maintaining L1 security properties.</w:t>
            </w:r>
          </w:p>
        </w:tc>
        <w:tc>
          <w:tcPr>
            <w:tcW w:type="dxa" w:w="3312"/>
          </w:tcPr>
          <w:p>
            <w:r>
              <w:t>Technical design claim</w:t>
            </w:r>
          </w:p>
        </w:tc>
        <w:tc>
          <w:tcPr>
            <w:tcW w:type="dxa" w:w="3312"/>
          </w:tcPr>
          <w:p>
            <w:r>
              <w:t>Use as design intent unless benchmark data is included.</w:t>
            </w:r>
          </w:p>
        </w:tc>
      </w:tr>
      <w:tr>
        <w:tc>
          <w:tcPr>
            <w:tcW w:type="dxa" w:w="3312"/>
          </w:tcPr>
          <w:p>
            <w:r>
              <w:t>Up to 300x faster speeds.</w:t>
            </w:r>
          </w:p>
        </w:tc>
        <w:tc>
          <w:tcPr>
            <w:tcW w:type="dxa" w:w="3312"/>
          </w:tcPr>
          <w:p>
            <w:r>
              <w:t>Website marketing / performance claim</w:t>
            </w:r>
          </w:p>
        </w:tc>
        <w:tc>
          <w:tcPr>
            <w:tcW w:type="dxa" w:w="3312"/>
          </w:tcPr>
          <w:p>
            <w:r>
              <w:t>Use only with website source and benchmark context. Do not use as standalone proof.</w:t>
            </w:r>
          </w:p>
        </w:tc>
      </w:tr>
      <w:tr>
        <w:tc>
          <w:tcPr>
            <w:tcW w:type="dxa" w:w="3312"/>
          </w:tcPr>
          <w:p>
            <w:r>
              <w:t>Midgard is tokenless and fees are paid in ADA.</w:t>
            </w:r>
          </w:p>
        </w:tc>
        <w:tc>
          <w:tcPr>
            <w:tcW w:type="dxa" w:w="3312"/>
          </w:tcPr>
          <w:p>
            <w:r>
              <w:t>Public positioning / economics claim</w:t>
            </w:r>
          </w:p>
        </w:tc>
        <w:tc>
          <w:tcPr>
            <w:tcW w:type="dxa" w:w="3312"/>
          </w:tcPr>
          <w:p>
            <w:r>
              <w:t>Prefer "website positions Midgard as tokenless, with fees in ADA" unless governance terms need absolute language.</w:t>
            </w:r>
          </w:p>
        </w:tc>
      </w:tr>
      <w:tr>
        <w:tc>
          <w:tcPr>
            <w:tcW w:type="dxa" w:w="3312"/>
          </w:tcPr>
          <w:p>
            <w:r>
              <w:t>Midgard mainnet launch by end of 2026.</w:t>
            </w:r>
          </w:p>
        </w:tc>
        <w:tc>
          <w:tcPr>
            <w:tcW w:type="dxa" w:w="3312"/>
          </w:tcPr>
          <w:p>
            <w:r>
              <w:t>Roadmap claim</w:t>
            </w:r>
          </w:p>
        </w:tc>
        <w:tc>
          <w:tcPr>
            <w:tcW w:type="dxa" w:w="3312"/>
          </w:tcPr>
          <w:p>
            <w:r>
              <w:t>Label as proposal target and refresh before publication.</w:t>
            </w:r>
          </w:p>
        </w:tc>
      </w:tr>
      <w:tr>
        <w:tc>
          <w:tcPr>
            <w:tcW w:type="dxa" w:w="3312"/>
          </w:tcPr>
          <w:p>
            <w:r>
              <w:t>Hundreds of transactions per block and costs below $0.01.</w:t>
            </w:r>
          </w:p>
        </w:tc>
        <w:tc>
          <w:tcPr>
            <w:tcW w:type="dxa" w:w="3312"/>
          </w:tcPr>
          <w:p>
            <w:r>
              <w:t>Roadmap / proposal claim</w:t>
            </w:r>
          </w:p>
        </w:tc>
        <w:tc>
          <w:tcPr>
            <w:tcW w:type="dxa" w:w="3312"/>
          </w:tcPr>
          <w:p>
            <w:r>
              <w:t>Use only with source and context, not as current production performance.</w:t>
            </w:r>
          </w:p>
        </w:tc>
      </w:tr>
      <w:tr>
        <w:tc>
          <w:tcPr>
            <w:tcW w:type="dxa" w:w="3312"/>
          </w:tcPr>
          <w:p>
            <w:r>
              <w:t>3 of 6 Catalyst milestones completed, 345,000 ADA distributed, 155,000 ADA remaining.</w:t>
            </w:r>
          </w:p>
        </w:tc>
        <w:tc>
          <w:tcPr>
            <w:tcW w:type="dxa" w:w="3312"/>
          </w:tcPr>
          <w:p>
            <w:r>
              <w:t>Public status as of source page</w:t>
            </w:r>
          </w:p>
        </w:tc>
        <w:tc>
          <w:tcPr>
            <w:tcW w:type="dxa" w:w="3312"/>
          </w:tcPr>
          <w:p>
            <w:r>
              <w:t>Refresh before external publication.</w:t>
            </w:r>
          </w:p>
        </w:tc>
      </w:tr>
    </w:tbl>
    <w:p>
      <w:pPr>
        <w:pStyle w:val="Heading2"/>
      </w:pPr>
      <w:r>
        <w:t>Source Rules</w:t>
      </w:r>
    </w:p>
    <w:p>
      <w:r>
        <w:t>Primary public sources:</w:t>
      </w:r>
    </w:p>
    <w:p>
      <w:pPr>
        <w:pStyle w:val="ListBullet"/>
      </w:pPr>
      <w:r>
        <w:t>Midgard public website for current public positioning, product language, visual rhythm, participant framing, Pre-Alpha Testnet status, and website-specific performance claims.</w:t>
      </w:r>
    </w:p>
    <w:p>
      <w:pPr>
        <w:pStyle w:val="ListBullet"/>
      </w:pPr>
      <w:r>
        <w:t>Anastasia Labs public site for company and product framing.</w:t>
      </w:r>
    </w:p>
    <w:p>
      <w:pPr>
        <w:pStyle w:val="ListBullet"/>
      </w:pPr>
      <w:r>
        <w:t>Midgard GitHub repository for implementation and repo signal.</w:t>
      </w:r>
    </w:p>
    <w:p>
      <w:pPr>
        <w:pStyle w:val="ListBullet"/>
      </w:pPr>
      <w:r>
        <w:t>Midgard technical specification for architecture, operator, watcher, fraud-proof, and L1/L2 mechanism claims.</w:t>
      </w:r>
    </w:p>
    <w:p>
      <w:pPr>
        <w:pStyle w:val="ListBullet"/>
      </w:pPr>
      <w:r>
        <w:t>Project Catalyst Midgard page for funded proposal, milestones, budget, and status.</w:t>
      </w:r>
    </w:p>
    <w:p>
      <w:pPr>
        <w:pStyle w:val="ListBullet"/>
      </w:pPr>
      <w:r>
        <w:t>IO / Cardano L2 Scalability proposal for 2026 L2 roadmap, Hydra/Midgard complementarity, and ecosystem framing.</w:t>
      </w:r>
    </w:p>
    <w:p>
      <w:pPr>
        <w:pStyle w:val="ListBullet"/>
      </w:pPr>
      <w:r>
        <w:t>Cardano brand assets for ecosystem color constraints.</w:t>
      </w:r>
    </w:p>
    <w:p>
      <w:pPr>
        <w:pStyle w:val="ListBullet"/>
      </w:pPr>
      <w:r>
        <w:t>a16z State of Crypto and Electric Capital Developer Report for inspiration on data-rich report/deck structure, not for Midgard-specific claims.</w:t>
      </w:r>
    </w:p>
    <w:p>
      <w:r>
        <w:t>Rules:</w:t>
      </w:r>
    </w:p>
    <w:p>
      <w:pPr>
        <w:pStyle w:val="ListBullet"/>
      </w:pPr>
      <w:r>
        <w:t>Website copy can set public positioning, but technical and performance claims should still be cross-checked against the spec, repo, or benchmark source before investor or governance use.</w:t>
      </w:r>
    </w:p>
    <w:p>
      <w:pPr>
        <w:pStyle w:val="ListBullet"/>
      </w:pPr>
      <w:r>
        <w:t>Never cite a design-inspiration source as evidence for Midgard.</w:t>
      </w:r>
    </w:p>
    <w:p>
      <w:pPr>
        <w:pStyle w:val="ListBullet"/>
      </w:pPr>
      <w:r>
        <w:t>Use current public source dates in external reports.</w:t>
      </w:r>
    </w:p>
    <w:p>
      <w:pPr>
        <w:pStyle w:val="ListBullet"/>
      </w:pPr>
      <w:r>
        <w:t>Label internal interview or transcript material as internal unless it has a public source.</w:t>
      </w:r>
    </w:p>
    <w:p>
      <w:pPr>
        <w:pStyle w:val="ListBullet"/>
      </w:pPr>
      <w:r>
        <w:t>If a claim is time-sensitive, include "refresh before publication" in the working draft.</w:t>
      </w:r>
    </w:p>
    <w:p>
      <w:pPr>
        <w:pStyle w:val="Heading2"/>
      </w:pPr>
      <w:r>
        <w:t>Do and Don't</w:t>
      </w:r>
    </w:p>
    <w:p>
      <w:r>
        <w:t>Do:</w:t>
      </w:r>
    </w:p>
    <w:p>
      <w:pPr>
        <w:pStyle w:val="ListBullet"/>
      </w:pPr>
      <w:r>
        <w:t>Lead with a sharp thesis.</w:t>
      </w:r>
    </w:p>
    <w:p>
      <w:pPr>
        <w:pStyle w:val="ListBullet"/>
      </w:pPr>
      <w:r>
        <w:t>Use diagrams to explain protocol motion.</w:t>
      </w:r>
    </w:p>
    <w:p>
      <w:pPr>
        <w:pStyle w:val="ListBullet"/>
      </w:pPr>
      <w:r>
        <w:t>Use small, elegant source labels.</w:t>
      </w:r>
    </w:p>
    <w:p>
      <w:pPr>
        <w:pStyle w:val="ListBullet"/>
      </w:pPr>
      <w:r>
        <w:t>Preserve technical terms where precision matters.</w:t>
      </w:r>
    </w:p>
    <w:p>
      <w:pPr>
        <w:pStyle w:val="ListBullet"/>
      </w:pPr>
      <w:r>
        <w:t>Make every table readable and purposeful.</w:t>
      </w:r>
    </w:p>
    <w:p>
      <w:pPr>
        <w:pStyle w:val="ListBullet"/>
      </w:pPr>
      <w:r>
        <w:t>Use the Midgard mark with real whitespace.</w:t>
      </w:r>
    </w:p>
    <w:p>
      <w:r>
        <w:t>Don't:</w:t>
      </w:r>
    </w:p>
    <w:p>
      <w:pPr>
        <w:pStyle w:val="ListBullet"/>
      </w:pPr>
      <w:r>
        <w:t>Make the logo tiny and compensate with generic green decoration.</w:t>
      </w:r>
    </w:p>
    <w:p>
      <w:pPr>
        <w:pStyle w:val="ListBullet"/>
      </w:pPr>
      <w:r>
        <w:t>Use crypto stock art, random gradients, or abstract orbs.</w:t>
      </w:r>
    </w:p>
    <w:p>
      <w:pPr>
        <w:pStyle w:val="ListBullet"/>
      </w:pPr>
      <w:r>
        <w:t>Put every idea in a card.</w:t>
      </w:r>
    </w:p>
    <w:p>
      <w:pPr>
        <w:pStyle w:val="ListBullet"/>
      </w:pPr>
      <w:r>
        <w:t>Overload the first page with headings.</w:t>
      </w:r>
    </w:p>
    <w:p>
      <w:pPr>
        <w:pStyle w:val="ListBullet"/>
      </w:pPr>
      <w:r>
        <w:t>Claim launched, production, benchmarked, or live status unless the source says that.</w:t>
      </w:r>
    </w:p>
    <w:p>
      <w:pPr>
        <w:pStyle w:val="Heading2"/>
      </w:pPr>
      <w:r>
        <w:t>QA Checklist</w:t>
      </w:r>
    </w:p>
    <w:p>
      <w:r>
        <w:t>Before handing off a Midgard artifact:</w:t>
      </w:r>
    </w:p>
    <w:p>
      <w:pPr>
        <w:pStyle w:val="ListBullet"/>
      </w:pPr>
      <w:r>
        <w:t>All technical claims are sourced or marked internal.</w:t>
      </w:r>
    </w:p>
    <w:p>
      <w:pPr>
        <w:pStyle w:val="ListBullet"/>
      </w:pPr>
      <w:r>
        <w:t>Time-sensitive status claims have a visible date or refresh note.</w:t>
      </w:r>
    </w:p>
    <w:p>
      <w:pPr>
        <w:pStyle w:val="ListBullet"/>
      </w:pPr>
      <w:r>
        <w:t>No em dashes.</w:t>
      </w:r>
    </w:p>
    <w:p>
      <w:pPr>
        <w:pStyle w:val="ListBullet"/>
      </w:pPr>
      <w:r>
        <w:t>Headings are sparse and useful.</w:t>
      </w:r>
    </w:p>
    <w:p>
      <w:pPr>
        <w:pStyle w:val="ListBullet"/>
      </w:pPr>
      <w:r>
        <w:t>Tables have real comparison value and enough padding.</w:t>
      </w:r>
    </w:p>
    <w:p>
      <w:pPr>
        <w:pStyle w:val="ListBullet"/>
      </w:pPr>
      <w:r>
        <w:t>Deck slides pass the thumbnail test.</w:t>
      </w:r>
    </w:p>
    <w:p>
      <w:pPr>
        <w:pStyle w:val="ListBullet"/>
      </w:pPr>
      <w:r>
        <w:t>Logos are official local or public assets, not recreated.</w:t>
      </w:r>
    </w:p>
    <w:p>
      <w:pPr>
        <w:pStyle w:val="ListBullet"/>
      </w:pPr>
      <w:r>
        <w:t>Fonts, colors, and footers match this system.</w:t>
      </w:r>
    </w:p>
    <w:p>
      <w:pPr>
        <w:pStyle w:val="ListBullet"/>
      </w:pPr>
      <w:r>
        <w:t>Rendered DOCX and PPTX previews have no clipping, overlaps, or cramped text.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