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Midgard Dark Ancient Tech Brand Direction</w:t>
      </w:r>
    </w:p>
    <w:p>
      <w:r>
        <w:rPr>
          <w:i/>
        </w:rPr>
        <w:t>Source: 01-brand-voice-tone/Midgard_Dark_Ancient_Tech_Brand_Direction.md</w:t>
        <w:br/>
      </w:r>
      <w:r>
        <w:rPr>
          <w:i/>
        </w:rPr>
        <w:t>Generated: 2026-05-28</w:t>
      </w:r>
    </w:p>
    <w:p>
      <w:pPr>
        <w:pStyle w:val="Heading1"/>
      </w:pPr>
      <w:r>
        <w:t>Midgard Dark Ancient Tech Brand Direction</w:t>
      </w:r>
    </w:p>
    <w:p>
      <w:r>
        <w:t>Prepared: 2026-05-27</w:t>
      </w:r>
    </w:p>
    <w:p>
      <w:r>
        <w:t>Status: Directional brand guidance. Not approved public copy.</w:t>
      </w:r>
    </w:p>
    <w:p>
      <w:pPr>
        <w:pStyle w:val="Heading2"/>
      </w:pPr>
      <w:r>
        <w:t>Purpose</w:t>
      </w:r>
    </w:p>
    <w:p>
      <w:r>
        <w:t>This document defines the darker Midgard brand direction for launch planning: a Category Rebel / Confident Challenger voice paired with a Dark Ancient Tech / Mythic Tree World visual system. Trust Architecture is the mechanism layer inside that world: the way the brand explains activity, batching, proof, challenge, settlement, and Cardano L1 anchoring. It is meant to guide brand guidelines, launch deck production, website art direction, social graphics, partner materials, and AI-assisted creative production.</w:t>
      </w:r>
    </w:p>
    <w:p>
      <w:r>
        <w:t>This is the active launch brand direction. The older May 19 brand/template system was moved to the Mac Trash on 2026-05-28. This document does not replace the existing claims controls, public launch copy, token policy, partner policy, or comparative-claims policy.</w:t>
      </w:r>
    </w:p>
    <w:p>
      <w:pPr>
        <w:pStyle w:val="Heading2"/>
      </w:pPr>
      <w:r>
        <w:t>Source Controls</w:t>
      </w:r>
    </w:p>
    <w:p>
      <w:r>
        <w:t>Use this direction for brand, style, tone, visual system, and artifact structure. Do not use it as factual approval for public claims.</w:t>
      </w:r>
    </w:p>
    <w:p>
      <w:r>
        <w:t>Public-facing security, partner, token, incentive, roadmap, ETH L2 comparison, and launch-status language must inherit from:</w:t>
      </w:r>
    </w:p>
    <w:p>
      <w:pPr>
        <w:pStyle w:val="ListBullet"/>
      </w:pPr>
      <w:r>
        <w:t>../layer2-knowledgebase/02-midgard-internal/midgard-public-claims-matrix.md</w:t>
      </w:r>
    </w:p>
    <w:p>
      <w:pPr>
        <w:pStyle w:val="ListBullet"/>
      </w:pPr>
      <w:r>
        <w:t>../layer2-knowledgebase/02-midgard-internal/midgard-public-claims-live-refresh-2026-05-27.md</w:t>
      </w:r>
    </w:p>
    <w:p>
      <w:pPr>
        <w:pStyle w:val="ListBullet"/>
      </w:pPr>
      <w:r>
        <w:t>../layer2-knowledgebase/07-legal-and-commercial/midgard-token-and-points-language-policy.md</w:t>
      </w:r>
    </w:p>
    <w:p>
      <w:pPr>
        <w:pStyle w:val="ListBullet"/>
      </w:pPr>
      <w:r>
        <w:t>../layer2-knowledgebase/07-legal-and-commercial/midgard-partner-announcement-policy.md</w:t>
      </w:r>
    </w:p>
    <w:p>
      <w:pPr>
        <w:pStyle w:val="ListBullet"/>
      </w:pPr>
      <w:r>
        <w:t>../layer2-knowledgebase/07-legal-and-commercial/midgard-competitive-comparative-claims-policy.md</w:t>
      </w:r>
    </w:p>
    <w:p>
      <w:pPr>
        <w:pStyle w:val="ListBullet"/>
      </w:pPr>
      <w:r>
        <w:t>../layer2-knowledgebase/08-playbooks/midgard-integration-readiness-tracker.md</w:t>
      </w:r>
    </w:p>
    <w:p>
      <w:pPr>
        <w:pStyle w:val="ListBullet"/>
      </w:pPr>
      <w:r>
        <w:t>../layer2-knowledgebase/08-playbooks/midgard-launch-owner-approval-evidence-tracker.md</w:t>
      </w:r>
    </w:p>
    <w:p>
      <w:pPr>
        <w:pStyle w:val="Heading2"/>
      </w:pPr>
      <w:r>
        <w:t>Direction Summary</w:t>
      </w:r>
    </w:p>
    <w:tbl>
      <w:tblPr>
        <w:tblStyle w:val="TableGrid"/>
        <w:tblW w:type="auto" w:w="0"/>
        <w:tblLook w:firstColumn="1" w:firstRow="1" w:lastColumn="0" w:lastRow="0" w:noHBand="0" w:noVBand="1" w:val="04A0"/>
      </w:tblPr>
      <w:tblGrid>
        <w:gridCol w:w="4968"/>
        <w:gridCol w:w="4968"/>
      </w:tblGrid>
      <w:tr>
        <w:tc>
          <w:tcPr>
            <w:tcW w:type="dxa" w:w="4968"/>
          </w:tcPr>
          <w:p>
            <w:r>
              <w:rPr>
                <w:b/>
              </w:rPr>
              <w:t>Decision</w:t>
            </w:r>
          </w:p>
        </w:tc>
        <w:tc>
          <w:tcPr>
            <w:tcW w:type="dxa" w:w="4968"/>
          </w:tcPr>
          <w:p>
            <w:r>
              <w:rPr>
                <w:b/>
              </w:rPr>
              <w:t>Direction</w:t>
            </w:r>
          </w:p>
        </w:tc>
      </w:tr>
      <w:tr>
        <w:tc>
          <w:tcPr>
            <w:tcW w:type="dxa" w:w="4968"/>
          </w:tcPr>
          <w:p>
            <w:r>
              <w:t>Core voice</w:t>
            </w:r>
          </w:p>
        </w:tc>
        <w:tc>
          <w:tcPr>
            <w:tcW w:type="dxa" w:w="4968"/>
          </w:tcPr>
          <w:p>
            <w:r>
              <w:t>Category Rebel</w:t>
            </w:r>
          </w:p>
        </w:tc>
      </w:tr>
      <w:tr>
        <w:tc>
          <w:tcPr>
            <w:tcW w:type="dxa" w:w="4968"/>
          </w:tcPr>
          <w:p>
            <w:r>
              <w:t>Sharpness</w:t>
            </w:r>
          </w:p>
        </w:tc>
        <w:tc>
          <w:tcPr>
            <w:tcW w:type="dxa" w:w="4968"/>
          </w:tcPr>
          <w:p>
            <w:r>
              <w:t>Confident Challenger</w:t>
            </w:r>
          </w:p>
        </w:tc>
      </w:tr>
      <w:tr>
        <w:tc>
          <w:tcPr>
            <w:tcW w:type="dxa" w:w="4968"/>
          </w:tcPr>
          <w:p>
            <w:r>
              <w:t>Tone mix</w:t>
            </w:r>
          </w:p>
        </w:tc>
        <w:tc>
          <w:tcPr>
            <w:tcW w:type="dxa" w:w="4968"/>
          </w:tcPr>
          <w:p>
            <w:r>
              <w:t>70 direct / 30 defiant</w:t>
            </w:r>
          </w:p>
        </w:tc>
      </w:tr>
      <w:tr>
        <w:tc>
          <w:tcPr>
            <w:tcW w:type="dxa" w:w="4968"/>
          </w:tcPr>
          <w:p>
            <w:r>
              <w:t>Primary audience</w:t>
            </w:r>
          </w:p>
        </w:tc>
        <w:tc>
          <w:tcPr>
            <w:tcW w:type="dxa" w:w="4968"/>
          </w:tcPr>
          <w:p>
            <w:r>
              <w:t>Builders and partners</w:t>
            </w:r>
          </w:p>
        </w:tc>
      </w:tr>
      <w:tr>
        <w:tc>
          <w:tcPr>
            <w:tcW w:type="dxa" w:w="4968"/>
          </w:tcPr>
          <w:p>
            <w:r>
              <w:t>Audience paths</w:t>
            </w:r>
          </w:p>
        </w:tc>
        <w:tc>
          <w:tcPr>
            <w:tcW w:type="dxa" w:w="4968"/>
          </w:tcPr>
          <w:p>
            <w:r>
              <w:t>Users, Builders, Partners</w:t>
            </w:r>
          </w:p>
        </w:tc>
      </w:tr>
      <w:tr>
        <w:tc>
          <w:tcPr>
            <w:tcW w:type="dxa" w:w="4968"/>
          </w:tcPr>
          <w:p>
            <w:r>
              <w:t>Brand feeling</w:t>
            </w:r>
          </w:p>
        </w:tc>
        <w:tc>
          <w:tcPr>
            <w:tcW w:type="dxa" w:w="4968"/>
          </w:tcPr>
          <w:p>
            <w:r>
              <w:t>This is inevitable, because the mechanism earns it</w:t>
            </w:r>
          </w:p>
        </w:tc>
      </w:tr>
      <w:tr>
        <w:tc>
          <w:tcPr>
            <w:tcW w:type="dxa" w:w="4968"/>
          </w:tcPr>
          <w:p>
            <w:r>
              <w:t>Tagline territory</w:t>
            </w:r>
          </w:p>
        </w:tc>
        <w:tc>
          <w:tcPr>
            <w:tcW w:type="dxa" w:w="4968"/>
          </w:tcPr>
          <w:p>
            <w:r>
              <w:t>Trust The Path</w:t>
            </w:r>
          </w:p>
        </w:tc>
      </w:tr>
      <w:tr>
        <w:tc>
          <w:tcPr>
            <w:tcW w:type="dxa" w:w="4968"/>
          </w:tcPr>
          <w:p>
            <w:r>
              <w:t>CTA style</w:t>
            </w:r>
          </w:p>
        </w:tc>
        <w:tc>
          <w:tcPr>
            <w:tcW w:type="dxa" w:w="4968"/>
          </w:tcPr>
          <w:p>
            <w:r>
              <w:t>Verify Then Build</w:t>
            </w:r>
          </w:p>
        </w:tc>
      </w:tr>
      <w:tr>
        <w:tc>
          <w:tcPr>
            <w:tcW w:type="dxa" w:w="4968"/>
          </w:tcPr>
          <w:p>
            <w:r>
              <w:t>Public campaign frame</w:t>
            </w:r>
          </w:p>
        </w:tc>
        <w:tc>
          <w:tcPr>
            <w:tcW w:type="dxa" w:w="4968"/>
          </w:tcPr>
          <w:p>
            <w:r>
              <w:t>Secure Migration</w:t>
            </w:r>
          </w:p>
        </w:tc>
      </w:tr>
      <w:tr>
        <w:tc>
          <w:tcPr>
            <w:tcW w:type="dxa" w:w="4968"/>
          </w:tcPr>
          <w:p>
            <w:r>
              <w:t>Story posture</w:t>
            </w:r>
          </w:p>
        </w:tc>
        <w:tc>
          <w:tcPr>
            <w:tcW w:type="dxa" w:w="4968"/>
          </w:tcPr>
          <w:p>
            <w:r>
              <w:t>Trust Architecture</w:t>
            </w:r>
          </w:p>
        </w:tc>
      </w:tr>
      <w:tr>
        <w:tc>
          <w:tcPr>
            <w:tcW w:type="dxa" w:w="4968"/>
          </w:tcPr>
          <w:p>
            <w:r>
              <w:t>Launch deck arc</w:t>
            </w:r>
          </w:p>
        </w:tc>
        <w:tc>
          <w:tcPr>
            <w:tcW w:type="dxa" w:w="4968"/>
          </w:tcPr>
          <w:p>
            <w:r>
              <w:t>Trust-first story arc. This is a theme, not the deck name.</w:t>
            </w:r>
          </w:p>
        </w:tc>
      </w:tr>
      <w:tr>
        <w:tc>
          <w:tcPr>
            <w:tcW w:type="dxa" w:w="4968"/>
          </w:tcPr>
          <w:p>
            <w:r>
              <w:t>Proof to emotion mix</w:t>
            </w:r>
          </w:p>
        </w:tc>
        <w:tc>
          <w:tcPr>
            <w:tcW w:type="dxa" w:w="4968"/>
          </w:tcPr>
          <w:p>
            <w:r>
              <w:t>70 proof / 30 myth</w:t>
            </w:r>
          </w:p>
        </w:tc>
      </w:tr>
      <w:tr>
        <w:tc>
          <w:tcPr>
            <w:tcW w:type="dxa" w:w="4968"/>
          </w:tcPr>
          <w:p>
            <w:r>
              <w:t>Visual world</w:t>
            </w:r>
          </w:p>
        </w:tc>
        <w:tc>
          <w:tcPr>
            <w:tcW w:type="dxa" w:w="4968"/>
          </w:tcPr>
          <w:p>
            <w:r>
              <w:t>Dark Ancient Tech / Mythic Tree World</w:t>
            </w:r>
          </w:p>
        </w:tc>
      </w:tr>
      <w:tr>
        <w:tc>
          <w:tcPr>
            <w:tcW w:type="dxa" w:w="4968"/>
          </w:tcPr>
          <w:p>
            <w:r>
              <w:t>Visual palette</w:t>
            </w:r>
          </w:p>
        </w:tc>
        <w:tc>
          <w:tcPr>
            <w:tcW w:type="dxa" w:w="4968"/>
          </w:tcPr>
          <w:p>
            <w:r>
              <w:t>Mostly dark, Midgard green, muted gold, stone, deep ink</w:t>
            </w:r>
          </w:p>
        </w:tc>
      </w:tr>
      <w:tr>
        <w:tc>
          <w:tcPr>
            <w:tcW w:type="dxa" w:w="4968"/>
          </w:tcPr>
          <w:p>
            <w:r>
              <w:t>First production package</w:t>
            </w:r>
          </w:p>
        </w:tc>
        <w:tc>
          <w:tcPr>
            <w:tcW w:type="dxa" w:w="4968"/>
          </w:tcPr>
          <w:p>
            <w:r>
              <w:t>Brand guidelines plus 12 to 15 slide launch deck spec</w:t>
            </w:r>
          </w:p>
        </w:tc>
      </w:tr>
    </w:tbl>
    <w:p>
      <w:pPr>
        <w:pStyle w:val="Heading2"/>
      </w:pPr>
      <w:r>
        <w:t>Brand Personality</w:t>
      </w:r>
    </w:p>
    <w:p>
      <w:r>
        <w:t>Midgard should sound like a technical challenger with a clear thesis. It should name the category problem, explain the mechanism, and invite the reader to verify the path before building on it.</w:t>
      </w:r>
    </w:p>
    <w:p>
      <w:r>
        <w:t>The brand is not loud for the sake of being loud. Its edge comes from clarity. It should feel inevitable because the architecture is legible, not because the copy insists on it.</w:t>
      </w:r>
    </w:p>
    <w:p>
      <w:pPr>
        <w:pStyle w:val="Heading2"/>
      </w:pPr>
      <w:r>
        <w:t>We Are / We Are Not</w:t>
      </w:r>
    </w:p>
    <w:tbl>
      <w:tblPr>
        <w:tblStyle w:val="TableGrid"/>
        <w:tblW w:type="auto" w:w="0"/>
        <w:tblLook w:firstColumn="1" w:firstRow="1" w:lastColumn="0" w:lastRow="0" w:noHBand="0" w:noVBand="1" w:val="04A0"/>
      </w:tblPr>
      <w:tblGrid>
        <w:gridCol w:w="4968"/>
        <w:gridCol w:w="4968"/>
      </w:tblGrid>
      <w:tr>
        <w:tc>
          <w:tcPr>
            <w:tcW w:type="dxa" w:w="4968"/>
          </w:tcPr>
          <w:p>
            <w:r>
              <w:rPr>
                <w:b/>
              </w:rPr>
              <w:t>We are</w:t>
            </w:r>
          </w:p>
        </w:tc>
        <w:tc>
          <w:tcPr>
            <w:tcW w:type="dxa" w:w="4968"/>
          </w:tcPr>
          <w:p>
            <w:r>
              <w:rPr>
                <w:b/>
              </w:rPr>
              <w:t>We are not</w:t>
            </w:r>
          </w:p>
        </w:tc>
      </w:tr>
      <w:tr>
        <w:tc>
          <w:tcPr>
            <w:tcW w:type="dxa" w:w="4968"/>
          </w:tcPr>
          <w:p>
            <w:r>
              <w:t>A confident challenger</w:t>
            </w:r>
          </w:p>
        </w:tc>
        <w:tc>
          <w:tcPr>
            <w:tcW w:type="dxa" w:w="4968"/>
          </w:tcPr>
          <w:p>
            <w:r>
              <w:t>A cheap-shot artist</w:t>
            </w:r>
          </w:p>
        </w:tc>
      </w:tr>
      <w:tr>
        <w:tc>
          <w:tcPr>
            <w:tcW w:type="dxa" w:w="4968"/>
          </w:tcPr>
          <w:p>
            <w:r>
              <w:t>Plain-spoken and technical</w:t>
            </w:r>
          </w:p>
        </w:tc>
        <w:tc>
          <w:tcPr>
            <w:tcW w:type="dxa" w:w="4968"/>
          </w:tcPr>
          <w:p>
            <w:r>
              <w:t>Poetic, vague, or theatrical in copy</w:t>
            </w:r>
          </w:p>
        </w:tc>
      </w:tr>
      <w:tr>
        <w:tc>
          <w:tcPr>
            <w:tcW w:type="dxa" w:w="4968"/>
          </w:tcPr>
          <w:p>
            <w:r>
              <w:t>Architecture-first</w:t>
            </w:r>
          </w:p>
        </w:tc>
        <w:tc>
          <w:tcPr>
            <w:tcW w:type="dxa" w:w="4968"/>
          </w:tcPr>
          <w:p>
            <w:r>
              <w:t>Hype-first</w:t>
            </w:r>
          </w:p>
        </w:tc>
      </w:tr>
      <w:tr>
        <w:tc>
          <w:tcPr>
            <w:tcW w:type="dxa" w:w="4968"/>
          </w:tcPr>
          <w:p>
            <w:r>
              <w:t>Mythic in visuals</w:t>
            </w:r>
          </w:p>
        </w:tc>
        <w:tc>
          <w:tcPr>
            <w:tcW w:type="dxa" w:w="4968"/>
          </w:tcPr>
          <w:p>
            <w:r>
              <w:t>Fantasy-game in tone or interface</w:t>
            </w:r>
          </w:p>
        </w:tc>
      </w:tr>
      <w:tr>
        <w:tc>
          <w:tcPr>
            <w:tcW w:type="dxa" w:w="4968"/>
          </w:tcPr>
          <w:p>
            <w:r>
              <w:t>Bold but qualified</w:t>
            </w:r>
          </w:p>
        </w:tc>
        <w:tc>
          <w:tcPr>
            <w:tcW w:type="dxa" w:w="4968"/>
          </w:tcPr>
          <w:p>
            <w:r>
              <w:t>Overclaiming security, partners, speed, or inevitability</w:t>
            </w:r>
          </w:p>
        </w:tc>
      </w:tr>
      <w:tr>
        <w:tc>
          <w:tcPr>
            <w:tcW w:type="dxa" w:w="4968"/>
          </w:tcPr>
          <w:p>
            <w:r>
              <w:t>Builder-aware</w:t>
            </w:r>
          </w:p>
        </w:tc>
        <w:tc>
          <w:tcPr>
            <w:tcW w:type="dxa" w:w="4968"/>
          </w:tcPr>
          <w:p>
            <w:r>
              <w:t>Flattening users, builders, partners, and governance into one reader</w:t>
            </w:r>
          </w:p>
        </w:tc>
      </w:tr>
      <w:tr>
        <w:tc>
          <w:tcPr>
            <w:tcW w:type="dxa" w:w="4968"/>
          </w:tcPr>
          <w:p>
            <w:r>
              <w:t>Premium and alive</w:t>
            </w:r>
          </w:p>
        </w:tc>
        <w:tc>
          <w:tcPr>
            <w:tcW w:type="dxa" w:w="4968"/>
          </w:tcPr>
          <w:p>
            <w:r>
              <w:t>Generic crypto, gradient-heavy, or stock-futurist</w:t>
            </w:r>
          </w:p>
        </w:tc>
      </w:tr>
      <w:tr>
        <w:tc>
          <w:tcPr>
            <w:tcW w:type="dxa" w:w="4968"/>
          </w:tcPr>
          <w:p>
            <w:r>
              <w:t>Evidence-led</w:t>
            </w:r>
          </w:p>
        </w:tc>
        <w:tc>
          <w:tcPr>
            <w:tcW w:type="dxa" w:w="4968"/>
          </w:tcPr>
          <w:p>
            <w:r>
              <w:t>Treating planned items as delivered</w:t>
            </w:r>
          </w:p>
        </w:tc>
      </w:tr>
    </w:tbl>
    <w:p>
      <w:pPr>
        <w:pStyle w:val="Heading2"/>
      </w:pPr>
      <w:r>
        <w:t>Voice Principles</w:t>
      </w:r>
    </w:p>
    <w:p>
      <w:pPr>
        <w:pStyle w:val="ListNumber"/>
      </w:pPr>
      <w:r>
        <w:t>Lead with a sharp thesis.</w:t>
      </w:r>
    </w:p>
    <w:p>
      <w:r>
        <w:t>The first sentence or slide should establish the point. Do not warm up with vague market setup when the reader needs the answer.</w:t>
      </w:r>
    </w:p>
    <w:p>
      <w:pPr>
        <w:pStyle w:val="ListNumber"/>
      </w:pPr>
      <w:r>
        <w:t>Explain the mechanism before the metaphor.</w:t>
      </w:r>
    </w:p>
    <w:p>
      <w:r>
        <w:t>Mythic visuals can carry emotion, but the copy should stay useful. If a technical term matters, translate it first, then name it.</w:t>
      </w:r>
    </w:p>
    <w:p>
      <w:pPr>
        <w:pStyle w:val="ListNumber"/>
      </w:pPr>
      <w:r>
        <w:t>Use a 70 direct / 30 defiant mix.</w:t>
      </w:r>
    </w:p>
    <w:p>
      <w:r>
        <w:t>Most Midgard copy should be clean, exact, and calm. The defiant edge appears in category diagnosis, founder voice, major campaign moments, and strategic contrasts.</w:t>
      </w:r>
    </w:p>
    <w:p>
      <w:pPr>
        <w:pStyle w:val="ListNumber"/>
      </w:pPr>
      <w:r>
        <w:t>No cheap shots.</w:t>
      </w:r>
    </w:p>
    <w:p>
      <w:r>
        <w:t>Do not mock other ecosystems, competitors, or user choices. Diagnose structural problems. Do not personalize the critique.</w:t>
      </w:r>
    </w:p>
    <w:p>
      <w:pPr>
        <w:pStyle w:val="ListNumber"/>
      </w:pPr>
      <w:r>
        <w:t>Make proof feel like the brand.</w:t>
      </w:r>
    </w:p>
    <w:p>
      <w:r>
        <w:t>Sources, diagrams, evidence labels, and readiness tracks are not footnotes. They are part of the visual and rhetorical system.</w:t>
      </w:r>
    </w:p>
    <w:p>
      <w:pPr>
        <w:pStyle w:val="ListNumber"/>
      </w:pPr>
      <w:r>
        <w:t>Keep public language qualified until approved.</w:t>
      </w:r>
    </w:p>
    <w:p>
      <w:r>
        <w:t>If a claim depends on benchmark data, final implementation, partner approval, legal review, or production operation, label it as a design intent, readiness item, roadmap item, or approval-dependent claim.</w:t>
      </w:r>
    </w:p>
    <w:p>
      <w:pPr>
        <w:pStyle w:val="Heading2"/>
      </w:pPr>
      <w:r>
        <w:t>Forbidden Tones</w:t>
      </w:r>
    </w:p>
    <w:p>
      <w:pPr>
        <w:pStyle w:val="ListBullet"/>
      </w:pPr>
      <w:r>
        <w:t>Generic crypto hype.</w:t>
      </w:r>
    </w:p>
    <w:p>
      <w:pPr>
        <w:pStyle w:val="ListBullet"/>
      </w:pPr>
      <w:r>
        <w:t>VC pitch-deck inevitability with no mechanism.</w:t>
      </w:r>
    </w:p>
    <w:p>
      <w:pPr>
        <w:pStyle w:val="ListBullet"/>
      </w:pPr>
      <w:r>
        <w:t>Fantasy-game narration.</w:t>
      </w:r>
    </w:p>
    <w:p>
      <w:pPr>
        <w:pStyle w:val="ListBullet"/>
      </w:pPr>
      <w:r>
        <w:t>Founder-on-a-soapbox scolding.</w:t>
      </w:r>
    </w:p>
    <w:p>
      <w:pPr>
        <w:pStyle w:val="ListBullet"/>
      </w:pPr>
      <w:r>
        <w:t>Meme-war aggression.</w:t>
      </w:r>
    </w:p>
    <w:p>
      <w:pPr>
        <w:pStyle w:val="ListBullet"/>
      </w:pPr>
      <w:r>
        <w:t>Overly soft consensus language that hides the thesis.</w:t>
      </w:r>
    </w:p>
    <w:p>
      <w:pPr>
        <w:pStyle w:val="ListBullet"/>
      </w:pPr>
      <w:r>
        <w:t>Legalistic hedging in the primary story.</w:t>
      </w:r>
    </w:p>
    <w:p>
      <w:pPr>
        <w:pStyle w:val="ListBullet"/>
      </w:pPr>
      <w:r>
        <w:t>Security absolutism.</w:t>
      </w:r>
    </w:p>
    <w:p>
      <w:pPr>
        <w:pStyle w:val="ListBullet"/>
      </w:pPr>
      <w:r>
        <w:t>Partner name-dropping without approval.</w:t>
      </w:r>
    </w:p>
    <w:p>
      <w:pPr>
        <w:pStyle w:val="ListBullet"/>
      </w:pPr>
      <w:r>
        <w:t>Token, airdrop, reward, yield, or eligibility language outside the token policy.</w:t>
      </w:r>
    </w:p>
    <w:p>
      <w:pPr>
        <w:pStyle w:val="Heading2"/>
      </w:pPr>
      <w:r>
        <w:t>Headline Rules</w:t>
      </w:r>
    </w:p>
    <w:p>
      <w:r>
        <w:t>Use these as structure rules, not final public copy.</w:t>
      </w:r>
    </w:p>
    <w:p>
      <w:pPr>
        <w:pStyle w:val="ListBullet"/>
      </w:pPr>
      <w:r>
        <w:t>Default headline mode: Name The Thing.</w:t>
      </w:r>
    </w:p>
    <w:p>
      <w:pPr>
        <w:pStyle w:val="ListBullet"/>
      </w:pPr>
      <w:r>
        <w:t>Strategic headline mode: Make A Point.</w:t>
      </w:r>
    </w:p>
    <w:p>
      <w:pPr>
        <w:pStyle w:val="ListBullet"/>
      </w:pPr>
      <w:r>
        <w:t>Use Make A Point only for major moments: campaign page hero, deck opener, founder note, or category diagnosis.</w:t>
      </w:r>
    </w:p>
    <w:p>
      <w:pPr>
        <w:pStyle w:val="ListBullet"/>
      </w:pPr>
      <w:r>
        <w:t>Do not rename basic navigation. Use Users, Builders, Partners, Security, Docs.</w:t>
      </w:r>
    </w:p>
    <w:p>
      <w:pPr>
        <w:pStyle w:val="ListBullet"/>
      </w:pPr>
      <w:r>
        <w:t>Avoid lore names for audience paths, technical pages, or core product labels.</w:t>
      </w:r>
    </w:p>
    <w:p>
      <w:pPr>
        <w:pStyle w:val="ListBullet"/>
      </w:pPr>
      <w:r>
        <w:t>A headline should carry one job: thesis, mechanism, audience path, proof, or action.</w:t>
      </w:r>
    </w:p>
    <w:p>
      <w:pPr>
        <w:pStyle w:val="ListBullet"/>
      </w:pPr>
      <w:r>
        <w:t>Keep headlines short enough to work on mobile and inside decks.</w:t>
      </w:r>
    </w:p>
    <w:p>
      <w:pPr>
        <w:pStyle w:val="ListBullet"/>
      </w:pPr>
      <w:r>
        <w:t>Do not publish headline claims until they are checked against the claims matrix and relevant policies.</w:t>
      </w:r>
    </w:p>
    <w:p>
      <w:pPr>
        <w:pStyle w:val="Heading2"/>
      </w:pPr>
      <w:r>
        <w:t>Audience Path Rules</w:t>
      </w:r>
    </w:p>
    <w:p>
      <w:r>
        <w:t>Midgard needs one coherent voice with persona modes, not three separate brands.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Path</w:t>
            </w:r>
          </w:p>
        </w:tc>
        <w:tc>
          <w:tcPr>
            <w:tcW w:type="dxa" w:w="2484"/>
          </w:tcPr>
          <w:p>
            <w:r>
              <w:rPr>
                <w:b/>
              </w:rPr>
              <w:t>First question to answer</w:t>
            </w:r>
          </w:p>
        </w:tc>
        <w:tc>
          <w:tcPr>
            <w:tcW w:type="dxa" w:w="2484"/>
          </w:tcPr>
          <w:p>
            <w:r>
              <w:rPr>
                <w:b/>
              </w:rPr>
              <w:t>Tone</w:t>
            </w:r>
          </w:p>
        </w:tc>
        <w:tc>
          <w:tcPr>
            <w:tcW w:type="dxa" w:w="2484"/>
          </w:tcPr>
          <w:p>
            <w:r>
              <w:rPr>
                <w:b/>
              </w:rPr>
              <w:t>Progressive layers</w:t>
            </w:r>
          </w:p>
        </w:tc>
      </w:tr>
      <w:tr>
        <w:tc>
          <w:tcPr>
            <w:tcW w:type="dxa" w:w="2484"/>
          </w:tcPr>
          <w:p>
            <w:r>
              <w:t>Users</w:t>
            </w:r>
          </w:p>
        </w:tc>
        <w:tc>
          <w:tcPr>
            <w:tcW w:type="dxa" w:w="2484"/>
          </w:tcPr>
          <w:p>
            <w:r>
              <w:t>Why trust it?</w:t>
            </w:r>
          </w:p>
        </w:tc>
        <w:tc>
          <w:tcPr>
            <w:tcW w:type="dxa" w:w="2484"/>
          </w:tcPr>
          <w:p>
            <w:r>
              <w:t>Plain, safety-aware, calm</w:t>
            </w:r>
          </w:p>
        </w:tc>
        <w:tc>
          <w:tcPr>
            <w:tcW w:type="dxa" w:w="2484"/>
          </w:tcPr>
          <w:p>
            <w:r>
              <w:t>What Midgard is, what users can do, what is supported, what risks remain, where to verify</w:t>
            </w:r>
          </w:p>
        </w:tc>
      </w:tr>
      <w:tr>
        <w:tc>
          <w:tcPr>
            <w:tcW w:type="dxa" w:w="2484"/>
          </w:tcPr>
          <w:p>
            <w:r>
              <w:t>Builders</w:t>
            </w:r>
          </w:p>
        </w:tc>
        <w:tc>
          <w:tcPr>
            <w:tcW w:type="dxa" w:w="2484"/>
          </w:tcPr>
          <w:p>
            <w:r>
              <w:t>Can I verify then build?</w:t>
            </w:r>
          </w:p>
        </w:tc>
        <w:tc>
          <w:tcPr>
            <w:tcW w:type="dxa" w:w="2484"/>
          </w:tcPr>
          <w:p>
            <w:r>
              <w:t>Technical, direct, mechanism-first</w:t>
            </w:r>
          </w:p>
        </w:tc>
        <w:tc>
          <w:tcPr>
            <w:tcW w:type="dxa" w:w="2484"/>
          </w:tcPr>
          <w:p>
            <w:r>
              <w:t>Architecture, constraints, docs, examples, readiness program, office hours</w:t>
            </w:r>
          </w:p>
        </w:tc>
      </w:tr>
      <w:tr>
        <w:tc>
          <w:tcPr>
            <w:tcW w:type="dxa" w:w="2484"/>
          </w:tcPr>
          <w:p>
            <w:r>
              <w:t>Partners</w:t>
            </w:r>
          </w:p>
        </w:tc>
        <w:tc>
          <w:tcPr>
            <w:tcW w:type="dxa" w:w="2484"/>
          </w:tcPr>
          <w:p>
            <w:r>
              <w:t>What role can we play safely?</w:t>
            </w:r>
          </w:p>
        </w:tc>
        <w:tc>
          <w:tcPr>
            <w:tcW w:type="dxa" w:w="2484"/>
          </w:tcPr>
          <w:p>
            <w:r>
              <w:t>Polished, operational, proof-led</w:t>
            </w:r>
          </w:p>
        </w:tc>
        <w:tc>
          <w:tcPr>
            <w:tcW w:type="dxa" w:w="2484"/>
          </w:tcPr>
          <w:p>
            <w:r>
              <w:t>Functional readiness track, approval path, support boundaries, co-marketing after approval</w:t>
            </w:r>
          </w:p>
        </w:tc>
      </w:tr>
    </w:tbl>
    <w:p>
      <w:r>
        <w:t>Audience paths should be progressive. Start with a simple explanation, then let motivated readers inspect deeper layers. Do not force every visitor through a full technical explanation before they can decide what to do next.</w:t>
      </w:r>
    </w:p>
    <w:p>
      <w:pPr>
        <w:pStyle w:val="Heading2"/>
      </w:pPr>
      <w:r>
        <w:t>Security And Trust Language</w:t>
      </w:r>
    </w:p>
    <w:p>
      <w:r>
        <w:t>The public trust posture is Bold But Qualified.</w:t>
      </w:r>
    </w:p>
    <w:p>
      <w:r>
        <w:t>Approved direction:</w:t>
      </w:r>
    </w:p>
    <w:p>
      <w:pPr>
        <w:pStyle w:val="ListBullet"/>
      </w:pPr>
      <w:r>
        <w:t>Frame Midgard as trust architecture, not just speed infrastructure.</w:t>
      </w:r>
    </w:p>
    <w:p>
      <w:pPr>
        <w:pStyle w:val="ListBullet"/>
      </w:pPr>
      <w:r>
        <w:t>Anchor credibility in architecture, settlement, proof paths, challenge mechanics, and operational readiness.</w:t>
      </w:r>
    </w:p>
    <w:p>
      <w:pPr>
        <w:pStyle w:val="ListBullet"/>
      </w:pPr>
      <w:r>
        <w:t>Use Cardano L1 anchoring language carefully and only at the claim level approved by the claims matrix.</w:t>
      </w:r>
    </w:p>
    <w:p>
      <w:pPr>
        <w:pStyle w:val="ListBullet"/>
      </w:pPr>
      <w:r>
        <w:t>Distinguish design intent, testnet behavior, audited/proven behavior, and mainnet behavior.</w:t>
      </w:r>
    </w:p>
    <w:p>
      <w:pPr>
        <w:pStyle w:val="ListBullet"/>
      </w:pPr>
      <w:r>
        <w:t>Use visible confidence labels in launch decks, partner materials, and public explainers when claims are not yet production-proven.</w:t>
      </w:r>
    </w:p>
    <w:p>
      <w:r>
        <w:t>Avoid:</w:t>
      </w:r>
    </w:p>
    <w:p>
      <w:pPr>
        <w:pStyle w:val="ListBullet"/>
      </w:pPr>
      <w:r>
        <w:t>"Inherits all Cardano security" unless explicitly approved.</w:t>
      </w:r>
    </w:p>
    <w:p>
      <w:pPr>
        <w:pStyle w:val="ListBullet"/>
      </w:pPr>
      <w:r>
        <w:t>"Fully secure", "risk-free", "guaranteed", or "production-proven" without evidence.</w:t>
      </w:r>
    </w:p>
    <w:p>
      <w:pPr>
        <w:pStyle w:val="ListBullet"/>
      </w:pPr>
      <w:r>
        <w:t>Naming partners, wallets, exchanges, integrations, or auditors without approval.</w:t>
      </w:r>
    </w:p>
    <w:p>
      <w:pPr>
        <w:pStyle w:val="ListBullet"/>
      </w:pPr>
      <w:r>
        <w:t>Mentioning tokens publicly at this stage, or treating incentives, airdrops, rewards, or eligibility as live promises.</w:t>
      </w:r>
    </w:p>
    <w:p>
      <w:pPr>
        <w:pStyle w:val="ListBullet"/>
      </w:pPr>
      <w:r>
        <w:t>ETH L2 comparison language that names targets or implies unsupported superiority.</w:t>
      </w:r>
    </w:p>
    <w:p>
      <w:pPr>
        <w:pStyle w:val="Heading2"/>
      </w:pPr>
      <w:r>
        <w:t>Campaign Frame</w:t>
      </w:r>
    </w:p>
    <w:p>
      <w:r>
        <w:t>Use Secure Migration as the external campaign frame for migration-related work. This replaces internal vampire-attack language.</w:t>
      </w:r>
    </w:p>
    <w:p>
      <w:r>
        <w:t>Secure Migration should feel like a disciplined path for builders and users to evaluate movement into Midgard. It should not read like an attack campaign, liquidity raid, or promise of rewards.</w:t>
      </w:r>
    </w:p>
    <w:p>
      <w:r>
        <w:t>For now, Secure Migration is a campaign territory and future artifact family, not final copy.</w:t>
      </w:r>
    </w:p>
    <w:p>
      <w:pPr>
        <w:pStyle w:val="Heading2"/>
      </w:pPr>
      <w:r>
        <w:t>CTA System</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Context</w:t>
            </w:r>
          </w:p>
        </w:tc>
        <w:tc>
          <w:tcPr>
            <w:tcW w:type="dxa" w:w="3312"/>
          </w:tcPr>
          <w:p>
            <w:r>
              <w:rPr>
                <w:b/>
              </w:rPr>
              <w:t>CTA territory</w:t>
            </w:r>
          </w:p>
        </w:tc>
        <w:tc>
          <w:tcPr>
            <w:tcW w:type="dxa" w:w="3312"/>
          </w:tcPr>
          <w:p>
            <w:r>
              <w:rPr>
                <w:b/>
              </w:rPr>
              <w:t>Notes</w:t>
            </w:r>
          </w:p>
        </w:tc>
      </w:tr>
      <w:tr>
        <w:tc>
          <w:tcPr>
            <w:tcW w:type="dxa" w:w="3312"/>
          </w:tcPr>
          <w:p>
            <w:r>
              <w:t>Gateway and homepage</w:t>
            </w:r>
          </w:p>
        </w:tc>
        <w:tc>
          <w:tcPr>
            <w:tcW w:type="dxa" w:w="3312"/>
          </w:tcPr>
          <w:p>
            <w:r>
              <w:t>Verify Then Build</w:t>
            </w:r>
          </w:p>
        </w:tc>
        <w:tc>
          <w:tcPr>
            <w:tcW w:type="dxa" w:w="3312"/>
          </w:tcPr>
          <w:p>
            <w:r>
              <w:t>Primary CTA style. Pair with clear audience paths.</w:t>
            </w:r>
          </w:p>
        </w:tc>
      </w:tr>
      <w:tr>
        <w:tc>
          <w:tcPr>
            <w:tcW w:type="dxa" w:w="3312"/>
          </w:tcPr>
          <w:p>
            <w:r>
              <w:t>Builders</w:t>
            </w:r>
          </w:p>
        </w:tc>
        <w:tc>
          <w:tcPr>
            <w:tcW w:type="dxa" w:w="3312"/>
          </w:tcPr>
          <w:p>
            <w:r>
              <w:t>Midgard Builder Readiness</w:t>
            </w:r>
          </w:p>
        </w:tc>
        <w:tc>
          <w:tcPr>
            <w:tcW w:type="dxa" w:w="3312"/>
          </w:tcPr>
          <w:p>
            <w:r>
              <w:t>Program territory for cohorts, office hours, examples, and technical working sessions.</w:t>
            </w:r>
          </w:p>
        </w:tc>
      </w:tr>
      <w:tr>
        <w:tc>
          <w:tcPr>
            <w:tcW w:type="dxa" w:w="3312"/>
          </w:tcPr>
          <w:p>
            <w:r>
              <w:t>Partners</w:t>
            </w:r>
          </w:p>
        </w:tc>
        <w:tc>
          <w:tcPr>
            <w:tcW w:type="dxa" w:w="3312"/>
          </w:tcPr>
          <w:p>
            <w:r>
              <w:t>Join a readiness track</w:t>
            </w:r>
          </w:p>
        </w:tc>
        <w:tc>
          <w:tcPr>
            <w:tcW w:type="dxa" w:w="3312"/>
          </w:tcPr>
          <w:p>
            <w:r>
              <w:t>Functional readiness before public co-marketing.</w:t>
            </w:r>
          </w:p>
        </w:tc>
      </w:tr>
      <w:tr>
        <w:tc>
          <w:tcPr>
            <w:tcW w:type="dxa" w:w="3312"/>
          </w:tcPr>
          <w:p>
            <w:r>
              <w:t>Users</w:t>
            </w:r>
          </w:p>
        </w:tc>
        <w:tc>
          <w:tcPr>
            <w:tcW w:type="dxa" w:w="3312"/>
          </w:tcPr>
          <w:p>
            <w:r>
              <w:t>Learn why to trust it</w:t>
            </w:r>
          </w:p>
        </w:tc>
        <w:tc>
          <w:tcPr>
            <w:tcW w:type="dxa" w:w="3312"/>
          </w:tcPr>
          <w:p>
            <w:r>
              <w:t>Normal-language education before action.</w:t>
            </w:r>
          </w:p>
        </w:tc>
      </w:tr>
      <w:tr>
        <w:tc>
          <w:tcPr>
            <w:tcW w:type="dxa" w:w="3312"/>
          </w:tcPr>
          <w:p>
            <w:r>
              <w:t>Migration campaign</w:t>
            </w:r>
          </w:p>
        </w:tc>
        <w:tc>
          <w:tcPr>
            <w:tcW w:type="dxa" w:w="3312"/>
          </w:tcPr>
          <w:p>
            <w:r>
              <w:t>Secure Migration</w:t>
            </w:r>
          </w:p>
        </w:tc>
        <w:tc>
          <w:tcPr>
            <w:tcW w:type="dxa" w:w="3312"/>
          </w:tcPr>
          <w:p>
            <w:r>
              <w:t>Separate future campaign artifact. Keep approval-dependent.</w:t>
            </w:r>
          </w:p>
        </w:tc>
      </w:tr>
    </w:tbl>
    <w:p>
      <w:pPr>
        <w:pStyle w:val="Heading2"/>
      </w:pPr>
      <w:r>
        <w:t>Visual System</w:t>
      </w:r>
    </w:p>
    <w:p>
      <w:r>
        <w:t>The darker system should feel ancient, technical, premium, and alive. The active visual world is Mythic Tree World with Dark Ancient Tech styling. Trust Architecture is the mechanism shown inside that world: stone-and-gold proof architecture where activity moves through rails, layers, apertures, branching circuitry, and settlement bedrock. Do not use a crude stick-frame tree or literal forest scene as the active gateway model.</w:t>
      </w:r>
    </w:p>
    <w:p>
      <w:r>
        <w:t>Visual language:</w:t>
      </w:r>
    </w:p>
    <w:p>
      <w:pPr>
        <w:pStyle w:val="ListBullet"/>
      </w:pPr>
      <w:r>
        <w:t>Mostly dark canvas.</w:t>
      </w:r>
    </w:p>
    <w:p>
      <w:pPr>
        <w:pStyle w:val="ListBullet"/>
      </w:pPr>
      <w:r>
        <w:t>Midgard green as the living trust signal.</w:t>
      </w:r>
    </w:p>
    <w:p>
      <w:pPr>
        <w:pStyle w:val="ListBullet"/>
      </w:pPr>
      <w:r>
        <w:t>Muted gold as warmth, proof, and activation.</w:t>
      </w:r>
    </w:p>
    <w:p>
      <w:pPr>
        <w:pStyle w:val="ListBullet"/>
      </w:pPr>
      <w:r>
        <w:t>Stone and deep ink as permanence and seriousness.</w:t>
      </w:r>
    </w:p>
    <w:p>
      <w:pPr>
        <w:pStyle w:val="ListBullet"/>
      </w:pPr>
      <w:r>
        <w:t>Fine schematic detail, not generic runes.</w:t>
      </w:r>
    </w:p>
    <w:p>
      <w:pPr>
        <w:pStyle w:val="ListBullet"/>
      </w:pPr>
      <w:r>
        <w:t>Living transaction paths, not decorative particles.</w:t>
      </w:r>
    </w:p>
    <w:p>
      <w:pPr>
        <w:pStyle w:val="ListBullet"/>
      </w:pPr>
      <w:r>
        <w:t>Cardano L1 as bedrock, rail, or settlement layer when the claim is approved.</w:t>
      </w:r>
    </w:p>
    <w:p>
      <w:r>
        <w:t>Avoid:</w:t>
      </w:r>
    </w:p>
    <w:p>
      <w:pPr>
        <w:pStyle w:val="ListBullet"/>
      </w:pPr>
      <w:r>
        <w:t>Generic crypto coins, chains, nodes, or glowing cubes.</w:t>
      </w:r>
    </w:p>
    <w:p>
      <w:pPr>
        <w:pStyle w:val="ListBullet"/>
      </w:pPr>
      <w:r>
        <w:t>Purple-blue gradient futurism.</w:t>
      </w:r>
    </w:p>
    <w:p>
      <w:pPr>
        <w:pStyle w:val="ListBullet"/>
      </w:pPr>
      <w:r>
        <w:t>Fantasy-game forests, castles, characters, monsters, weapons, or quests.</w:t>
      </w:r>
    </w:p>
    <w:p>
      <w:pPr>
        <w:pStyle w:val="ListBullet"/>
      </w:pPr>
      <w:r>
        <w:t>Obvious AI artifacts: melted geometry, fake text, inconsistent symbols, impossible interfaces, random pseudo-runes.</w:t>
      </w:r>
    </w:p>
    <w:p>
      <w:pPr>
        <w:pStyle w:val="ListBullet"/>
      </w:pPr>
      <w:r>
        <w:t>Decorative bokeh, orbs, and stock-tech backgrounds.</w:t>
      </w:r>
    </w:p>
    <w:p>
      <w:pPr>
        <w:pStyle w:val="Heading2"/>
      </w:pPr>
      <w:r>
        <w:t>Visual Hierarchy By Surface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Surface</w:t>
            </w:r>
          </w:p>
        </w:tc>
        <w:tc>
          <w:tcPr>
            <w:tcW w:type="dxa" w:w="2484"/>
          </w:tcPr>
          <w:p>
            <w:r>
              <w:rPr>
                <w:b/>
              </w:rPr>
              <w:t>Visual role</w:t>
            </w:r>
          </w:p>
        </w:tc>
        <w:tc>
          <w:tcPr>
            <w:tcW w:type="dxa" w:w="2484"/>
          </w:tcPr>
          <w:p>
            <w:r>
              <w:rPr>
                <w:b/>
              </w:rPr>
              <w:t>Copy role</w:t>
            </w:r>
          </w:p>
        </w:tc>
        <w:tc>
          <w:tcPr>
            <w:tcW w:type="dxa" w:w="2484"/>
          </w:tcPr>
          <w:p>
            <w:r>
              <w:rPr>
                <w:b/>
              </w:rPr>
              <w:t>Motion role</w:t>
            </w:r>
          </w:p>
        </w:tc>
      </w:tr>
      <w:tr>
        <w:tc>
          <w:tcPr>
            <w:tcW w:type="dxa" w:w="2484"/>
          </w:tcPr>
          <w:p>
            <w:r>
              <w:t>Cinematic gateway</w:t>
            </w:r>
          </w:p>
        </w:tc>
        <w:tc>
          <w:tcPr>
            <w:tcW w:type="dxa" w:w="2484"/>
          </w:tcPr>
          <w:p>
            <w:r>
              <w:t>Mythic world-tree trust path / proof gate</w:t>
            </w:r>
          </w:p>
        </w:tc>
        <w:tc>
          <w:tcPr>
            <w:tcW w:type="dxa" w:w="2484"/>
          </w:tcPr>
          <w:p>
            <w:r>
              <w:t>Minimal copy</w:t>
            </w:r>
          </w:p>
        </w:tc>
        <w:tc>
          <w:tcPr>
            <w:tcW w:type="dxa" w:w="2484"/>
          </w:tcPr>
          <w:p>
            <w:r>
              <w:t>High polish, optional, reduced-motion fallback</w:t>
            </w:r>
          </w:p>
        </w:tc>
      </w:tr>
      <w:tr>
        <w:tc>
          <w:tcPr>
            <w:tcW w:type="dxa" w:w="2484"/>
          </w:tcPr>
          <w:p>
            <w:r>
              <w:t>Home / second page</w:t>
            </w:r>
          </w:p>
        </w:tc>
        <w:tc>
          <w:tcPr>
            <w:tcW w:type="dxa" w:w="2484"/>
          </w:tcPr>
          <w:p>
            <w:r>
              <w:t>Living trust architecture</w:t>
            </w:r>
          </w:p>
        </w:tc>
        <w:tc>
          <w:tcPr>
            <w:tcW w:type="dxa" w:w="2484"/>
          </w:tcPr>
          <w:p>
            <w:r>
              <w:t>Clear audience paths and mechanism</w:t>
            </w:r>
          </w:p>
        </w:tc>
        <w:tc>
          <w:tcPr>
            <w:tcW w:type="dxa" w:w="2484"/>
          </w:tcPr>
          <w:p>
            <w:r>
              <w:t>Simulated transaction flow, batching, proof, challenge, settlement, Cardano L1</w:t>
            </w:r>
          </w:p>
        </w:tc>
      </w:tr>
      <w:tr>
        <w:tc>
          <w:tcPr>
            <w:tcW w:type="dxa" w:w="2484"/>
          </w:tcPr>
          <w:p>
            <w:r>
              <w:t>Launch deck</w:t>
            </w:r>
          </w:p>
        </w:tc>
        <w:tc>
          <w:tcPr>
            <w:tcW w:type="dxa" w:w="2484"/>
          </w:tcPr>
          <w:p>
            <w:r>
              <w:t>70 proof / 30 myth</w:t>
            </w:r>
          </w:p>
        </w:tc>
        <w:tc>
          <w:tcPr>
            <w:tcW w:type="dxa" w:w="2484"/>
          </w:tcPr>
          <w:p>
            <w:r>
              <w:t>Structure and intent, not final copy</w:t>
            </w:r>
          </w:p>
        </w:tc>
        <w:tc>
          <w:tcPr>
            <w:tcW w:type="dxa" w:w="2484"/>
          </w:tcPr>
          <w:p>
            <w:r>
              <w:t>Static first, cinematic key frames optional</w:t>
            </w:r>
          </w:p>
        </w:tc>
      </w:tr>
      <w:tr>
        <w:tc>
          <w:tcPr>
            <w:tcW w:type="dxa" w:w="2484"/>
          </w:tcPr>
          <w:p>
            <w:r>
              <w:t>Docs</w:t>
            </w:r>
          </w:p>
        </w:tc>
        <w:tc>
          <w:tcPr>
            <w:tcW w:type="dxa" w:w="2484"/>
          </w:tcPr>
          <w:p>
            <w:r>
              <w:t>Full brand, readable</w:t>
            </w:r>
          </w:p>
        </w:tc>
        <w:tc>
          <w:tcPr>
            <w:tcW w:type="dxa" w:w="2484"/>
          </w:tcPr>
          <w:p>
            <w:r>
              <w:t>Prose and code remain primary</w:t>
            </w:r>
          </w:p>
        </w:tc>
        <w:tc>
          <w:tcPr>
            <w:tcW w:type="dxa" w:w="2484"/>
          </w:tcPr>
          <w:p>
            <w:r>
              <w:t>Interactive explainers only where useful</w:t>
            </w:r>
          </w:p>
        </w:tc>
      </w:tr>
      <w:tr>
        <w:tc>
          <w:tcPr>
            <w:tcW w:type="dxa" w:w="2484"/>
          </w:tcPr>
          <w:p>
            <w:r>
              <w:t>Social</w:t>
            </w:r>
          </w:p>
        </w:tc>
        <w:tc>
          <w:tcPr>
            <w:tcW w:type="dxa" w:w="2484"/>
          </w:tcPr>
          <w:p>
            <w:r>
              <w:t>Proof cards</w:t>
            </w:r>
          </w:p>
        </w:tc>
        <w:tc>
          <w:tcPr>
            <w:tcW w:type="dxa" w:w="2484"/>
          </w:tcPr>
          <w:p>
            <w:r>
              <w:t>Education plus proof</w:t>
            </w:r>
          </w:p>
        </w:tc>
        <w:tc>
          <w:tcPr>
            <w:tcW w:type="dxa" w:w="2484"/>
          </w:tcPr>
          <w:p>
            <w:r>
              <w:t>Light motion only when clarity improves</w:t>
            </w:r>
          </w:p>
        </w:tc>
      </w:tr>
      <w:tr>
        <w:tc>
          <w:tcPr>
            <w:tcW w:type="dxa" w:w="2484"/>
          </w:tcPr>
          <w:p>
            <w:r>
              <w:t>Partner materials</w:t>
            </w:r>
          </w:p>
        </w:tc>
        <w:tc>
          <w:tcPr>
            <w:tcW w:type="dxa" w:w="2484"/>
          </w:tcPr>
          <w:p>
            <w:r>
              <w:t>Polished proof system</w:t>
            </w:r>
          </w:p>
        </w:tc>
        <w:tc>
          <w:tcPr>
            <w:tcW w:type="dxa" w:w="2484"/>
          </w:tcPr>
          <w:p>
            <w:r>
              <w:t>Readiness, status, approvals</w:t>
            </w:r>
          </w:p>
        </w:tc>
        <w:tc>
          <w:tcPr>
            <w:tcW w:type="dxa" w:w="2484"/>
          </w:tcPr>
          <w:p>
            <w:r>
              <w:t>Minimal, professional</w:t>
            </w:r>
          </w:p>
        </w:tc>
      </w:tr>
    </w:tbl>
    <w:p>
      <w:pPr>
        <w:pStyle w:val="Heading2"/>
      </w:pPr>
      <w:r>
        <w:t>Texture Routes</w:t>
      </w:r>
    </w:p>
    <w:p>
      <w:r>
        <w:t>Keep both routes available until the first visual prototype review.</w:t>
      </w:r>
    </w:p>
    <w:p>
      <w:pPr>
        <w:pStyle w:val="Heading3"/>
      </w:pPr>
      <w:r>
        <w:t>Stone + Light</w:t>
      </w:r>
    </w:p>
    <w:p>
      <w:r>
        <w:t>Best for trust, permanence, and executive seriousness.</w:t>
      </w:r>
    </w:p>
    <w:p>
      <w:pPr>
        <w:pStyle w:val="ListBullet"/>
      </w:pPr>
      <w:r>
        <w:t>Carved stone panels, thin illuminated paths, deep shadows.</w:t>
      </w:r>
    </w:p>
    <w:p>
      <w:pPr>
        <w:pStyle w:val="ListBullet"/>
      </w:pPr>
      <w:r>
        <w:t>Green light travels through channels like verified activity.</w:t>
      </w:r>
    </w:p>
    <w:p>
      <w:pPr>
        <w:pStyle w:val="ListBullet"/>
      </w:pPr>
      <w:r>
        <w:t>Muted gold appears as proof, settlement, or activation.</w:t>
      </w:r>
    </w:p>
    <w:p>
      <w:pPr>
        <w:pStyle w:val="ListBullet"/>
      </w:pPr>
      <w:r>
        <w:t>Works well for deck covers, partner pages, and architecture explainers.</w:t>
      </w:r>
    </w:p>
    <w:p>
      <w:pPr>
        <w:pStyle w:val="Heading3"/>
      </w:pPr>
      <w:r>
        <w:t>Organic Rootwork</w:t>
      </w:r>
    </w:p>
    <w:p>
      <w:r>
        <w:t>Best for system-alive energy and the Mythic Tree World premise.</w:t>
      </w:r>
    </w:p>
    <w:p>
      <w:pPr>
        <w:pStyle w:val="ListBullet"/>
      </w:pPr>
      <w:r>
        <w:t>Branching trust paths, root-like settlement channels, canopy-like topology, and living verification routes rendered as stone, gold circuitry, and precise technical architecture.</w:t>
      </w:r>
    </w:p>
    <w:p>
      <w:pPr>
        <w:pStyle w:val="ListBullet"/>
      </w:pPr>
      <w:r>
        <w:t>Technical overlays should be precise and restrained.</w:t>
      </w:r>
    </w:p>
    <w:p>
      <w:pPr>
        <w:pStyle w:val="ListBullet"/>
      </w:pPr>
      <w:r>
        <w:t>Works well for cinematic gateway, animated homepage, and social teasers.</w:t>
      </w:r>
    </w:p>
    <w:p>
      <w:pPr>
        <w:pStyle w:val="Heading2"/>
      </w:pPr>
      <w:r>
        <w:t>Logo And Brand Marks</w:t>
      </w:r>
    </w:p>
    <w:p>
      <w:r>
        <w:t>Use Quiet Authority.</w:t>
      </w:r>
    </w:p>
    <w:p>
      <w:pPr>
        <w:pStyle w:val="ListBullet"/>
      </w:pPr>
      <w:r>
        <w:t>Give the mark real whitespace.</w:t>
      </w:r>
    </w:p>
    <w:p>
      <w:pPr>
        <w:pStyle w:val="ListBullet"/>
      </w:pPr>
      <w:r>
        <w:t>Do not make the logo tiny and compensate with decoration.</w:t>
      </w:r>
    </w:p>
    <w:p>
      <w:pPr>
        <w:pStyle w:val="ListBullet"/>
      </w:pPr>
      <w:r>
        <w:t>Use the green mark sparingly on dark backgrounds.</w:t>
      </w:r>
    </w:p>
    <w:p>
      <w:pPr>
        <w:pStyle w:val="ListBullet"/>
      </w:pPr>
      <w:r>
        <w:t>Use white or restrained monochrome logo treatments in partner materials when the page already has enough green.</w:t>
      </w:r>
    </w:p>
    <w:p>
      <w:pPr>
        <w:pStyle w:val="Heading2"/>
      </w:pPr>
      <w:r>
        <w:t>Diagram Style</w:t>
      </w:r>
    </w:p>
    <w:p>
      <w:r>
        <w:t>Use Beautiful Schematics.</w:t>
      </w:r>
    </w:p>
    <w:p>
      <w:pPr>
        <w:pStyle w:val="ListBullet"/>
      </w:pPr>
      <w:r>
        <w:t>Diagrams should be useful at a glance and inspectable in detail.</w:t>
      </w:r>
    </w:p>
    <w:p>
      <w:pPr>
        <w:pStyle w:val="ListBullet"/>
      </w:pPr>
      <w:r>
        <w:t>Prefer rails, layers, paths, proof objects, status chips, and small annotations.</w:t>
      </w:r>
    </w:p>
    <w:p>
      <w:pPr>
        <w:pStyle w:val="ListBullet"/>
      </w:pPr>
      <w:r>
        <w:t>Make simulated data visually distinct from live data.</w:t>
      </w:r>
    </w:p>
    <w:p>
      <w:pPr>
        <w:pStyle w:val="ListBullet"/>
      </w:pPr>
      <w:r>
        <w:t>Use proof labels instead of decorative labels.</w:t>
      </w:r>
    </w:p>
    <w:p>
      <w:pPr>
        <w:pStyle w:val="ListBullet"/>
      </w:pPr>
      <w:r>
        <w:t>Partner logos, if any, must be proof-labeled and approval-dependent.</w:t>
      </w:r>
    </w:p>
    <w:p>
      <w:pPr>
        <w:pStyle w:val="Heading2"/>
      </w:pPr>
      <w:r>
        <w:t>Motion And Interaction Rules</w:t>
      </w:r>
    </w:p>
    <w:p>
      <w:r>
        <w:t>Motion should impress, but it must remain performant and optional.</w:t>
      </w:r>
    </w:p>
    <w:p>
      <w:r>
        <w:t>Rules:</w:t>
      </w:r>
    </w:p>
    <w:p>
      <w:pPr>
        <w:pStyle w:val="ListBullet"/>
      </w:pPr>
      <w:r>
        <w:t>Build a static fallback first.</w:t>
      </w:r>
    </w:p>
    <w:p>
      <w:pPr>
        <w:pStyle w:val="ListBullet"/>
      </w:pPr>
      <w:r>
        <w:t>Respect reduced-motion settings.</w:t>
      </w:r>
    </w:p>
    <w:p>
      <w:pPr>
        <w:pStyle w:val="ListBullet"/>
      </w:pPr>
      <w:r>
        <w:t>Avoid scrolljacking and forced guided-scroll choreography.</w:t>
      </w:r>
    </w:p>
    <w:p>
      <w:pPr>
        <w:pStyle w:val="ListBullet"/>
      </w:pPr>
      <w:r>
        <w:t>Use Natural Reveal: content appears as the user moves normally through the page.</w:t>
      </w:r>
    </w:p>
    <w:p>
      <w:pPr>
        <w:pStyle w:val="ListBullet"/>
      </w:pPr>
      <w:r>
        <w:t>Add an Explore mode where users can inspect key layers.</w:t>
      </w:r>
    </w:p>
    <w:p>
      <w:pPr>
        <w:pStyle w:val="ListBullet"/>
      </w:pPr>
      <w:r>
        <w:t>Prioritize Trust Layers as the main system view: activity, batching, proof, challenge, settlement, Cardano L1.</w:t>
      </w:r>
    </w:p>
    <w:p>
      <w:pPr>
        <w:pStyle w:val="ListBullet"/>
      </w:pPr>
      <w:r>
        <w:t>Keep docs motion limited to interactive explainers, not atmospheric decoration.</w:t>
      </w:r>
    </w:p>
    <w:p>
      <w:pPr>
        <w:pStyle w:val="ListBullet"/>
      </w:pPr>
      <w:r>
        <w:t>Make the mobile experience feel intentional, not a cropped desktop scene.</w:t>
      </w:r>
    </w:p>
    <w:p>
      <w:pPr>
        <w:pStyle w:val="ListBullet"/>
      </w:pPr>
      <w:r>
        <w:t>Use video only when it improves the experience. No default audio.</w:t>
      </w:r>
    </w:p>
    <w:p>
      <w:pPr>
        <w:pStyle w:val="Heading2"/>
      </w:pPr>
      <w:r>
        <w:t>AI-Assisted Production Workflow</w:t>
      </w:r>
    </w:p>
    <w:p>
      <w:r>
        <w:t>The production posture is Internal AI-Led with best tools where helpful and minimal tool sprawl.</w:t>
      </w:r>
    </w:p>
    <w:p>
      <w:r>
        <w:t>Recommended stack:</w:t>
      </w:r>
    </w:p>
    <w:tbl>
      <w:tblPr>
        <w:tblStyle w:val="TableGrid"/>
        <w:tblW w:type="auto" w:w="0"/>
        <w:tblLook w:firstColumn="1" w:firstRow="1" w:lastColumn="0" w:lastRow="0" w:noHBand="0" w:noVBand="1" w:val="04A0"/>
      </w:tblPr>
      <w:tblGrid>
        <w:gridCol w:w="4968"/>
        <w:gridCol w:w="4968"/>
      </w:tblGrid>
      <w:tr>
        <w:tc>
          <w:tcPr>
            <w:tcW w:type="dxa" w:w="4968"/>
          </w:tcPr>
          <w:p>
            <w:r>
              <w:rPr>
                <w:b/>
              </w:rPr>
              <w:t>Job</w:t>
            </w:r>
          </w:p>
        </w:tc>
        <w:tc>
          <w:tcPr>
            <w:tcW w:type="dxa" w:w="4968"/>
          </w:tcPr>
          <w:p>
            <w:r>
              <w:rPr>
                <w:b/>
              </w:rPr>
              <w:t>Preferred tool path</w:t>
            </w:r>
          </w:p>
        </w:tc>
      </w:tr>
      <w:tr>
        <w:tc>
          <w:tcPr>
            <w:tcW w:type="dxa" w:w="4968"/>
          </w:tcPr>
          <w:p>
            <w:r>
              <w:t>Orchestration, specs, prompts, deck outlines, prototypes</w:t>
            </w:r>
          </w:p>
        </w:tc>
        <w:tc>
          <w:tcPr>
            <w:tcW w:type="dxa" w:w="4968"/>
          </w:tcPr>
          <w:p>
            <w:r>
              <w:t>Codex / Claude</w:t>
            </w:r>
          </w:p>
        </w:tc>
      </w:tr>
      <w:tr>
        <w:tc>
          <w:tcPr>
            <w:tcW w:type="dxa" w:w="4968"/>
          </w:tcPr>
          <w:p>
            <w:r>
              <w:t>Still-image concept exploration and key art frames</w:t>
            </w:r>
          </w:p>
        </w:tc>
        <w:tc>
          <w:tcPr>
            <w:tcW w:type="dxa" w:w="4968"/>
          </w:tcPr>
          <w:p>
            <w:r>
              <w:t>Midjourney or equivalent</w:t>
            </w:r>
          </w:p>
        </w:tc>
      </w:tr>
      <w:tr>
        <w:tc>
          <w:tcPr>
            <w:tcW w:type="dxa" w:w="4968"/>
          </w:tcPr>
          <w:p>
            <w:r>
              <w:t>Cinematic motion tests</w:t>
            </w:r>
          </w:p>
        </w:tc>
        <w:tc>
          <w:tcPr>
            <w:tcW w:type="dxa" w:w="4968"/>
          </w:tcPr>
          <w:p>
            <w:r>
              <w:t>Runway Gen-4, Luma Ray, or Luma Dream Machine</w:t>
            </w:r>
          </w:p>
        </w:tc>
      </w:tr>
      <w:tr>
        <w:tc>
          <w:tcPr>
            <w:tcW w:type="dxa" w:w="4968"/>
          </w:tcPr>
          <w:p>
            <w:r>
              <w:t>Interactive 3D, topology, or tree/topology prototypes</w:t>
            </w:r>
          </w:p>
        </w:tc>
        <w:tc>
          <w:tcPr>
            <w:tcW w:type="dxa" w:w="4968"/>
          </w:tcPr>
          <w:p>
            <w:r>
              <w:t>Spline or Three.js</w:t>
            </w:r>
          </w:p>
        </w:tc>
      </w:tr>
      <w:tr>
        <w:tc>
          <w:tcPr>
            <w:tcW w:type="dxa" w:w="4968"/>
          </w:tcPr>
          <w:p>
            <w:r>
              <w:t>Lightweight stateful diagrams</w:t>
            </w:r>
          </w:p>
        </w:tc>
        <w:tc>
          <w:tcPr>
            <w:tcW w:type="dxa" w:w="4968"/>
          </w:tcPr>
          <w:p>
            <w:r>
              <w:t>Rive</w:t>
            </w:r>
          </w:p>
        </w:tc>
      </w:tr>
      <w:tr>
        <w:tc>
          <w:tcPr>
            <w:tcW w:type="dxa" w:w="4968"/>
          </w:tcPr>
          <w:p>
            <w:r>
              <w:t>Wireframes and design-system iteration</w:t>
            </w:r>
          </w:p>
        </w:tc>
        <w:tc>
          <w:tcPr>
            <w:tcW w:type="dxa" w:w="4968"/>
          </w:tcPr>
          <w:p>
            <w:r>
              <w:t>Figma, Figma Make, Relume</w:t>
            </w:r>
          </w:p>
        </w:tc>
      </w:tr>
      <w:tr>
        <w:tc>
          <w:tcPr>
            <w:tcW w:type="dxa" w:w="4968"/>
          </w:tcPr>
          <w:p>
            <w:r>
              <w:t>Deck production</w:t>
            </w:r>
          </w:p>
        </w:tc>
        <w:tc>
          <w:tcPr>
            <w:tcW w:type="dxa" w:w="4968"/>
          </w:tcPr>
          <w:p>
            <w:r>
              <w:t>Editable PPTX first, then Figma key slides</w:t>
            </w:r>
          </w:p>
        </w:tc>
      </w:tr>
    </w:tbl>
    <w:p>
      <w:r>
        <w:t>AI public assets are allowed only if they clear the quality, originality, and rights bar.</w:t>
      </w:r>
    </w:p>
    <w:p>
      <w:r>
        <w:t>Guardrails:</w:t>
      </w:r>
    </w:p>
    <w:p>
      <w:pPr>
        <w:pStyle w:val="ListBullet"/>
      </w:pPr>
      <w:r>
        <w:t>Do not spotlight AI usage publicly.</w:t>
      </w:r>
    </w:p>
    <w:p>
      <w:pPr>
        <w:pStyle w:val="ListBullet"/>
      </w:pPr>
      <w:r>
        <w:t>Do not copy a living artist, named studio style, or protected work.</w:t>
      </w:r>
    </w:p>
    <w:p>
      <w:pPr>
        <w:pStyle w:val="ListBullet"/>
      </w:pPr>
      <w:r>
        <w:t>Keep prompts, sources, generated candidates, licenses, and edit decisions in a production log.</w:t>
      </w:r>
    </w:p>
    <w:p>
      <w:pPr>
        <w:pStyle w:val="ListBullet"/>
      </w:pPr>
      <w:r>
        <w:t>Prefer commercial-safe tools, paid licenses, and original-looking outputs.</w:t>
      </w:r>
    </w:p>
    <w:p>
      <w:pPr>
        <w:pStyle w:val="ListBullet"/>
      </w:pPr>
      <w:r>
        <w:t>Remove or redraw obvious AI artifacts.</w:t>
      </w:r>
    </w:p>
    <w:p>
      <w:pPr>
        <w:pStyle w:val="ListBullet"/>
      </w:pPr>
      <w:r>
        <w:t>Use human cleanup for logo, typography, interface text, diagrams, and final production assets.</w:t>
      </w:r>
    </w:p>
    <w:p>
      <w:pPr>
        <w:pStyle w:val="ListBullet"/>
      </w:pPr>
      <w:r>
        <w:t>Keep fallback static assets for every motion-heavy surface.</w:t>
      </w:r>
    </w:p>
    <w:p>
      <w:pPr>
        <w:pStyle w:val="Heading2"/>
      </w:pPr>
      <w:r>
        <w:t>Relationship To The Older Tree World Handoff</w:t>
      </w:r>
    </w:p>
    <w:p>
      <w:r>
        <w:t>The older colorful Tree World handoff was moved to the Mac Trash on 2026-05-28. It should not be used unless Dave explicitly asks to revisit that branch.</w:t>
      </w:r>
    </w:p>
    <w:p>
      <w:r>
        <w:t>This darker direction is separate. It changes the emphasis from colorful ecosystem mural to trust architecture: darker, more premium, more technical, and more useful for strategic partners and builders.</w:t>
      </w:r>
    </w:p>
    <w:p>
      <w:r>
        <w:t>Do not overwrite the older handoff. Use it as an option, reference point, or earlier branch. Treat this document as the darker trust-architecture branch.</w:t>
      </w:r>
    </w:p>
    <w:p>
      <w:pPr>
        <w:pStyle w:val="Heading2"/>
      </w:pPr>
      <w:r>
        <w:t>Open Decisions For First Prototype Review</w:t>
      </w:r>
    </w:p>
    <w:p>
      <w:pPr>
        <w:pStyle w:val="ListBullet"/>
      </w:pPr>
      <w:r>
        <w:t>Choose whether Stone + Light or Organic Rootwork should dominate the final gateway.</w:t>
      </w:r>
    </w:p>
    <w:p>
      <w:pPr>
        <w:pStyle w:val="ListBullet"/>
      </w:pPr>
      <w:r>
        <w:t>Decide how much cinematic environment belongs in the homepage versus deck only.</w:t>
      </w:r>
    </w:p>
    <w:p>
      <w:pPr>
        <w:pStyle w:val="ListBullet"/>
      </w:pPr>
      <w:r>
        <w:t>Decide how public AI-generated imagery can be after visual tests and rights review.</w:t>
      </w:r>
    </w:p>
    <w:p>
      <w:pPr>
        <w:pStyle w:val="ListBullet"/>
      </w:pPr>
      <w:r>
        <w:t>Confirm which security and Cardano L1 anchoring claims are approved for public hero/deck usage.</w:t>
      </w:r>
    </w:p>
    <w:p>
      <w:pPr>
        <w:pStyle w:val="ListBullet"/>
      </w:pPr>
      <w:r>
        <w:t>Keep token-related material out of public launch work unless counsel and leadership approve exact language.</w:t>
      </w:r>
    </w:p>
    <w:p>
      <w:pPr>
        <w:pStyle w:val="Heading2"/>
      </w:pPr>
      <w:r>
        <w:t>Confidence</w:t>
      </w:r>
    </w:p>
    <w:p>
      <w:r>
        <w:t>High confidence:</w:t>
      </w:r>
    </w:p>
    <w:p>
      <w:pPr>
        <w:pStyle w:val="ListBullet"/>
      </w:pPr>
      <w:r>
        <w:t>Voice direction.</w:t>
      </w:r>
    </w:p>
    <w:p>
      <w:pPr>
        <w:pStyle w:val="ListBullet"/>
      </w:pPr>
      <w:r>
        <w:t>Audience paths.</w:t>
      </w:r>
    </w:p>
    <w:p>
      <w:pPr>
        <w:pStyle w:val="ListBullet"/>
      </w:pPr>
      <w:r>
        <w:t>Tagline and CTA territory.</w:t>
      </w:r>
    </w:p>
    <w:p>
      <w:pPr>
        <w:pStyle w:val="ListBullet"/>
      </w:pPr>
      <w:r>
        <w:t>Darker trust-architecture visual system.</w:t>
      </w:r>
    </w:p>
    <w:p>
      <w:pPr>
        <w:pStyle w:val="ListBullet"/>
      </w:pPr>
      <w:r>
        <w:t>Need to preserve the colorful Tree World handoff as a separate option.</w:t>
      </w:r>
    </w:p>
    <w:p>
      <w:r>
        <w:t>Medium confidence:</w:t>
      </w:r>
    </w:p>
    <w:p>
      <w:pPr>
        <w:pStyle w:val="ListBullet"/>
      </w:pPr>
      <w:r>
        <w:t>Final tool choices, because the AI production stack changes quickly.</w:t>
      </w:r>
    </w:p>
    <w:p>
      <w:pPr>
        <w:pStyle w:val="ListBullet"/>
      </w:pPr>
      <w:r>
        <w:t>Exact motion depth, pending prototype performance and reduced-motion tests.</w:t>
      </w:r>
    </w:p>
    <w:p>
      <w:pPr>
        <w:pStyle w:val="ListBullet"/>
      </w:pPr>
      <w:r>
        <w:t>Public claim strength, pending claims matrix, legal review, and launch evidence.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ptos" w:hAnsi="Aptos"/>
      <w:b/>
      <w:bCs/>
      <w:i/>
      <w:iCs/>
      <w:color w:val="4F81BD" w:themeColor="accent1"/>
      <w:sz w:val="2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