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F9EDE" w14:textId="77777777" w:rsidR="007E4997" w:rsidRDefault="008C2B44">
      <w:pPr>
        <w:rPr>
          <w:sz w:val="24"/>
          <w:szCs w:val="24"/>
        </w:rPr>
      </w:pPr>
      <w:r>
        <w:rPr>
          <w:sz w:val="24"/>
          <w:szCs w:val="24"/>
        </w:rPr>
        <w:t xml:space="preserve">Alexa Mowbray, Ryan </w:t>
      </w:r>
      <w:proofErr w:type="spellStart"/>
      <w:r>
        <w:rPr>
          <w:sz w:val="24"/>
          <w:szCs w:val="24"/>
        </w:rPr>
        <w:t>Cathcart</w:t>
      </w:r>
      <w:proofErr w:type="spellEnd"/>
      <w:r>
        <w:rPr>
          <w:sz w:val="24"/>
          <w:szCs w:val="24"/>
        </w:rPr>
        <w:t xml:space="preserve">, David Doman, &amp; Jason Taylor </w:t>
      </w:r>
    </w:p>
    <w:p w14:paraId="60CE8C0E" w14:textId="77777777" w:rsidR="007E4997" w:rsidRDefault="007E4997">
      <w:pPr>
        <w:rPr>
          <w:sz w:val="24"/>
          <w:szCs w:val="24"/>
        </w:rPr>
      </w:pPr>
    </w:p>
    <w:p w14:paraId="6EDFD404" w14:textId="77777777" w:rsidR="007E4997" w:rsidRDefault="008C2B44">
      <w:pPr>
        <w:jc w:val="center"/>
        <w:rPr>
          <w:b/>
          <w:sz w:val="24"/>
          <w:szCs w:val="24"/>
          <w:u w:val="single"/>
        </w:rPr>
      </w:pPr>
      <w:r>
        <w:rPr>
          <w:b/>
          <w:sz w:val="24"/>
          <w:szCs w:val="24"/>
          <w:u w:val="single"/>
        </w:rPr>
        <w:t>House Price Analysis Case Study</w:t>
      </w:r>
    </w:p>
    <w:p w14:paraId="1BD5A2FA" w14:textId="77777777" w:rsidR="007E4997" w:rsidRDefault="007E4997">
      <w:pPr>
        <w:jc w:val="center"/>
        <w:rPr>
          <w:b/>
          <w:sz w:val="24"/>
          <w:szCs w:val="24"/>
          <w:u w:val="single"/>
        </w:rPr>
      </w:pPr>
    </w:p>
    <w:p w14:paraId="6DDA1EAB" w14:textId="77777777" w:rsidR="007E4997" w:rsidRDefault="008C2B44">
      <w:pPr>
        <w:rPr>
          <w:sz w:val="24"/>
          <w:szCs w:val="24"/>
        </w:rPr>
      </w:pPr>
      <w:r>
        <w:rPr>
          <w:sz w:val="24"/>
          <w:szCs w:val="24"/>
        </w:rPr>
        <w:t>In order to glean more meaningful analyses on which factors had the greatest impact on the price of homes, our group decided to first analyze the quantitative and qualitative ways in which the data was categorized. This categorization included the price, c</w:t>
      </w:r>
      <w:r>
        <w:rPr>
          <w:sz w:val="24"/>
          <w:szCs w:val="24"/>
        </w:rPr>
        <w:t xml:space="preserve">onstruction type (brick or not), square footage, number of bedrooms or bathrooms, </w:t>
      </w:r>
      <w:proofErr w:type="gramStart"/>
      <w:r>
        <w:rPr>
          <w:sz w:val="24"/>
          <w:szCs w:val="24"/>
        </w:rPr>
        <w:t>whether or not</w:t>
      </w:r>
      <w:proofErr w:type="gramEnd"/>
      <w:r>
        <w:rPr>
          <w:sz w:val="24"/>
          <w:szCs w:val="24"/>
        </w:rPr>
        <w:t xml:space="preserve"> the home received an offer (and quantity thereof), and which neighborhood the home was located in. To make the data easier to conceptualize, the group first us</w:t>
      </w:r>
      <w:r>
        <w:rPr>
          <w:sz w:val="24"/>
          <w:szCs w:val="24"/>
        </w:rPr>
        <w:t>ed pivot tables to condense hundreds of rows of data into something more meaningful. The first pivot table that was constructed analyzed the average price, square footage, and construction material of the home, while the second was geared toward understand</w:t>
      </w:r>
      <w:r>
        <w:rPr>
          <w:sz w:val="24"/>
          <w:szCs w:val="24"/>
        </w:rPr>
        <w:t xml:space="preserve">ing the relationship between square footage, neighborhood, and price. </w:t>
      </w:r>
    </w:p>
    <w:p w14:paraId="63D77BC2" w14:textId="77777777" w:rsidR="007E4997" w:rsidRDefault="007E4997">
      <w:pPr>
        <w:rPr>
          <w:sz w:val="24"/>
          <w:szCs w:val="24"/>
        </w:rPr>
      </w:pPr>
    </w:p>
    <w:p w14:paraId="5CB3A235" w14:textId="77777777" w:rsidR="007E4997" w:rsidRDefault="008C2B44">
      <w:pPr>
        <w:rPr>
          <w:b/>
          <w:sz w:val="24"/>
          <w:szCs w:val="24"/>
        </w:rPr>
      </w:pPr>
      <w:r>
        <w:rPr>
          <w:b/>
          <w:sz w:val="24"/>
          <w:szCs w:val="24"/>
        </w:rPr>
        <w:t>Pivot Table #1</w:t>
      </w:r>
    </w:p>
    <w:p w14:paraId="7262B832" w14:textId="77777777" w:rsidR="007E4997" w:rsidRDefault="008C2B44">
      <w:pPr>
        <w:rPr>
          <w:sz w:val="24"/>
          <w:szCs w:val="24"/>
        </w:rPr>
      </w:pPr>
      <w:r>
        <w:rPr>
          <w:b/>
          <w:sz w:val="24"/>
          <w:szCs w:val="24"/>
        </w:rPr>
        <w:t>Description:</w:t>
      </w:r>
      <w:r>
        <w:rPr>
          <w:sz w:val="24"/>
          <w:szCs w:val="24"/>
        </w:rPr>
        <w:t xml:space="preserve"> Pivot Table 1 demonstrates the relationship between average price and the average square footage of a home. Providing more detail to the analysis was the ad</w:t>
      </w:r>
      <w:r>
        <w:rPr>
          <w:sz w:val="24"/>
          <w:szCs w:val="24"/>
        </w:rPr>
        <w:t>dition of construction type. While the average square footage of each home type was similar with brick homes being on average only 1.7% larger, the average price of a brick home regardless of neighborhood was 17% higher than a home not constructed of brick</w:t>
      </w:r>
      <w:r>
        <w:rPr>
          <w:sz w:val="24"/>
          <w:szCs w:val="24"/>
        </w:rPr>
        <w:t>. This leads us to conclude that brick construction is more desirable than non-brick, due either to the desirability of brick aesthetic or the durability of the construction type. It also leads us to conclude that average home prices are impacted by more t</w:t>
      </w:r>
      <w:r>
        <w:rPr>
          <w:sz w:val="24"/>
          <w:szCs w:val="24"/>
        </w:rPr>
        <w:t xml:space="preserve">han one variable. </w:t>
      </w:r>
    </w:p>
    <w:p w14:paraId="50415A69" w14:textId="77777777" w:rsidR="007E4997" w:rsidRDefault="007E4997">
      <w:pPr>
        <w:rPr>
          <w:sz w:val="24"/>
          <w:szCs w:val="24"/>
        </w:rPr>
      </w:pPr>
    </w:p>
    <w:tbl>
      <w:tblPr>
        <w:tblStyle w:val="a5"/>
        <w:tblW w:w="6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663"/>
        <w:gridCol w:w="2619"/>
        <w:gridCol w:w="2303"/>
      </w:tblGrid>
      <w:tr w:rsidR="007E4997" w14:paraId="23656192" w14:textId="77777777">
        <w:trPr>
          <w:trHeight w:val="234"/>
          <w:jc w:val="center"/>
        </w:trPr>
        <w:tc>
          <w:tcPr>
            <w:tcW w:w="1663" w:type="dxa"/>
            <w:tcBorders>
              <w:top w:val="nil"/>
              <w:left w:val="nil"/>
              <w:bottom w:val="single" w:sz="4" w:space="0" w:color="9BC2E6"/>
              <w:right w:val="nil"/>
            </w:tcBorders>
            <w:shd w:val="clear" w:color="auto" w:fill="DDEBF7"/>
            <w:tcMar>
              <w:top w:w="100" w:type="dxa"/>
              <w:left w:w="100" w:type="dxa"/>
              <w:bottom w:w="100" w:type="dxa"/>
              <w:right w:w="100" w:type="dxa"/>
            </w:tcMar>
          </w:tcPr>
          <w:p w14:paraId="76365EE9" w14:textId="77777777" w:rsidR="007E4997" w:rsidRDefault="008C2B44">
            <w:pPr>
              <w:widowControl w:val="0"/>
              <w:pBdr>
                <w:top w:val="nil"/>
                <w:left w:val="nil"/>
                <w:bottom w:val="nil"/>
                <w:right w:val="nil"/>
                <w:between w:val="nil"/>
              </w:pBdr>
              <w:spacing w:after="0" w:line="276" w:lineRule="auto"/>
              <w:rPr>
                <w:sz w:val="24"/>
                <w:szCs w:val="24"/>
              </w:rPr>
            </w:pPr>
            <w:r>
              <w:rPr>
                <w:b/>
              </w:rPr>
              <w:t>Brick</w:t>
            </w:r>
          </w:p>
        </w:tc>
        <w:tc>
          <w:tcPr>
            <w:tcW w:w="2619" w:type="dxa"/>
            <w:tcBorders>
              <w:top w:val="nil"/>
              <w:left w:val="nil"/>
              <w:bottom w:val="single" w:sz="4" w:space="0" w:color="9BC2E6"/>
              <w:right w:val="nil"/>
            </w:tcBorders>
            <w:shd w:val="clear" w:color="auto" w:fill="DDEBF7"/>
            <w:tcMar>
              <w:top w:w="100" w:type="dxa"/>
              <w:left w:w="100" w:type="dxa"/>
              <w:bottom w:w="100" w:type="dxa"/>
              <w:right w:w="100" w:type="dxa"/>
            </w:tcMar>
          </w:tcPr>
          <w:p w14:paraId="1EE3F8A6" w14:textId="77777777" w:rsidR="007E4997" w:rsidRDefault="008C2B44">
            <w:pPr>
              <w:widowControl w:val="0"/>
              <w:pBdr>
                <w:top w:val="nil"/>
                <w:left w:val="nil"/>
                <w:bottom w:val="nil"/>
                <w:right w:val="nil"/>
                <w:between w:val="nil"/>
              </w:pBdr>
              <w:spacing w:after="0" w:line="276" w:lineRule="auto"/>
              <w:rPr>
                <w:sz w:val="24"/>
                <w:szCs w:val="24"/>
              </w:rPr>
            </w:pPr>
            <w:r>
              <w:rPr>
                <w:b/>
              </w:rPr>
              <w:t>Average of Price</w:t>
            </w:r>
          </w:p>
        </w:tc>
        <w:tc>
          <w:tcPr>
            <w:tcW w:w="2303" w:type="dxa"/>
            <w:tcBorders>
              <w:top w:val="nil"/>
              <w:left w:val="nil"/>
              <w:bottom w:val="single" w:sz="4" w:space="0" w:color="9BC2E6"/>
              <w:right w:val="nil"/>
            </w:tcBorders>
            <w:shd w:val="clear" w:color="auto" w:fill="DDEBF7"/>
            <w:tcMar>
              <w:top w:w="100" w:type="dxa"/>
              <w:left w:w="100" w:type="dxa"/>
              <w:bottom w:w="100" w:type="dxa"/>
              <w:right w:w="100" w:type="dxa"/>
            </w:tcMar>
          </w:tcPr>
          <w:p w14:paraId="2AC6B047" w14:textId="77777777" w:rsidR="007E4997" w:rsidRDefault="008C2B44">
            <w:pPr>
              <w:widowControl w:val="0"/>
              <w:pBdr>
                <w:top w:val="nil"/>
                <w:left w:val="nil"/>
                <w:bottom w:val="nil"/>
                <w:right w:val="nil"/>
                <w:between w:val="nil"/>
              </w:pBdr>
              <w:spacing w:after="0" w:line="276" w:lineRule="auto"/>
              <w:rPr>
                <w:sz w:val="24"/>
                <w:szCs w:val="24"/>
              </w:rPr>
            </w:pPr>
            <w:r>
              <w:rPr>
                <w:b/>
              </w:rPr>
              <w:t xml:space="preserve">Average of </w:t>
            </w:r>
            <w:proofErr w:type="spellStart"/>
            <w:r>
              <w:rPr>
                <w:b/>
              </w:rPr>
              <w:t>SqFt</w:t>
            </w:r>
            <w:proofErr w:type="spellEnd"/>
          </w:p>
        </w:tc>
      </w:tr>
      <w:tr w:rsidR="007E4997" w14:paraId="5F578B8C" w14:textId="77777777">
        <w:trPr>
          <w:trHeight w:val="372"/>
          <w:jc w:val="center"/>
        </w:trPr>
        <w:tc>
          <w:tcPr>
            <w:tcW w:w="1663" w:type="dxa"/>
            <w:tcBorders>
              <w:top w:val="nil"/>
              <w:left w:val="nil"/>
              <w:bottom w:val="nil"/>
              <w:right w:val="nil"/>
            </w:tcBorders>
            <w:tcMar>
              <w:top w:w="100" w:type="dxa"/>
              <w:left w:w="100" w:type="dxa"/>
              <w:bottom w:w="100" w:type="dxa"/>
              <w:right w:w="100" w:type="dxa"/>
            </w:tcMar>
          </w:tcPr>
          <w:p w14:paraId="035CE659" w14:textId="77777777" w:rsidR="007E4997" w:rsidRDefault="008C2B44">
            <w:pPr>
              <w:widowControl w:val="0"/>
              <w:pBdr>
                <w:top w:val="nil"/>
                <w:left w:val="nil"/>
                <w:bottom w:val="nil"/>
                <w:right w:val="nil"/>
                <w:between w:val="nil"/>
              </w:pBdr>
              <w:spacing w:after="0" w:line="276" w:lineRule="auto"/>
              <w:rPr>
                <w:sz w:val="24"/>
                <w:szCs w:val="24"/>
              </w:rPr>
            </w:pPr>
            <w:r>
              <w:rPr>
                <w:sz w:val="24"/>
                <w:szCs w:val="24"/>
              </w:rPr>
              <w:t>No</w:t>
            </w:r>
          </w:p>
        </w:tc>
        <w:tc>
          <w:tcPr>
            <w:tcW w:w="2619" w:type="dxa"/>
            <w:tcMar>
              <w:top w:w="100" w:type="dxa"/>
              <w:left w:w="100" w:type="dxa"/>
              <w:bottom w:w="100" w:type="dxa"/>
              <w:right w:w="100" w:type="dxa"/>
            </w:tcMar>
          </w:tcPr>
          <w:p w14:paraId="1DFDA2AD" w14:textId="77777777" w:rsidR="007E4997" w:rsidRDefault="008C2B44">
            <w:pPr>
              <w:widowControl w:val="0"/>
              <w:pBdr>
                <w:top w:val="nil"/>
                <w:left w:val="nil"/>
                <w:bottom w:val="nil"/>
                <w:right w:val="nil"/>
                <w:between w:val="nil"/>
              </w:pBdr>
              <w:spacing w:after="0" w:line="276" w:lineRule="auto"/>
              <w:rPr>
                <w:sz w:val="24"/>
                <w:szCs w:val="24"/>
              </w:rPr>
            </w:pPr>
            <w:r>
              <w:rPr>
                <w:sz w:val="24"/>
                <w:szCs w:val="24"/>
              </w:rPr>
              <w:t xml:space="preserve"> $   </w:t>
            </w:r>
            <w:r>
              <w:rPr>
                <w:sz w:val="24"/>
                <w:szCs w:val="24"/>
              </w:rPr>
              <w:tab/>
              <w:t>121,958.14</w:t>
            </w:r>
          </w:p>
        </w:tc>
        <w:tc>
          <w:tcPr>
            <w:tcW w:w="2303" w:type="dxa"/>
            <w:tcMar>
              <w:top w:w="100" w:type="dxa"/>
              <w:left w:w="100" w:type="dxa"/>
              <w:bottom w:w="100" w:type="dxa"/>
              <w:right w:w="100" w:type="dxa"/>
            </w:tcMar>
          </w:tcPr>
          <w:p w14:paraId="26567F1F" w14:textId="77777777" w:rsidR="007E4997" w:rsidRDefault="008C2B44">
            <w:pPr>
              <w:widowControl w:val="0"/>
              <w:pBdr>
                <w:top w:val="nil"/>
                <w:left w:val="nil"/>
                <w:bottom w:val="nil"/>
                <w:right w:val="nil"/>
                <w:between w:val="nil"/>
              </w:pBdr>
              <w:spacing w:after="0" w:line="276" w:lineRule="auto"/>
              <w:rPr>
                <w:sz w:val="24"/>
                <w:szCs w:val="24"/>
              </w:rPr>
            </w:pPr>
            <w:r>
              <w:rPr>
                <w:sz w:val="24"/>
                <w:szCs w:val="24"/>
              </w:rPr>
              <w:t xml:space="preserve">            </w:t>
            </w:r>
            <w:r>
              <w:rPr>
                <w:sz w:val="24"/>
                <w:szCs w:val="24"/>
              </w:rPr>
              <w:tab/>
              <w:t>1,989.19</w:t>
            </w:r>
          </w:p>
        </w:tc>
      </w:tr>
      <w:tr w:rsidR="007E4997" w14:paraId="2E3AE1DC" w14:textId="77777777">
        <w:trPr>
          <w:trHeight w:val="365"/>
          <w:jc w:val="center"/>
        </w:trPr>
        <w:tc>
          <w:tcPr>
            <w:tcW w:w="1663" w:type="dxa"/>
            <w:tcBorders>
              <w:top w:val="nil"/>
              <w:left w:val="nil"/>
              <w:bottom w:val="nil"/>
              <w:right w:val="nil"/>
            </w:tcBorders>
            <w:tcMar>
              <w:top w:w="100" w:type="dxa"/>
              <w:left w:w="100" w:type="dxa"/>
              <w:bottom w:w="100" w:type="dxa"/>
              <w:right w:w="100" w:type="dxa"/>
            </w:tcMar>
          </w:tcPr>
          <w:p w14:paraId="3C91580B" w14:textId="77777777" w:rsidR="007E4997" w:rsidRDefault="008C2B44">
            <w:pPr>
              <w:widowControl w:val="0"/>
              <w:pBdr>
                <w:top w:val="nil"/>
                <w:left w:val="nil"/>
                <w:bottom w:val="nil"/>
                <w:right w:val="nil"/>
                <w:between w:val="nil"/>
              </w:pBdr>
              <w:spacing w:after="0" w:line="276" w:lineRule="auto"/>
              <w:rPr>
                <w:sz w:val="24"/>
                <w:szCs w:val="24"/>
              </w:rPr>
            </w:pPr>
            <w:r>
              <w:rPr>
                <w:sz w:val="24"/>
                <w:szCs w:val="24"/>
              </w:rPr>
              <w:t>Yes</w:t>
            </w:r>
          </w:p>
        </w:tc>
        <w:tc>
          <w:tcPr>
            <w:tcW w:w="2619" w:type="dxa"/>
            <w:tcMar>
              <w:top w:w="100" w:type="dxa"/>
              <w:left w:w="100" w:type="dxa"/>
              <w:bottom w:w="100" w:type="dxa"/>
              <w:right w:w="100" w:type="dxa"/>
            </w:tcMar>
          </w:tcPr>
          <w:p w14:paraId="2EEB8433" w14:textId="77777777" w:rsidR="007E4997" w:rsidRDefault="008C2B44">
            <w:pPr>
              <w:widowControl w:val="0"/>
              <w:pBdr>
                <w:top w:val="nil"/>
                <w:left w:val="nil"/>
                <w:bottom w:val="nil"/>
                <w:right w:val="nil"/>
                <w:between w:val="nil"/>
              </w:pBdr>
              <w:spacing w:after="0" w:line="276" w:lineRule="auto"/>
              <w:rPr>
                <w:sz w:val="24"/>
                <w:szCs w:val="24"/>
              </w:rPr>
            </w:pPr>
            <w:r>
              <w:rPr>
                <w:sz w:val="24"/>
                <w:szCs w:val="24"/>
              </w:rPr>
              <w:t xml:space="preserve"> $   </w:t>
            </w:r>
            <w:r>
              <w:rPr>
                <w:sz w:val="24"/>
                <w:szCs w:val="24"/>
              </w:rPr>
              <w:tab/>
              <w:t>147,769.05</w:t>
            </w:r>
          </w:p>
        </w:tc>
        <w:tc>
          <w:tcPr>
            <w:tcW w:w="2303" w:type="dxa"/>
            <w:tcMar>
              <w:top w:w="100" w:type="dxa"/>
              <w:left w:w="100" w:type="dxa"/>
              <w:bottom w:w="100" w:type="dxa"/>
              <w:right w:w="100" w:type="dxa"/>
            </w:tcMar>
          </w:tcPr>
          <w:p w14:paraId="1C3B6914" w14:textId="77777777" w:rsidR="007E4997" w:rsidRDefault="008C2B44">
            <w:pPr>
              <w:widowControl w:val="0"/>
              <w:pBdr>
                <w:top w:val="nil"/>
                <w:left w:val="nil"/>
                <w:bottom w:val="nil"/>
                <w:right w:val="nil"/>
                <w:between w:val="nil"/>
              </w:pBdr>
              <w:spacing w:after="0" w:line="276" w:lineRule="auto"/>
              <w:rPr>
                <w:sz w:val="24"/>
                <w:szCs w:val="24"/>
              </w:rPr>
            </w:pPr>
            <w:r>
              <w:rPr>
                <w:sz w:val="24"/>
                <w:szCs w:val="24"/>
              </w:rPr>
              <w:t xml:space="preserve">            </w:t>
            </w:r>
            <w:r>
              <w:rPr>
                <w:sz w:val="24"/>
                <w:szCs w:val="24"/>
              </w:rPr>
              <w:tab/>
              <w:t>2,025.00</w:t>
            </w:r>
          </w:p>
        </w:tc>
      </w:tr>
      <w:tr w:rsidR="007E4997" w14:paraId="30BD75A1" w14:textId="77777777">
        <w:trPr>
          <w:trHeight w:val="234"/>
          <w:jc w:val="center"/>
        </w:trPr>
        <w:tc>
          <w:tcPr>
            <w:tcW w:w="1663" w:type="dxa"/>
            <w:tcBorders>
              <w:top w:val="single" w:sz="4" w:space="0" w:color="9BC2E6"/>
              <w:left w:val="nil"/>
              <w:bottom w:val="nil"/>
              <w:right w:val="nil"/>
            </w:tcBorders>
            <w:shd w:val="clear" w:color="auto" w:fill="DDEBF7"/>
            <w:tcMar>
              <w:top w:w="100" w:type="dxa"/>
              <w:left w:w="100" w:type="dxa"/>
              <w:bottom w:w="100" w:type="dxa"/>
              <w:right w:w="100" w:type="dxa"/>
            </w:tcMar>
          </w:tcPr>
          <w:p w14:paraId="23F7743D" w14:textId="77777777" w:rsidR="007E4997" w:rsidRDefault="008C2B44">
            <w:pPr>
              <w:widowControl w:val="0"/>
              <w:pBdr>
                <w:top w:val="nil"/>
                <w:left w:val="nil"/>
                <w:bottom w:val="nil"/>
                <w:right w:val="nil"/>
                <w:between w:val="nil"/>
              </w:pBdr>
              <w:spacing w:after="0" w:line="276" w:lineRule="auto"/>
              <w:rPr>
                <w:sz w:val="24"/>
                <w:szCs w:val="24"/>
              </w:rPr>
            </w:pPr>
            <w:r>
              <w:rPr>
                <w:b/>
              </w:rPr>
              <w:t>Grand Total</w:t>
            </w:r>
          </w:p>
        </w:tc>
        <w:tc>
          <w:tcPr>
            <w:tcW w:w="2619" w:type="dxa"/>
            <w:tcBorders>
              <w:top w:val="single" w:sz="4" w:space="0" w:color="9BC2E6"/>
              <w:left w:val="nil"/>
              <w:bottom w:val="nil"/>
              <w:right w:val="nil"/>
            </w:tcBorders>
            <w:shd w:val="clear" w:color="auto" w:fill="DDEBF7"/>
            <w:tcMar>
              <w:top w:w="100" w:type="dxa"/>
              <w:left w:w="100" w:type="dxa"/>
              <w:bottom w:w="100" w:type="dxa"/>
              <w:right w:w="100" w:type="dxa"/>
            </w:tcMar>
          </w:tcPr>
          <w:p w14:paraId="67330E4A" w14:textId="77777777" w:rsidR="007E4997" w:rsidRDefault="008C2B44">
            <w:pPr>
              <w:widowControl w:val="0"/>
              <w:pBdr>
                <w:top w:val="nil"/>
                <w:left w:val="nil"/>
                <w:bottom w:val="nil"/>
                <w:right w:val="nil"/>
                <w:between w:val="nil"/>
              </w:pBdr>
              <w:spacing w:after="0" w:line="276" w:lineRule="auto"/>
              <w:rPr>
                <w:sz w:val="24"/>
                <w:szCs w:val="24"/>
              </w:rPr>
            </w:pPr>
            <w:r>
              <w:rPr>
                <w:b/>
              </w:rPr>
              <w:t xml:space="preserve"> $       130,427.34</w:t>
            </w:r>
          </w:p>
        </w:tc>
        <w:tc>
          <w:tcPr>
            <w:tcW w:w="2303" w:type="dxa"/>
            <w:tcBorders>
              <w:top w:val="single" w:sz="4" w:space="0" w:color="9BC2E6"/>
              <w:left w:val="nil"/>
              <w:bottom w:val="nil"/>
              <w:right w:val="nil"/>
            </w:tcBorders>
            <w:shd w:val="clear" w:color="auto" w:fill="DDEBF7"/>
            <w:tcMar>
              <w:top w:w="100" w:type="dxa"/>
              <w:left w:w="100" w:type="dxa"/>
              <w:bottom w:w="100" w:type="dxa"/>
              <w:right w:w="100" w:type="dxa"/>
            </w:tcMar>
          </w:tcPr>
          <w:p w14:paraId="2CB82DB0" w14:textId="77777777" w:rsidR="007E4997" w:rsidRDefault="008C2B44">
            <w:pPr>
              <w:widowControl w:val="0"/>
              <w:pBdr>
                <w:top w:val="nil"/>
                <w:left w:val="nil"/>
                <w:bottom w:val="nil"/>
                <w:right w:val="nil"/>
                <w:between w:val="nil"/>
              </w:pBdr>
              <w:spacing w:after="0" w:line="276" w:lineRule="auto"/>
              <w:rPr>
                <w:sz w:val="24"/>
                <w:szCs w:val="24"/>
              </w:rPr>
            </w:pPr>
            <w:r>
              <w:rPr>
                <w:b/>
              </w:rPr>
              <w:t xml:space="preserve">            </w:t>
            </w:r>
            <w:r>
              <w:rPr>
                <w:b/>
              </w:rPr>
              <w:tab/>
              <w:t>2,000.94</w:t>
            </w:r>
          </w:p>
        </w:tc>
      </w:tr>
    </w:tbl>
    <w:p w14:paraId="6F568045" w14:textId="77777777" w:rsidR="007E4997" w:rsidRDefault="007E4997">
      <w:pPr>
        <w:rPr>
          <w:sz w:val="24"/>
          <w:szCs w:val="24"/>
        </w:rPr>
      </w:pPr>
    </w:p>
    <w:p w14:paraId="6483CEA6" w14:textId="77777777" w:rsidR="007E4997" w:rsidRDefault="007E4997">
      <w:pPr>
        <w:rPr>
          <w:sz w:val="24"/>
          <w:szCs w:val="24"/>
        </w:rPr>
      </w:pPr>
    </w:p>
    <w:p w14:paraId="2F9BB29D" w14:textId="77777777" w:rsidR="007E4997" w:rsidRDefault="007E4997">
      <w:pPr>
        <w:rPr>
          <w:b/>
          <w:sz w:val="24"/>
          <w:szCs w:val="24"/>
        </w:rPr>
      </w:pPr>
    </w:p>
    <w:p w14:paraId="031FF1A1" w14:textId="77777777" w:rsidR="007E4997" w:rsidRDefault="008C2B44">
      <w:pPr>
        <w:rPr>
          <w:b/>
          <w:sz w:val="24"/>
          <w:szCs w:val="24"/>
        </w:rPr>
      </w:pPr>
      <w:r>
        <w:rPr>
          <w:b/>
          <w:sz w:val="24"/>
          <w:szCs w:val="24"/>
        </w:rPr>
        <w:lastRenderedPageBreak/>
        <w:t>Pivot Table #2</w:t>
      </w:r>
    </w:p>
    <w:p w14:paraId="7B8550A0" w14:textId="77777777" w:rsidR="007E4997" w:rsidRDefault="007E4997">
      <w:pPr>
        <w:rPr>
          <w:b/>
          <w:sz w:val="24"/>
          <w:szCs w:val="24"/>
        </w:rPr>
      </w:pPr>
    </w:p>
    <w:tbl>
      <w:tblPr>
        <w:tblStyle w:val="a6"/>
        <w:tblW w:w="6795" w:type="dxa"/>
        <w:jc w:val="center"/>
        <w:tblLayout w:type="fixed"/>
        <w:tblLook w:val="0400" w:firstRow="0" w:lastRow="0" w:firstColumn="0" w:lastColumn="0" w:noHBand="0" w:noVBand="1"/>
      </w:tblPr>
      <w:tblGrid>
        <w:gridCol w:w="1467"/>
        <w:gridCol w:w="1855"/>
        <w:gridCol w:w="1704"/>
        <w:gridCol w:w="1769"/>
      </w:tblGrid>
      <w:tr w:rsidR="007E4997" w14:paraId="1AA9A286" w14:textId="77777777">
        <w:trPr>
          <w:trHeight w:val="271"/>
          <w:jc w:val="center"/>
        </w:trPr>
        <w:tc>
          <w:tcPr>
            <w:tcW w:w="1467" w:type="dxa"/>
            <w:tcBorders>
              <w:top w:val="nil"/>
              <w:left w:val="nil"/>
              <w:bottom w:val="single" w:sz="4" w:space="0" w:color="9BC2E6"/>
              <w:right w:val="nil"/>
            </w:tcBorders>
            <w:shd w:val="clear" w:color="auto" w:fill="DDEBF7"/>
            <w:vAlign w:val="bottom"/>
          </w:tcPr>
          <w:p w14:paraId="44731199" w14:textId="77777777" w:rsidR="007E4997" w:rsidRDefault="008C2B44">
            <w:pPr>
              <w:spacing w:after="0" w:line="240" w:lineRule="auto"/>
              <w:rPr>
                <w:b/>
                <w:color w:val="000000"/>
              </w:rPr>
            </w:pPr>
            <w:r>
              <w:rPr>
                <w:b/>
                <w:color w:val="000000"/>
              </w:rPr>
              <w:t>Brick</w:t>
            </w:r>
          </w:p>
        </w:tc>
        <w:tc>
          <w:tcPr>
            <w:tcW w:w="1855" w:type="dxa"/>
            <w:tcBorders>
              <w:top w:val="nil"/>
              <w:left w:val="nil"/>
              <w:bottom w:val="single" w:sz="4" w:space="0" w:color="9BC2E6"/>
              <w:right w:val="nil"/>
            </w:tcBorders>
            <w:shd w:val="clear" w:color="auto" w:fill="DDEBF7"/>
            <w:vAlign w:val="bottom"/>
          </w:tcPr>
          <w:p w14:paraId="0D76F4B9" w14:textId="77777777" w:rsidR="007E4997" w:rsidRDefault="008C2B44">
            <w:pPr>
              <w:spacing w:after="0" w:line="240" w:lineRule="auto"/>
              <w:rPr>
                <w:b/>
                <w:color w:val="000000"/>
              </w:rPr>
            </w:pPr>
            <w:r>
              <w:rPr>
                <w:b/>
                <w:color w:val="000000"/>
              </w:rPr>
              <w:t>Neighborhood</w:t>
            </w:r>
          </w:p>
        </w:tc>
        <w:tc>
          <w:tcPr>
            <w:tcW w:w="1704" w:type="dxa"/>
            <w:tcBorders>
              <w:top w:val="nil"/>
              <w:left w:val="nil"/>
              <w:bottom w:val="single" w:sz="4" w:space="0" w:color="9BC2E6"/>
              <w:right w:val="nil"/>
            </w:tcBorders>
            <w:shd w:val="clear" w:color="auto" w:fill="DDEBF7"/>
            <w:vAlign w:val="bottom"/>
          </w:tcPr>
          <w:p w14:paraId="27972464" w14:textId="77777777" w:rsidR="007E4997" w:rsidRDefault="008C2B44">
            <w:pPr>
              <w:spacing w:after="0" w:line="240" w:lineRule="auto"/>
              <w:rPr>
                <w:b/>
                <w:color w:val="000000"/>
              </w:rPr>
            </w:pPr>
            <w:r>
              <w:rPr>
                <w:b/>
                <w:color w:val="000000"/>
              </w:rPr>
              <w:t xml:space="preserve">Average of </w:t>
            </w:r>
            <w:proofErr w:type="spellStart"/>
            <w:r>
              <w:rPr>
                <w:b/>
                <w:color w:val="000000"/>
              </w:rPr>
              <w:t>SqFt</w:t>
            </w:r>
            <w:proofErr w:type="spellEnd"/>
          </w:p>
        </w:tc>
        <w:tc>
          <w:tcPr>
            <w:tcW w:w="1769" w:type="dxa"/>
            <w:tcBorders>
              <w:top w:val="nil"/>
              <w:left w:val="nil"/>
              <w:bottom w:val="single" w:sz="4" w:space="0" w:color="9BC2E6"/>
              <w:right w:val="nil"/>
            </w:tcBorders>
            <w:shd w:val="clear" w:color="auto" w:fill="DDEBF7"/>
            <w:vAlign w:val="bottom"/>
          </w:tcPr>
          <w:p w14:paraId="6C5BD93B" w14:textId="77777777" w:rsidR="007E4997" w:rsidRDefault="008C2B44">
            <w:pPr>
              <w:spacing w:after="0" w:line="240" w:lineRule="auto"/>
              <w:rPr>
                <w:b/>
                <w:color w:val="000000"/>
              </w:rPr>
            </w:pPr>
            <w:r>
              <w:rPr>
                <w:b/>
                <w:color w:val="000000"/>
              </w:rPr>
              <w:t>Average of Price</w:t>
            </w:r>
          </w:p>
        </w:tc>
      </w:tr>
      <w:tr w:rsidR="007E4997" w14:paraId="0FA20752" w14:textId="77777777">
        <w:trPr>
          <w:trHeight w:val="271"/>
          <w:jc w:val="center"/>
        </w:trPr>
        <w:tc>
          <w:tcPr>
            <w:tcW w:w="1467" w:type="dxa"/>
            <w:tcBorders>
              <w:top w:val="nil"/>
              <w:left w:val="nil"/>
              <w:bottom w:val="nil"/>
              <w:right w:val="nil"/>
            </w:tcBorders>
            <w:shd w:val="clear" w:color="auto" w:fill="auto"/>
            <w:vAlign w:val="bottom"/>
          </w:tcPr>
          <w:p w14:paraId="78CCAC58" w14:textId="77777777" w:rsidR="007E4997" w:rsidRDefault="008C2B44">
            <w:pPr>
              <w:spacing w:after="0" w:line="240" w:lineRule="auto"/>
              <w:rPr>
                <w:b/>
                <w:color w:val="000000"/>
              </w:rPr>
            </w:pPr>
            <w:r>
              <w:rPr>
                <w:b/>
                <w:color w:val="000000"/>
              </w:rPr>
              <w:t>No</w:t>
            </w:r>
          </w:p>
        </w:tc>
        <w:tc>
          <w:tcPr>
            <w:tcW w:w="1855" w:type="dxa"/>
            <w:tcBorders>
              <w:top w:val="nil"/>
              <w:left w:val="nil"/>
              <w:bottom w:val="nil"/>
              <w:right w:val="nil"/>
            </w:tcBorders>
            <w:shd w:val="clear" w:color="auto" w:fill="auto"/>
            <w:vAlign w:val="bottom"/>
          </w:tcPr>
          <w:p w14:paraId="5EFC989D" w14:textId="77777777" w:rsidR="007E4997" w:rsidRDefault="008C2B44">
            <w:pPr>
              <w:spacing w:after="0" w:line="240" w:lineRule="auto"/>
              <w:rPr>
                <w:color w:val="000000"/>
              </w:rPr>
            </w:pPr>
            <w:r>
              <w:rPr>
                <w:color w:val="000000"/>
              </w:rPr>
              <w:t>East</w:t>
            </w:r>
          </w:p>
        </w:tc>
        <w:tc>
          <w:tcPr>
            <w:tcW w:w="1704" w:type="dxa"/>
            <w:tcBorders>
              <w:top w:val="nil"/>
              <w:left w:val="nil"/>
              <w:bottom w:val="nil"/>
              <w:right w:val="nil"/>
            </w:tcBorders>
            <w:shd w:val="clear" w:color="auto" w:fill="auto"/>
            <w:vAlign w:val="bottom"/>
          </w:tcPr>
          <w:p w14:paraId="1B77A790" w14:textId="77777777" w:rsidR="007E4997" w:rsidRDefault="008C2B44">
            <w:pPr>
              <w:spacing w:after="0" w:line="240" w:lineRule="auto"/>
              <w:rPr>
                <w:color w:val="000000"/>
              </w:rPr>
            </w:pPr>
            <w:r>
              <w:rPr>
                <w:color w:val="000000"/>
              </w:rPr>
              <w:t xml:space="preserve">                   2,002 </w:t>
            </w:r>
          </w:p>
        </w:tc>
        <w:tc>
          <w:tcPr>
            <w:tcW w:w="1769" w:type="dxa"/>
            <w:tcBorders>
              <w:top w:val="nil"/>
              <w:left w:val="nil"/>
              <w:bottom w:val="nil"/>
              <w:right w:val="nil"/>
            </w:tcBorders>
            <w:shd w:val="clear" w:color="auto" w:fill="auto"/>
            <w:vAlign w:val="bottom"/>
          </w:tcPr>
          <w:p w14:paraId="586401B3" w14:textId="77777777" w:rsidR="007E4997" w:rsidRDefault="008C2B44">
            <w:pPr>
              <w:spacing w:after="0" w:line="240" w:lineRule="auto"/>
              <w:rPr>
                <w:color w:val="000000"/>
              </w:rPr>
            </w:pPr>
            <w:r>
              <w:rPr>
                <w:color w:val="000000"/>
              </w:rPr>
              <w:t xml:space="preserve">                117,750 </w:t>
            </w:r>
          </w:p>
        </w:tc>
      </w:tr>
      <w:tr w:rsidR="007E4997" w14:paraId="4AED3CB5" w14:textId="77777777">
        <w:trPr>
          <w:trHeight w:val="271"/>
          <w:jc w:val="center"/>
        </w:trPr>
        <w:tc>
          <w:tcPr>
            <w:tcW w:w="1467" w:type="dxa"/>
            <w:tcBorders>
              <w:top w:val="nil"/>
              <w:left w:val="nil"/>
              <w:bottom w:val="nil"/>
              <w:right w:val="nil"/>
            </w:tcBorders>
            <w:shd w:val="clear" w:color="auto" w:fill="auto"/>
            <w:vAlign w:val="bottom"/>
          </w:tcPr>
          <w:p w14:paraId="55FF9FB7" w14:textId="77777777" w:rsidR="007E4997" w:rsidRDefault="007E4997">
            <w:pPr>
              <w:spacing w:after="0" w:line="240" w:lineRule="auto"/>
              <w:rPr>
                <w:color w:val="000000"/>
              </w:rPr>
            </w:pPr>
          </w:p>
        </w:tc>
        <w:tc>
          <w:tcPr>
            <w:tcW w:w="1855" w:type="dxa"/>
            <w:tcBorders>
              <w:top w:val="nil"/>
              <w:left w:val="nil"/>
              <w:bottom w:val="nil"/>
              <w:right w:val="nil"/>
            </w:tcBorders>
            <w:shd w:val="clear" w:color="auto" w:fill="auto"/>
            <w:vAlign w:val="bottom"/>
          </w:tcPr>
          <w:p w14:paraId="4A9F21E5" w14:textId="77777777" w:rsidR="007E4997" w:rsidRDefault="008C2B44">
            <w:pPr>
              <w:spacing w:after="0" w:line="240" w:lineRule="auto"/>
              <w:rPr>
                <w:color w:val="000000"/>
              </w:rPr>
            </w:pPr>
            <w:r>
              <w:rPr>
                <w:color w:val="000000"/>
              </w:rPr>
              <w:t>North</w:t>
            </w:r>
          </w:p>
        </w:tc>
        <w:tc>
          <w:tcPr>
            <w:tcW w:w="1704" w:type="dxa"/>
            <w:tcBorders>
              <w:top w:val="nil"/>
              <w:left w:val="nil"/>
              <w:bottom w:val="nil"/>
              <w:right w:val="nil"/>
            </w:tcBorders>
            <w:shd w:val="clear" w:color="auto" w:fill="auto"/>
            <w:vAlign w:val="bottom"/>
          </w:tcPr>
          <w:p w14:paraId="55E4360A" w14:textId="77777777" w:rsidR="007E4997" w:rsidRDefault="008C2B44">
            <w:pPr>
              <w:spacing w:after="0" w:line="240" w:lineRule="auto"/>
              <w:rPr>
                <w:color w:val="000000"/>
              </w:rPr>
            </w:pPr>
            <w:r>
              <w:rPr>
                <w:color w:val="000000"/>
              </w:rPr>
              <w:t xml:space="preserve">                   1,928 </w:t>
            </w:r>
          </w:p>
        </w:tc>
        <w:tc>
          <w:tcPr>
            <w:tcW w:w="1769" w:type="dxa"/>
            <w:tcBorders>
              <w:top w:val="nil"/>
              <w:left w:val="nil"/>
              <w:bottom w:val="nil"/>
              <w:right w:val="nil"/>
            </w:tcBorders>
            <w:shd w:val="clear" w:color="auto" w:fill="auto"/>
            <w:vAlign w:val="bottom"/>
          </w:tcPr>
          <w:p w14:paraId="2EFA1465" w14:textId="77777777" w:rsidR="007E4997" w:rsidRDefault="008C2B44">
            <w:pPr>
              <w:spacing w:after="0" w:line="240" w:lineRule="auto"/>
              <w:rPr>
                <w:color w:val="000000"/>
              </w:rPr>
            </w:pPr>
            <w:r>
              <w:rPr>
                <w:color w:val="000000"/>
              </w:rPr>
              <w:t xml:space="preserve">                108,584 </w:t>
            </w:r>
          </w:p>
        </w:tc>
      </w:tr>
      <w:tr w:rsidR="007E4997" w14:paraId="6E753EAE" w14:textId="77777777">
        <w:trPr>
          <w:trHeight w:val="271"/>
          <w:jc w:val="center"/>
        </w:trPr>
        <w:tc>
          <w:tcPr>
            <w:tcW w:w="1467" w:type="dxa"/>
            <w:tcBorders>
              <w:top w:val="nil"/>
              <w:left w:val="nil"/>
              <w:bottom w:val="single" w:sz="4" w:space="0" w:color="9BC2E6"/>
              <w:right w:val="nil"/>
            </w:tcBorders>
            <w:shd w:val="clear" w:color="auto" w:fill="auto"/>
            <w:vAlign w:val="bottom"/>
          </w:tcPr>
          <w:p w14:paraId="0A3ED9AD" w14:textId="77777777" w:rsidR="007E4997" w:rsidRDefault="007E4997">
            <w:pPr>
              <w:spacing w:after="0" w:line="240" w:lineRule="auto"/>
              <w:rPr>
                <w:color w:val="000000"/>
              </w:rPr>
            </w:pPr>
          </w:p>
        </w:tc>
        <w:tc>
          <w:tcPr>
            <w:tcW w:w="1855" w:type="dxa"/>
            <w:tcBorders>
              <w:top w:val="nil"/>
              <w:left w:val="nil"/>
              <w:bottom w:val="nil"/>
              <w:right w:val="nil"/>
            </w:tcBorders>
            <w:shd w:val="clear" w:color="auto" w:fill="auto"/>
            <w:vAlign w:val="bottom"/>
          </w:tcPr>
          <w:p w14:paraId="2831873C" w14:textId="77777777" w:rsidR="007E4997" w:rsidRDefault="008C2B44">
            <w:pPr>
              <w:spacing w:after="0" w:line="240" w:lineRule="auto"/>
              <w:rPr>
                <w:color w:val="000000"/>
              </w:rPr>
            </w:pPr>
            <w:r>
              <w:rPr>
                <w:color w:val="000000"/>
              </w:rPr>
              <w:t>West</w:t>
            </w:r>
          </w:p>
        </w:tc>
        <w:tc>
          <w:tcPr>
            <w:tcW w:w="1704" w:type="dxa"/>
            <w:tcBorders>
              <w:top w:val="nil"/>
              <w:left w:val="nil"/>
              <w:bottom w:val="nil"/>
              <w:right w:val="nil"/>
            </w:tcBorders>
            <w:shd w:val="clear" w:color="auto" w:fill="auto"/>
            <w:vAlign w:val="bottom"/>
          </w:tcPr>
          <w:p w14:paraId="0F1DC3EB" w14:textId="77777777" w:rsidR="007E4997" w:rsidRDefault="008C2B44">
            <w:pPr>
              <w:spacing w:after="0" w:line="240" w:lineRule="auto"/>
              <w:rPr>
                <w:color w:val="000000"/>
              </w:rPr>
            </w:pPr>
            <w:r>
              <w:rPr>
                <w:color w:val="000000"/>
              </w:rPr>
              <w:t xml:space="preserve">                   2,073 </w:t>
            </w:r>
          </w:p>
        </w:tc>
        <w:tc>
          <w:tcPr>
            <w:tcW w:w="1769" w:type="dxa"/>
            <w:tcBorders>
              <w:top w:val="nil"/>
              <w:left w:val="nil"/>
              <w:bottom w:val="nil"/>
              <w:right w:val="nil"/>
            </w:tcBorders>
            <w:shd w:val="clear" w:color="auto" w:fill="auto"/>
            <w:vAlign w:val="bottom"/>
          </w:tcPr>
          <w:p w14:paraId="03F1CDEA" w14:textId="77777777" w:rsidR="007E4997" w:rsidRDefault="008C2B44">
            <w:pPr>
              <w:spacing w:after="0" w:line="240" w:lineRule="auto"/>
              <w:rPr>
                <w:color w:val="000000"/>
              </w:rPr>
            </w:pPr>
            <w:r>
              <w:rPr>
                <w:color w:val="000000"/>
              </w:rPr>
              <w:t xml:space="preserve">                148,230 </w:t>
            </w:r>
          </w:p>
        </w:tc>
      </w:tr>
      <w:tr w:rsidR="007E4997" w14:paraId="0C51BFB7" w14:textId="77777777">
        <w:trPr>
          <w:trHeight w:val="271"/>
          <w:jc w:val="center"/>
        </w:trPr>
        <w:tc>
          <w:tcPr>
            <w:tcW w:w="1467" w:type="dxa"/>
            <w:tcBorders>
              <w:top w:val="single" w:sz="4" w:space="0" w:color="5B9BD5"/>
              <w:left w:val="nil"/>
              <w:bottom w:val="single" w:sz="4" w:space="0" w:color="5B9BD5"/>
              <w:right w:val="nil"/>
            </w:tcBorders>
            <w:shd w:val="clear" w:color="auto" w:fill="auto"/>
            <w:vAlign w:val="bottom"/>
          </w:tcPr>
          <w:p w14:paraId="22F28DA7" w14:textId="77777777" w:rsidR="007E4997" w:rsidRDefault="008C2B44">
            <w:pPr>
              <w:spacing w:after="0" w:line="240" w:lineRule="auto"/>
              <w:rPr>
                <w:b/>
                <w:color w:val="000000"/>
                <w:sz w:val="20"/>
                <w:szCs w:val="20"/>
              </w:rPr>
            </w:pPr>
            <w:proofErr w:type="gramStart"/>
            <w:r>
              <w:rPr>
                <w:b/>
                <w:color w:val="000000"/>
                <w:sz w:val="20"/>
                <w:szCs w:val="20"/>
              </w:rPr>
              <w:t>Non Brick</w:t>
            </w:r>
            <w:proofErr w:type="gramEnd"/>
            <w:r>
              <w:rPr>
                <w:b/>
                <w:color w:val="000000"/>
                <w:sz w:val="20"/>
                <w:szCs w:val="20"/>
              </w:rPr>
              <w:t xml:space="preserve"> Avg</w:t>
            </w:r>
          </w:p>
        </w:tc>
        <w:tc>
          <w:tcPr>
            <w:tcW w:w="1855" w:type="dxa"/>
            <w:tcBorders>
              <w:top w:val="single" w:sz="4" w:space="0" w:color="5B9BD5"/>
              <w:left w:val="nil"/>
              <w:bottom w:val="single" w:sz="4" w:space="0" w:color="5B9BD5"/>
              <w:right w:val="nil"/>
            </w:tcBorders>
            <w:shd w:val="clear" w:color="auto" w:fill="auto"/>
            <w:vAlign w:val="bottom"/>
          </w:tcPr>
          <w:p w14:paraId="4E30FDA2" w14:textId="77777777" w:rsidR="007E4997" w:rsidRDefault="007E4997">
            <w:pPr>
              <w:spacing w:after="0" w:line="240" w:lineRule="auto"/>
              <w:rPr>
                <w:b/>
                <w:color w:val="000000"/>
              </w:rPr>
            </w:pPr>
          </w:p>
        </w:tc>
        <w:tc>
          <w:tcPr>
            <w:tcW w:w="1704" w:type="dxa"/>
            <w:tcBorders>
              <w:top w:val="single" w:sz="4" w:space="0" w:color="5B9BD5"/>
              <w:left w:val="nil"/>
              <w:bottom w:val="single" w:sz="4" w:space="0" w:color="5B9BD5"/>
              <w:right w:val="nil"/>
            </w:tcBorders>
            <w:shd w:val="clear" w:color="auto" w:fill="auto"/>
            <w:vAlign w:val="bottom"/>
          </w:tcPr>
          <w:p w14:paraId="487F1202" w14:textId="77777777" w:rsidR="007E4997" w:rsidRDefault="008C2B44">
            <w:pPr>
              <w:spacing w:after="0" w:line="240" w:lineRule="auto"/>
              <w:rPr>
                <w:b/>
                <w:color w:val="000000"/>
              </w:rPr>
            </w:pPr>
            <w:r>
              <w:rPr>
                <w:b/>
                <w:color w:val="000000"/>
              </w:rPr>
              <w:t xml:space="preserve">                   1,989 </w:t>
            </w:r>
          </w:p>
        </w:tc>
        <w:tc>
          <w:tcPr>
            <w:tcW w:w="1769" w:type="dxa"/>
            <w:tcBorders>
              <w:top w:val="single" w:sz="4" w:space="0" w:color="5B9BD5"/>
              <w:left w:val="nil"/>
              <w:bottom w:val="single" w:sz="4" w:space="0" w:color="5B9BD5"/>
              <w:right w:val="nil"/>
            </w:tcBorders>
            <w:shd w:val="clear" w:color="auto" w:fill="auto"/>
            <w:vAlign w:val="bottom"/>
          </w:tcPr>
          <w:p w14:paraId="4DE2AE9E" w14:textId="77777777" w:rsidR="007E4997" w:rsidRDefault="008C2B44">
            <w:pPr>
              <w:spacing w:after="0" w:line="240" w:lineRule="auto"/>
              <w:rPr>
                <w:b/>
                <w:color w:val="000000"/>
              </w:rPr>
            </w:pPr>
            <w:r>
              <w:rPr>
                <w:b/>
                <w:color w:val="000000"/>
              </w:rPr>
              <w:t xml:space="preserve">                121,958 </w:t>
            </w:r>
          </w:p>
        </w:tc>
      </w:tr>
      <w:tr w:rsidR="007E4997" w14:paraId="3DA87243" w14:textId="77777777">
        <w:trPr>
          <w:trHeight w:val="271"/>
          <w:jc w:val="center"/>
        </w:trPr>
        <w:tc>
          <w:tcPr>
            <w:tcW w:w="1467" w:type="dxa"/>
            <w:tcBorders>
              <w:top w:val="nil"/>
              <w:left w:val="nil"/>
              <w:bottom w:val="nil"/>
              <w:right w:val="nil"/>
            </w:tcBorders>
            <w:shd w:val="clear" w:color="auto" w:fill="auto"/>
            <w:vAlign w:val="bottom"/>
          </w:tcPr>
          <w:p w14:paraId="37347A91" w14:textId="77777777" w:rsidR="007E4997" w:rsidRDefault="008C2B44">
            <w:pPr>
              <w:spacing w:after="0" w:line="240" w:lineRule="auto"/>
              <w:rPr>
                <w:b/>
                <w:color w:val="000000"/>
              </w:rPr>
            </w:pPr>
            <w:r>
              <w:rPr>
                <w:b/>
                <w:color w:val="000000"/>
              </w:rPr>
              <w:t>Yes</w:t>
            </w:r>
          </w:p>
        </w:tc>
        <w:tc>
          <w:tcPr>
            <w:tcW w:w="1855" w:type="dxa"/>
            <w:tcBorders>
              <w:top w:val="nil"/>
              <w:left w:val="nil"/>
              <w:bottom w:val="nil"/>
              <w:right w:val="nil"/>
            </w:tcBorders>
            <w:shd w:val="clear" w:color="auto" w:fill="auto"/>
            <w:vAlign w:val="bottom"/>
          </w:tcPr>
          <w:p w14:paraId="734ED128" w14:textId="77777777" w:rsidR="007E4997" w:rsidRDefault="008C2B44">
            <w:pPr>
              <w:spacing w:after="0" w:line="240" w:lineRule="auto"/>
              <w:rPr>
                <w:color w:val="000000"/>
              </w:rPr>
            </w:pPr>
            <w:r>
              <w:rPr>
                <w:color w:val="000000"/>
              </w:rPr>
              <w:t>East</w:t>
            </w:r>
          </w:p>
        </w:tc>
        <w:tc>
          <w:tcPr>
            <w:tcW w:w="1704" w:type="dxa"/>
            <w:tcBorders>
              <w:top w:val="nil"/>
              <w:left w:val="nil"/>
              <w:bottom w:val="nil"/>
              <w:right w:val="nil"/>
            </w:tcBorders>
            <w:shd w:val="clear" w:color="auto" w:fill="auto"/>
            <w:vAlign w:val="bottom"/>
          </w:tcPr>
          <w:p w14:paraId="31BAEC7C" w14:textId="77777777" w:rsidR="007E4997" w:rsidRDefault="008C2B44">
            <w:pPr>
              <w:spacing w:after="0" w:line="240" w:lineRule="auto"/>
              <w:rPr>
                <w:color w:val="000000"/>
              </w:rPr>
            </w:pPr>
            <w:r>
              <w:rPr>
                <w:color w:val="000000"/>
              </w:rPr>
              <w:t xml:space="preserve">                   2,031 </w:t>
            </w:r>
          </w:p>
        </w:tc>
        <w:tc>
          <w:tcPr>
            <w:tcW w:w="1769" w:type="dxa"/>
            <w:tcBorders>
              <w:top w:val="nil"/>
              <w:left w:val="nil"/>
              <w:bottom w:val="nil"/>
              <w:right w:val="nil"/>
            </w:tcBorders>
            <w:shd w:val="clear" w:color="auto" w:fill="auto"/>
            <w:vAlign w:val="bottom"/>
          </w:tcPr>
          <w:p w14:paraId="6B0F1BC0" w14:textId="77777777" w:rsidR="007E4997" w:rsidRDefault="008C2B44">
            <w:pPr>
              <w:spacing w:after="0" w:line="240" w:lineRule="auto"/>
              <w:rPr>
                <w:color w:val="000000"/>
              </w:rPr>
            </w:pPr>
            <w:r>
              <w:rPr>
                <w:color w:val="000000"/>
              </w:rPr>
              <w:t xml:space="preserve">                135,468 </w:t>
            </w:r>
          </w:p>
        </w:tc>
      </w:tr>
      <w:tr w:rsidR="007E4997" w14:paraId="04288197" w14:textId="77777777">
        <w:trPr>
          <w:trHeight w:val="271"/>
          <w:jc w:val="center"/>
        </w:trPr>
        <w:tc>
          <w:tcPr>
            <w:tcW w:w="1467" w:type="dxa"/>
            <w:tcBorders>
              <w:top w:val="nil"/>
              <w:left w:val="nil"/>
              <w:bottom w:val="nil"/>
              <w:right w:val="nil"/>
            </w:tcBorders>
            <w:shd w:val="clear" w:color="auto" w:fill="auto"/>
            <w:vAlign w:val="bottom"/>
          </w:tcPr>
          <w:p w14:paraId="02344232" w14:textId="77777777" w:rsidR="007E4997" w:rsidRDefault="007E4997">
            <w:pPr>
              <w:spacing w:after="0" w:line="240" w:lineRule="auto"/>
              <w:rPr>
                <w:color w:val="000000"/>
              </w:rPr>
            </w:pPr>
          </w:p>
        </w:tc>
        <w:tc>
          <w:tcPr>
            <w:tcW w:w="1855" w:type="dxa"/>
            <w:tcBorders>
              <w:top w:val="nil"/>
              <w:left w:val="nil"/>
              <w:bottom w:val="nil"/>
              <w:right w:val="nil"/>
            </w:tcBorders>
            <w:shd w:val="clear" w:color="auto" w:fill="auto"/>
            <w:vAlign w:val="bottom"/>
          </w:tcPr>
          <w:p w14:paraId="29DC2114" w14:textId="77777777" w:rsidR="007E4997" w:rsidRDefault="008C2B44">
            <w:pPr>
              <w:spacing w:after="0" w:line="240" w:lineRule="auto"/>
              <w:rPr>
                <w:color w:val="000000"/>
              </w:rPr>
            </w:pPr>
            <w:r>
              <w:rPr>
                <w:color w:val="000000"/>
              </w:rPr>
              <w:t>North</w:t>
            </w:r>
          </w:p>
        </w:tc>
        <w:tc>
          <w:tcPr>
            <w:tcW w:w="1704" w:type="dxa"/>
            <w:tcBorders>
              <w:top w:val="nil"/>
              <w:left w:val="nil"/>
              <w:bottom w:val="nil"/>
              <w:right w:val="nil"/>
            </w:tcBorders>
            <w:shd w:val="clear" w:color="auto" w:fill="auto"/>
            <w:vAlign w:val="bottom"/>
          </w:tcPr>
          <w:p w14:paraId="7CEDB67C" w14:textId="77777777" w:rsidR="007E4997" w:rsidRDefault="008C2B44">
            <w:pPr>
              <w:spacing w:after="0" w:line="240" w:lineRule="auto"/>
              <w:rPr>
                <w:color w:val="000000"/>
              </w:rPr>
            </w:pPr>
            <w:r>
              <w:rPr>
                <w:color w:val="000000"/>
              </w:rPr>
              <w:t xml:space="preserve">                   1,857 </w:t>
            </w:r>
          </w:p>
        </w:tc>
        <w:tc>
          <w:tcPr>
            <w:tcW w:w="1769" w:type="dxa"/>
            <w:tcBorders>
              <w:top w:val="nil"/>
              <w:left w:val="nil"/>
              <w:bottom w:val="nil"/>
              <w:right w:val="nil"/>
            </w:tcBorders>
            <w:shd w:val="clear" w:color="auto" w:fill="auto"/>
            <w:vAlign w:val="bottom"/>
          </w:tcPr>
          <w:p w14:paraId="467EA90F" w14:textId="77777777" w:rsidR="007E4997" w:rsidRDefault="008C2B44">
            <w:pPr>
              <w:spacing w:after="0" w:line="240" w:lineRule="auto"/>
              <w:rPr>
                <w:color w:val="000000"/>
              </w:rPr>
            </w:pPr>
            <w:r>
              <w:rPr>
                <w:color w:val="000000"/>
              </w:rPr>
              <w:t xml:space="preserve">                118,457 </w:t>
            </w:r>
          </w:p>
        </w:tc>
      </w:tr>
      <w:tr w:rsidR="007E4997" w14:paraId="0576B766" w14:textId="77777777">
        <w:trPr>
          <w:trHeight w:val="271"/>
          <w:jc w:val="center"/>
        </w:trPr>
        <w:tc>
          <w:tcPr>
            <w:tcW w:w="1467" w:type="dxa"/>
            <w:tcBorders>
              <w:top w:val="nil"/>
              <w:left w:val="nil"/>
              <w:bottom w:val="single" w:sz="4" w:space="0" w:color="9BC2E6"/>
              <w:right w:val="nil"/>
            </w:tcBorders>
            <w:shd w:val="clear" w:color="auto" w:fill="auto"/>
            <w:vAlign w:val="bottom"/>
          </w:tcPr>
          <w:p w14:paraId="210028DE" w14:textId="77777777" w:rsidR="007E4997" w:rsidRDefault="007E4997">
            <w:pPr>
              <w:spacing w:after="0" w:line="240" w:lineRule="auto"/>
              <w:rPr>
                <w:color w:val="000000"/>
              </w:rPr>
            </w:pPr>
          </w:p>
        </w:tc>
        <w:tc>
          <w:tcPr>
            <w:tcW w:w="1855" w:type="dxa"/>
            <w:tcBorders>
              <w:top w:val="nil"/>
              <w:left w:val="nil"/>
              <w:bottom w:val="nil"/>
              <w:right w:val="nil"/>
            </w:tcBorders>
            <w:shd w:val="clear" w:color="auto" w:fill="auto"/>
            <w:vAlign w:val="bottom"/>
          </w:tcPr>
          <w:p w14:paraId="1E2C8A2B" w14:textId="77777777" w:rsidR="007E4997" w:rsidRDefault="008C2B44">
            <w:pPr>
              <w:spacing w:after="0" w:line="240" w:lineRule="auto"/>
              <w:rPr>
                <w:color w:val="000000"/>
              </w:rPr>
            </w:pPr>
            <w:r>
              <w:rPr>
                <w:color w:val="000000"/>
              </w:rPr>
              <w:t>West</w:t>
            </w:r>
          </w:p>
        </w:tc>
        <w:tc>
          <w:tcPr>
            <w:tcW w:w="1704" w:type="dxa"/>
            <w:tcBorders>
              <w:top w:val="nil"/>
              <w:left w:val="nil"/>
              <w:bottom w:val="nil"/>
              <w:right w:val="nil"/>
            </w:tcBorders>
            <w:shd w:val="clear" w:color="auto" w:fill="auto"/>
            <w:vAlign w:val="bottom"/>
          </w:tcPr>
          <w:p w14:paraId="2DBD4BF8" w14:textId="77777777" w:rsidR="007E4997" w:rsidRDefault="008C2B44">
            <w:pPr>
              <w:spacing w:after="0" w:line="240" w:lineRule="auto"/>
              <w:rPr>
                <w:color w:val="000000"/>
              </w:rPr>
            </w:pPr>
            <w:r>
              <w:rPr>
                <w:color w:val="000000"/>
              </w:rPr>
              <w:t xml:space="preserve">                   2,091 </w:t>
            </w:r>
          </w:p>
        </w:tc>
        <w:tc>
          <w:tcPr>
            <w:tcW w:w="1769" w:type="dxa"/>
            <w:tcBorders>
              <w:top w:val="nil"/>
              <w:left w:val="nil"/>
              <w:bottom w:val="nil"/>
              <w:right w:val="nil"/>
            </w:tcBorders>
            <w:shd w:val="clear" w:color="auto" w:fill="auto"/>
            <w:vAlign w:val="bottom"/>
          </w:tcPr>
          <w:p w14:paraId="52183359" w14:textId="77777777" w:rsidR="007E4997" w:rsidRDefault="008C2B44">
            <w:pPr>
              <w:spacing w:after="0" w:line="240" w:lineRule="auto"/>
              <w:rPr>
                <w:color w:val="000000"/>
              </w:rPr>
            </w:pPr>
            <w:r>
              <w:rPr>
                <w:color w:val="000000"/>
              </w:rPr>
              <w:t xml:space="preserve">                175,200 </w:t>
            </w:r>
          </w:p>
        </w:tc>
      </w:tr>
      <w:tr w:rsidR="007E4997" w14:paraId="1FE2A176" w14:textId="77777777">
        <w:trPr>
          <w:trHeight w:val="271"/>
          <w:jc w:val="center"/>
        </w:trPr>
        <w:tc>
          <w:tcPr>
            <w:tcW w:w="1467" w:type="dxa"/>
            <w:tcBorders>
              <w:top w:val="single" w:sz="4" w:space="0" w:color="5B9BD5"/>
              <w:left w:val="nil"/>
              <w:bottom w:val="single" w:sz="4" w:space="0" w:color="5B9BD5"/>
              <w:right w:val="nil"/>
            </w:tcBorders>
            <w:shd w:val="clear" w:color="auto" w:fill="auto"/>
            <w:vAlign w:val="bottom"/>
          </w:tcPr>
          <w:p w14:paraId="36668445" w14:textId="77777777" w:rsidR="007E4997" w:rsidRDefault="008C2B44">
            <w:pPr>
              <w:spacing w:after="0" w:line="240" w:lineRule="auto"/>
              <w:rPr>
                <w:b/>
                <w:color w:val="000000"/>
              </w:rPr>
            </w:pPr>
            <w:r>
              <w:rPr>
                <w:b/>
                <w:color w:val="000000"/>
                <w:sz w:val="20"/>
                <w:szCs w:val="20"/>
              </w:rPr>
              <w:t>Brick Avg</w:t>
            </w:r>
          </w:p>
        </w:tc>
        <w:tc>
          <w:tcPr>
            <w:tcW w:w="1855" w:type="dxa"/>
            <w:tcBorders>
              <w:top w:val="single" w:sz="4" w:space="0" w:color="5B9BD5"/>
              <w:left w:val="nil"/>
              <w:bottom w:val="single" w:sz="4" w:space="0" w:color="5B9BD5"/>
              <w:right w:val="nil"/>
            </w:tcBorders>
            <w:shd w:val="clear" w:color="auto" w:fill="auto"/>
            <w:vAlign w:val="bottom"/>
          </w:tcPr>
          <w:p w14:paraId="15ED1818" w14:textId="77777777" w:rsidR="007E4997" w:rsidRDefault="007E4997">
            <w:pPr>
              <w:spacing w:after="0" w:line="240" w:lineRule="auto"/>
              <w:rPr>
                <w:b/>
                <w:color w:val="000000"/>
              </w:rPr>
            </w:pPr>
          </w:p>
        </w:tc>
        <w:tc>
          <w:tcPr>
            <w:tcW w:w="1704" w:type="dxa"/>
            <w:tcBorders>
              <w:top w:val="single" w:sz="4" w:space="0" w:color="5B9BD5"/>
              <w:left w:val="nil"/>
              <w:bottom w:val="single" w:sz="4" w:space="0" w:color="5B9BD5"/>
              <w:right w:val="nil"/>
            </w:tcBorders>
            <w:shd w:val="clear" w:color="auto" w:fill="auto"/>
            <w:vAlign w:val="bottom"/>
          </w:tcPr>
          <w:p w14:paraId="43C22011" w14:textId="77777777" w:rsidR="007E4997" w:rsidRDefault="008C2B44">
            <w:pPr>
              <w:spacing w:after="0" w:line="240" w:lineRule="auto"/>
              <w:rPr>
                <w:b/>
                <w:color w:val="000000"/>
              </w:rPr>
            </w:pPr>
            <w:r>
              <w:rPr>
                <w:b/>
                <w:color w:val="000000"/>
              </w:rPr>
              <w:t xml:space="preserve">                   2,025 </w:t>
            </w:r>
          </w:p>
        </w:tc>
        <w:tc>
          <w:tcPr>
            <w:tcW w:w="1769" w:type="dxa"/>
            <w:tcBorders>
              <w:top w:val="single" w:sz="4" w:space="0" w:color="5B9BD5"/>
              <w:left w:val="nil"/>
              <w:bottom w:val="single" w:sz="4" w:space="0" w:color="5B9BD5"/>
              <w:right w:val="nil"/>
            </w:tcBorders>
            <w:shd w:val="clear" w:color="auto" w:fill="auto"/>
            <w:vAlign w:val="bottom"/>
          </w:tcPr>
          <w:p w14:paraId="095513BB" w14:textId="77777777" w:rsidR="007E4997" w:rsidRDefault="008C2B44">
            <w:pPr>
              <w:spacing w:after="0" w:line="240" w:lineRule="auto"/>
              <w:rPr>
                <w:b/>
                <w:color w:val="000000"/>
              </w:rPr>
            </w:pPr>
            <w:r>
              <w:rPr>
                <w:b/>
                <w:color w:val="000000"/>
              </w:rPr>
              <w:t xml:space="preserve">                147,769 </w:t>
            </w:r>
          </w:p>
        </w:tc>
      </w:tr>
      <w:tr w:rsidR="007E4997" w14:paraId="75F2FAA4" w14:textId="77777777">
        <w:trPr>
          <w:trHeight w:val="271"/>
          <w:jc w:val="center"/>
        </w:trPr>
        <w:tc>
          <w:tcPr>
            <w:tcW w:w="1467" w:type="dxa"/>
            <w:tcBorders>
              <w:top w:val="single" w:sz="4" w:space="0" w:color="9BC2E6"/>
              <w:left w:val="nil"/>
              <w:bottom w:val="nil"/>
              <w:right w:val="nil"/>
            </w:tcBorders>
            <w:shd w:val="clear" w:color="auto" w:fill="DDEBF7"/>
            <w:vAlign w:val="bottom"/>
          </w:tcPr>
          <w:p w14:paraId="5458EC01" w14:textId="77777777" w:rsidR="007E4997" w:rsidRDefault="008C2B44">
            <w:pPr>
              <w:spacing w:after="0" w:line="240" w:lineRule="auto"/>
              <w:rPr>
                <w:b/>
                <w:color w:val="000000"/>
              </w:rPr>
            </w:pPr>
            <w:r>
              <w:rPr>
                <w:b/>
                <w:color w:val="000000"/>
              </w:rPr>
              <w:t>Average All</w:t>
            </w:r>
          </w:p>
        </w:tc>
        <w:tc>
          <w:tcPr>
            <w:tcW w:w="1855" w:type="dxa"/>
            <w:tcBorders>
              <w:top w:val="single" w:sz="4" w:space="0" w:color="9BC2E6"/>
              <w:left w:val="nil"/>
              <w:bottom w:val="nil"/>
              <w:right w:val="nil"/>
            </w:tcBorders>
            <w:shd w:val="clear" w:color="auto" w:fill="DDEBF7"/>
            <w:vAlign w:val="bottom"/>
          </w:tcPr>
          <w:p w14:paraId="7262CEC8" w14:textId="77777777" w:rsidR="007E4997" w:rsidRDefault="007E4997">
            <w:pPr>
              <w:spacing w:after="0" w:line="240" w:lineRule="auto"/>
              <w:rPr>
                <w:b/>
                <w:color w:val="000000"/>
              </w:rPr>
            </w:pPr>
          </w:p>
        </w:tc>
        <w:tc>
          <w:tcPr>
            <w:tcW w:w="1704" w:type="dxa"/>
            <w:tcBorders>
              <w:top w:val="single" w:sz="4" w:space="0" w:color="9BC2E6"/>
              <w:left w:val="nil"/>
              <w:bottom w:val="nil"/>
              <w:right w:val="nil"/>
            </w:tcBorders>
            <w:shd w:val="clear" w:color="auto" w:fill="DDEBF7"/>
            <w:vAlign w:val="bottom"/>
          </w:tcPr>
          <w:p w14:paraId="53A3C87D" w14:textId="77777777" w:rsidR="007E4997" w:rsidRDefault="008C2B44">
            <w:pPr>
              <w:spacing w:after="0" w:line="240" w:lineRule="auto"/>
              <w:rPr>
                <w:b/>
                <w:color w:val="000000"/>
              </w:rPr>
            </w:pPr>
            <w:r>
              <w:rPr>
                <w:b/>
                <w:color w:val="000000"/>
              </w:rPr>
              <w:t xml:space="preserve">                   2,001 </w:t>
            </w:r>
          </w:p>
        </w:tc>
        <w:tc>
          <w:tcPr>
            <w:tcW w:w="1769" w:type="dxa"/>
            <w:tcBorders>
              <w:top w:val="single" w:sz="4" w:space="0" w:color="9BC2E6"/>
              <w:left w:val="nil"/>
              <w:bottom w:val="nil"/>
              <w:right w:val="nil"/>
            </w:tcBorders>
            <w:shd w:val="clear" w:color="auto" w:fill="DDEBF7"/>
            <w:vAlign w:val="bottom"/>
          </w:tcPr>
          <w:p w14:paraId="4D4F4ABC" w14:textId="77777777" w:rsidR="007E4997" w:rsidRDefault="008C2B44">
            <w:pPr>
              <w:spacing w:after="0" w:line="240" w:lineRule="auto"/>
              <w:rPr>
                <w:b/>
                <w:color w:val="000000"/>
              </w:rPr>
            </w:pPr>
            <w:r>
              <w:rPr>
                <w:b/>
                <w:color w:val="000000"/>
              </w:rPr>
              <w:t xml:space="preserve">                130,427 </w:t>
            </w:r>
          </w:p>
        </w:tc>
      </w:tr>
    </w:tbl>
    <w:p w14:paraId="05865872" w14:textId="77777777" w:rsidR="007E4997" w:rsidRDefault="007E4997">
      <w:pPr>
        <w:rPr>
          <w:b/>
          <w:sz w:val="24"/>
          <w:szCs w:val="24"/>
        </w:rPr>
      </w:pPr>
    </w:p>
    <w:p w14:paraId="0DFBD26D" w14:textId="77777777" w:rsidR="007E4997" w:rsidRDefault="007E4997">
      <w:pPr>
        <w:rPr>
          <w:b/>
          <w:sz w:val="24"/>
          <w:szCs w:val="24"/>
        </w:rPr>
      </w:pPr>
    </w:p>
    <w:p w14:paraId="10C45E3E" w14:textId="77777777" w:rsidR="007E4997" w:rsidRDefault="008C2B44">
      <w:pPr>
        <w:rPr>
          <w:sz w:val="24"/>
          <w:szCs w:val="24"/>
        </w:rPr>
      </w:pPr>
      <w:r>
        <w:rPr>
          <w:b/>
          <w:sz w:val="24"/>
          <w:szCs w:val="24"/>
        </w:rPr>
        <w:t>Description of Pivot Table #2:</w:t>
      </w:r>
      <w:r>
        <w:rPr>
          <w:sz w:val="24"/>
          <w:szCs w:val="24"/>
        </w:rPr>
        <w:t xml:space="preserve"> This pivot table provides more granular data concerning the location of each home type. In pivot table 1 we looked at averages of square footage and average price in totality, whereas here we were looking to understand if there was a difference in price b</w:t>
      </w:r>
      <w:r>
        <w:rPr>
          <w:sz w:val="24"/>
          <w:szCs w:val="24"/>
        </w:rPr>
        <w:t>y neighborhood.</w:t>
      </w:r>
      <w:r>
        <w:rPr>
          <w:color w:val="000000"/>
        </w:rPr>
        <w:t xml:space="preserve">  </w:t>
      </w:r>
      <w:proofErr w:type="gramStart"/>
      <w:r>
        <w:rPr>
          <w:color w:val="000000"/>
          <w:sz w:val="24"/>
          <w:szCs w:val="24"/>
        </w:rPr>
        <w:t>Similar to</w:t>
      </w:r>
      <w:proofErr w:type="gramEnd"/>
      <w:r>
        <w:rPr>
          <w:color w:val="000000"/>
          <w:sz w:val="24"/>
          <w:szCs w:val="24"/>
        </w:rPr>
        <w:t xml:space="preserve"> the results </w:t>
      </w:r>
      <w:r>
        <w:rPr>
          <w:sz w:val="24"/>
          <w:szCs w:val="24"/>
        </w:rPr>
        <w:t>we see in our first pivot table, average square footage does not vary greatly by construction type or neighborhood. It can also be noted once again that on average, brick homes are more expensive than non-brick homes regardless of neighborhood. In the same</w:t>
      </w:r>
      <w:r>
        <w:rPr>
          <w:sz w:val="24"/>
          <w:szCs w:val="24"/>
        </w:rPr>
        <w:t xml:space="preserve"> neighborhood, brick homes sold for:</w:t>
      </w:r>
    </w:p>
    <w:p w14:paraId="58601E4E" w14:textId="77777777" w:rsidR="007E4997" w:rsidRDefault="008C2B44">
      <w:pPr>
        <w:numPr>
          <w:ilvl w:val="0"/>
          <w:numId w:val="3"/>
        </w:numPr>
        <w:spacing w:after="0"/>
        <w:rPr>
          <w:sz w:val="24"/>
          <w:szCs w:val="24"/>
        </w:rPr>
      </w:pPr>
      <w:r>
        <w:rPr>
          <w:sz w:val="24"/>
          <w:szCs w:val="24"/>
        </w:rPr>
        <w:t xml:space="preserve">East: 13% greater than non-brick </w:t>
      </w:r>
    </w:p>
    <w:p w14:paraId="7A776F7F" w14:textId="77777777" w:rsidR="007E4997" w:rsidRDefault="008C2B44">
      <w:pPr>
        <w:numPr>
          <w:ilvl w:val="0"/>
          <w:numId w:val="3"/>
        </w:numPr>
        <w:spacing w:after="0"/>
        <w:rPr>
          <w:sz w:val="24"/>
          <w:szCs w:val="24"/>
        </w:rPr>
      </w:pPr>
      <w:r>
        <w:rPr>
          <w:sz w:val="24"/>
          <w:szCs w:val="24"/>
        </w:rPr>
        <w:t xml:space="preserve">North: 8.3% greater </w:t>
      </w:r>
    </w:p>
    <w:p w14:paraId="52FD612F" w14:textId="77777777" w:rsidR="007E4997" w:rsidRDefault="008C2B44">
      <w:pPr>
        <w:numPr>
          <w:ilvl w:val="0"/>
          <w:numId w:val="3"/>
        </w:numPr>
        <w:rPr>
          <w:sz w:val="24"/>
          <w:szCs w:val="24"/>
        </w:rPr>
      </w:pPr>
      <w:r>
        <w:rPr>
          <w:sz w:val="24"/>
          <w:szCs w:val="24"/>
        </w:rPr>
        <w:t>West: 15.4% greater</w:t>
      </w:r>
    </w:p>
    <w:p w14:paraId="5D862043" w14:textId="77777777" w:rsidR="007E4997" w:rsidRDefault="008C2B44">
      <w:pPr>
        <w:rPr>
          <w:sz w:val="24"/>
          <w:szCs w:val="24"/>
        </w:rPr>
      </w:pPr>
      <w:r>
        <w:rPr>
          <w:sz w:val="24"/>
          <w:szCs w:val="24"/>
        </w:rPr>
        <w:t>However, we can also ascertain that homes in the West neighborhood are selling at a premium. Average home prices for brick construction in the W</w:t>
      </w:r>
      <w:r>
        <w:rPr>
          <w:sz w:val="24"/>
          <w:szCs w:val="24"/>
        </w:rPr>
        <w:t>est neighborhood were:</w:t>
      </w:r>
    </w:p>
    <w:p w14:paraId="7D90A285" w14:textId="77777777" w:rsidR="007E4997" w:rsidRDefault="008C2B44">
      <w:pPr>
        <w:numPr>
          <w:ilvl w:val="0"/>
          <w:numId w:val="1"/>
        </w:numPr>
        <w:spacing w:after="0"/>
        <w:rPr>
          <w:sz w:val="24"/>
          <w:szCs w:val="24"/>
        </w:rPr>
      </w:pPr>
      <w:r>
        <w:rPr>
          <w:sz w:val="24"/>
          <w:szCs w:val="24"/>
        </w:rPr>
        <w:t>22.7% greater than in the East</w:t>
      </w:r>
    </w:p>
    <w:p w14:paraId="30B7D602" w14:textId="77777777" w:rsidR="007E4997" w:rsidRDefault="008C2B44">
      <w:pPr>
        <w:numPr>
          <w:ilvl w:val="0"/>
          <w:numId w:val="1"/>
        </w:numPr>
        <w:rPr>
          <w:sz w:val="24"/>
          <w:szCs w:val="24"/>
        </w:rPr>
      </w:pPr>
      <w:r>
        <w:rPr>
          <w:sz w:val="24"/>
          <w:szCs w:val="24"/>
        </w:rPr>
        <w:t>32.4% greater than in the North</w:t>
      </w:r>
    </w:p>
    <w:p w14:paraId="1799D0CA" w14:textId="77777777" w:rsidR="007E4997" w:rsidRDefault="008C2B44">
      <w:pPr>
        <w:rPr>
          <w:sz w:val="24"/>
          <w:szCs w:val="24"/>
        </w:rPr>
      </w:pPr>
      <w:r>
        <w:rPr>
          <w:sz w:val="24"/>
          <w:szCs w:val="24"/>
        </w:rPr>
        <w:t>For non-brick construction, average home prices in the West neighborhood were:</w:t>
      </w:r>
    </w:p>
    <w:p w14:paraId="02EB827E" w14:textId="77777777" w:rsidR="007E4997" w:rsidRDefault="008C2B44">
      <w:pPr>
        <w:numPr>
          <w:ilvl w:val="0"/>
          <w:numId w:val="2"/>
        </w:numPr>
        <w:spacing w:after="0"/>
        <w:rPr>
          <w:sz w:val="24"/>
          <w:szCs w:val="24"/>
        </w:rPr>
      </w:pPr>
      <w:r>
        <w:rPr>
          <w:sz w:val="24"/>
          <w:szCs w:val="24"/>
        </w:rPr>
        <w:t>20.1% greater than in the East</w:t>
      </w:r>
    </w:p>
    <w:p w14:paraId="1FF9DC97" w14:textId="77777777" w:rsidR="007E4997" w:rsidRDefault="008C2B44">
      <w:pPr>
        <w:numPr>
          <w:ilvl w:val="0"/>
          <w:numId w:val="2"/>
        </w:numPr>
        <w:rPr>
          <w:sz w:val="24"/>
          <w:szCs w:val="24"/>
        </w:rPr>
      </w:pPr>
      <w:r>
        <w:rPr>
          <w:sz w:val="24"/>
          <w:szCs w:val="24"/>
        </w:rPr>
        <w:t>26.7% greater than in the North</w:t>
      </w:r>
    </w:p>
    <w:p w14:paraId="4F9044E7" w14:textId="77777777" w:rsidR="007E4997" w:rsidRDefault="008C2B44">
      <w:pPr>
        <w:rPr>
          <w:sz w:val="24"/>
          <w:szCs w:val="24"/>
        </w:rPr>
      </w:pPr>
      <w:r>
        <w:rPr>
          <w:sz w:val="24"/>
          <w:szCs w:val="24"/>
        </w:rPr>
        <w:lastRenderedPageBreak/>
        <w:t xml:space="preserve">Thus, we can conclude that the West neighborhood is more desirable than either the East or North neighborhoods, and regardless of neighborhood brick construction was </w:t>
      </w:r>
      <w:proofErr w:type="gramStart"/>
      <w:r>
        <w:rPr>
          <w:sz w:val="24"/>
          <w:szCs w:val="24"/>
        </w:rPr>
        <w:t>a more preferable</w:t>
      </w:r>
      <w:proofErr w:type="gramEnd"/>
      <w:r>
        <w:rPr>
          <w:sz w:val="24"/>
          <w:szCs w:val="24"/>
        </w:rPr>
        <w:t xml:space="preserve"> home type. </w:t>
      </w:r>
    </w:p>
    <w:p w14:paraId="6CB03DAA" w14:textId="77777777" w:rsidR="007E4997" w:rsidRDefault="008C2B44">
      <w:pPr>
        <w:rPr>
          <w:sz w:val="24"/>
          <w:szCs w:val="24"/>
        </w:rPr>
      </w:pPr>
      <w:r>
        <w:rPr>
          <w:sz w:val="24"/>
          <w:szCs w:val="24"/>
        </w:rPr>
        <w:t>To aid in data visualization</w:t>
      </w:r>
      <w:r>
        <w:rPr>
          <w:sz w:val="24"/>
          <w:szCs w:val="24"/>
        </w:rPr>
        <w:t xml:space="preserve"> and communication, the team created pivot charts which illustrate the above conclusions</w:t>
      </w:r>
    </w:p>
    <w:p w14:paraId="403A843D" w14:textId="77777777" w:rsidR="007E4997" w:rsidRDefault="008C2B44">
      <w:pPr>
        <w:jc w:val="center"/>
        <w:rPr>
          <w:sz w:val="24"/>
          <w:szCs w:val="24"/>
        </w:rPr>
      </w:pPr>
      <w:r>
        <w:rPr>
          <w:noProof/>
          <w:sz w:val="24"/>
          <w:szCs w:val="24"/>
        </w:rPr>
        <w:drawing>
          <wp:inline distT="114300" distB="114300" distL="114300" distR="114300" wp14:anchorId="2C6B635B" wp14:editId="2ECF5AB9">
            <wp:extent cx="4062413" cy="2159223"/>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62413" cy="2159223"/>
                    </a:xfrm>
                    <a:prstGeom prst="rect">
                      <a:avLst/>
                    </a:prstGeom>
                    <a:ln/>
                  </pic:spPr>
                </pic:pic>
              </a:graphicData>
            </a:graphic>
          </wp:inline>
        </w:drawing>
      </w:r>
    </w:p>
    <w:p w14:paraId="1FEFFE24" w14:textId="77777777" w:rsidR="007E4997" w:rsidRDefault="008C2B44">
      <w:pPr>
        <w:jc w:val="center"/>
        <w:rPr>
          <w:sz w:val="24"/>
          <w:szCs w:val="24"/>
        </w:rPr>
      </w:pPr>
      <w:r>
        <w:rPr>
          <w:noProof/>
          <w:sz w:val="24"/>
          <w:szCs w:val="24"/>
        </w:rPr>
        <w:drawing>
          <wp:inline distT="114300" distB="114300" distL="114300" distR="114300" wp14:anchorId="63D83BAE" wp14:editId="79765F32">
            <wp:extent cx="4057491" cy="2033588"/>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057491" cy="2033588"/>
                    </a:xfrm>
                    <a:prstGeom prst="rect">
                      <a:avLst/>
                    </a:prstGeom>
                    <a:ln/>
                  </pic:spPr>
                </pic:pic>
              </a:graphicData>
            </a:graphic>
          </wp:inline>
        </w:drawing>
      </w:r>
    </w:p>
    <w:p w14:paraId="54F566B8" w14:textId="77777777" w:rsidR="007E4997" w:rsidRDefault="008C2B44">
      <w:pPr>
        <w:rPr>
          <w:sz w:val="24"/>
          <w:szCs w:val="24"/>
        </w:rPr>
      </w:pPr>
      <w:r>
        <w:rPr>
          <w:sz w:val="24"/>
          <w:szCs w:val="24"/>
        </w:rPr>
        <w:t>The above visualizations are based on pivot table 1, depicting construction type on the y axis, and square footage and average price on the x axis. Note that regar</w:t>
      </w:r>
      <w:r>
        <w:rPr>
          <w:sz w:val="24"/>
          <w:szCs w:val="24"/>
        </w:rPr>
        <w:t xml:space="preserve">dless of neighborhood, average square footage by construction type does not vary greatly by home type, with brick homes being on average 1.8% larger, whereas price does vary significantly. </w:t>
      </w:r>
    </w:p>
    <w:p w14:paraId="65729129" w14:textId="77777777" w:rsidR="007E4997" w:rsidRDefault="008C2B44">
      <w:pPr>
        <w:jc w:val="center"/>
        <w:rPr>
          <w:sz w:val="24"/>
          <w:szCs w:val="24"/>
        </w:rPr>
      </w:pPr>
      <w:r>
        <w:rPr>
          <w:noProof/>
          <w:sz w:val="24"/>
          <w:szCs w:val="24"/>
        </w:rPr>
        <w:lastRenderedPageBreak/>
        <w:drawing>
          <wp:inline distT="114300" distB="114300" distL="114300" distR="114300" wp14:anchorId="4D2EEAF6" wp14:editId="1BF8CB7E">
            <wp:extent cx="4139360" cy="2681288"/>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39360" cy="2681288"/>
                    </a:xfrm>
                    <a:prstGeom prst="rect">
                      <a:avLst/>
                    </a:prstGeom>
                    <a:ln/>
                  </pic:spPr>
                </pic:pic>
              </a:graphicData>
            </a:graphic>
          </wp:inline>
        </w:drawing>
      </w:r>
    </w:p>
    <w:p w14:paraId="7737B672" w14:textId="77777777" w:rsidR="007E4997" w:rsidRDefault="008C2B44">
      <w:pPr>
        <w:jc w:val="center"/>
        <w:rPr>
          <w:sz w:val="24"/>
          <w:szCs w:val="24"/>
        </w:rPr>
      </w:pPr>
      <w:r>
        <w:rPr>
          <w:noProof/>
          <w:sz w:val="24"/>
          <w:szCs w:val="24"/>
        </w:rPr>
        <w:drawing>
          <wp:inline distT="114300" distB="114300" distL="114300" distR="114300" wp14:anchorId="32A3585F" wp14:editId="3F8205CF">
            <wp:extent cx="4141021" cy="251936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41021" cy="2519363"/>
                    </a:xfrm>
                    <a:prstGeom prst="rect">
                      <a:avLst/>
                    </a:prstGeom>
                    <a:ln/>
                  </pic:spPr>
                </pic:pic>
              </a:graphicData>
            </a:graphic>
          </wp:inline>
        </w:drawing>
      </w:r>
    </w:p>
    <w:p w14:paraId="2F5F2A7A" w14:textId="77777777" w:rsidR="007E4997" w:rsidRDefault="008C2B44">
      <w:pPr>
        <w:rPr>
          <w:sz w:val="24"/>
          <w:szCs w:val="24"/>
        </w:rPr>
      </w:pPr>
      <w:r>
        <w:rPr>
          <w:sz w:val="24"/>
          <w:szCs w:val="24"/>
        </w:rPr>
        <w:t>The above visualizations are based on pivot table 2, square fo</w:t>
      </w:r>
      <w:r>
        <w:rPr>
          <w:sz w:val="24"/>
          <w:szCs w:val="24"/>
        </w:rPr>
        <w:t>otage and average price on the y axes, and both neighborhood and construction type in the x-axis. Note that, while homes in the West neighborhood are slightly larger, the square footage does not vary greatly between them. However, there is a positive trend</w:t>
      </w:r>
      <w:r>
        <w:rPr>
          <w:sz w:val="24"/>
          <w:szCs w:val="24"/>
        </w:rPr>
        <w:t xml:space="preserve"> by construction type and neighborhood, with brick construction in the West being most expensive. </w:t>
      </w:r>
    </w:p>
    <w:p w14:paraId="70ED55EC" w14:textId="77777777" w:rsidR="007E4997" w:rsidRDefault="008C2B44">
      <w:pPr>
        <w:rPr>
          <w:sz w:val="24"/>
          <w:szCs w:val="24"/>
        </w:rPr>
      </w:pPr>
      <w:r>
        <w:rPr>
          <w:sz w:val="24"/>
          <w:szCs w:val="24"/>
        </w:rPr>
        <w:t xml:space="preserve">After the pivot table analyses which were largely based on qualitative </w:t>
      </w:r>
      <w:proofErr w:type="gramStart"/>
      <w:r>
        <w:rPr>
          <w:sz w:val="24"/>
          <w:szCs w:val="24"/>
        </w:rPr>
        <w:t>data ,</w:t>
      </w:r>
      <w:proofErr w:type="gramEnd"/>
      <w:r>
        <w:rPr>
          <w:sz w:val="24"/>
          <w:szCs w:val="24"/>
        </w:rPr>
        <w:t xml:space="preserve"> we then performed a correlation analysis of quantitative variables: price, squa</w:t>
      </w:r>
      <w:r>
        <w:rPr>
          <w:sz w:val="24"/>
          <w:szCs w:val="24"/>
        </w:rPr>
        <w:t xml:space="preserve">re footage, number of bedrooms, number of bathrooms, and number of offers received on home before sale. </w:t>
      </w:r>
    </w:p>
    <w:p w14:paraId="5C062323" w14:textId="77777777" w:rsidR="007E4997" w:rsidRDefault="007E4997">
      <w:pPr>
        <w:rPr>
          <w:b/>
          <w:sz w:val="24"/>
          <w:szCs w:val="24"/>
        </w:rPr>
      </w:pPr>
    </w:p>
    <w:p w14:paraId="727EDED6" w14:textId="77777777" w:rsidR="007E4997" w:rsidRDefault="007E4997">
      <w:pPr>
        <w:rPr>
          <w:b/>
          <w:sz w:val="24"/>
          <w:szCs w:val="24"/>
        </w:rPr>
      </w:pPr>
    </w:p>
    <w:p w14:paraId="0837B1E1" w14:textId="77777777" w:rsidR="007E4997" w:rsidRDefault="008C2B44">
      <w:pPr>
        <w:rPr>
          <w:b/>
          <w:sz w:val="24"/>
          <w:szCs w:val="24"/>
        </w:rPr>
      </w:pPr>
      <w:r>
        <w:rPr>
          <w:b/>
          <w:sz w:val="24"/>
          <w:szCs w:val="24"/>
        </w:rPr>
        <w:t>Description of Correlation Analysis:</w:t>
      </w:r>
    </w:p>
    <w:p w14:paraId="5BAFBB36" w14:textId="77777777" w:rsidR="007E4997" w:rsidRDefault="008C2B44">
      <w:pPr>
        <w:rPr>
          <w:b/>
          <w:sz w:val="24"/>
          <w:szCs w:val="24"/>
          <w:highlight w:val="yellow"/>
        </w:rPr>
      </w:pPr>
      <w:r>
        <w:rPr>
          <w:sz w:val="24"/>
          <w:szCs w:val="24"/>
        </w:rPr>
        <w:lastRenderedPageBreak/>
        <w:t>Below is the output of our correlation analysis. To more fully understand which variables had the greatest impac</w:t>
      </w:r>
      <w:r>
        <w:rPr>
          <w:sz w:val="24"/>
          <w:szCs w:val="24"/>
        </w:rPr>
        <w:t>t on the price of the home, we looked at the magnitude of their correlation. The smallest magnitude correlation variable was the number of offers on the house that were received before the sale.</w:t>
      </w:r>
    </w:p>
    <w:p w14:paraId="7FADE27A" w14:textId="77777777" w:rsidR="007E4997" w:rsidRDefault="008C2B44">
      <w:pPr>
        <w:rPr>
          <w:b/>
          <w:sz w:val="24"/>
          <w:szCs w:val="24"/>
        </w:rPr>
      </w:pPr>
      <w:r>
        <w:rPr>
          <w:b/>
          <w:sz w:val="24"/>
          <w:szCs w:val="24"/>
        </w:rPr>
        <w:t>Correlation Analysis</w:t>
      </w:r>
    </w:p>
    <w:tbl>
      <w:tblPr>
        <w:tblStyle w:val="a7"/>
        <w:tblW w:w="8881" w:type="dxa"/>
        <w:tblLayout w:type="fixed"/>
        <w:tblLook w:val="0400" w:firstRow="0" w:lastRow="0" w:firstColumn="0" w:lastColumn="0" w:noHBand="0" w:noVBand="1"/>
      </w:tblPr>
      <w:tblGrid>
        <w:gridCol w:w="1571"/>
        <w:gridCol w:w="1377"/>
        <w:gridCol w:w="1377"/>
        <w:gridCol w:w="1459"/>
        <w:gridCol w:w="1815"/>
        <w:gridCol w:w="1282"/>
      </w:tblGrid>
      <w:tr w:rsidR="007E4997" w14:paraId="27BE6DFC" w14:textId="77777777">
        <w:trPr>
          <w:trHeight w:val="372"/>
        </w:trPr>
        <w:tc>
          <w:tcPr>
            <w:tcW w:w="1571" w:type="dxa"/>
            <w:tcBorders>
              <w:top w:val="single" w:sz="8" w:space="0" w:color="000000"/>
              <w:left w:val="nil"/>
              <w:bottom w:val="single" w:sz="4" w:space="0" w:color="000000"/>
              <w:right w:val="nil"/>
            </w:tcBorders>
            <w:shd w:val="clear" w:color="auto" w:fill="auto"/>
            <w:vAlign w:val="bottom"/>
          </w:tcPr>
          <w:p w14:paraId="4CD656AF" w14:textId="77777777" w:rsidR="007E4997" w:rsidRDefault="008C2B44">
            <w:pPr>
              <w:spacing w:after="0" w:line="240" w:lineRule="auto"/>
              <w:jc w:val="center"/>
              <w:rPr>
                <w:i/>
                <w:color w:val="000000"/>
              </w:rPr>
            </w:pPr>
            <w:r>
              <w:rPr>
                <w:i/>
                <w:color w:val="000000"/>
              </w:rPr>
              <w:t> </w:t>
            </w:r>
          </w:p>
        </w:tc>
        <w:tc>
          <w:tcPr>
            <w:tcW w:w="1377" w:type="dxa"/>
            <w:tcBorders>
              <w:top w:val="single" w:sz="8" w:space="0" w:color="000000"/>
              <w:left w:val="nil"/>
              <w:bottom w:val="single" w:sz="4" w:space="0" w:color="000000"/>
              <w:right w:val="nil"/>
            </w:tcBorders>
            <w:shd w:val="clear" w:color="auto" w:fill="auto"/>
            <w:vAlign w:val="bottom"/>
          </w:tcPr>
          <w:p w14:paraId="55C854DC" w14:textId="77777777" w:rsidR="007E4997" w:rsidRDefault="008C2B44">
            <w:pPr>
              <w:spacing w:after="0" w:line="240" w:lineRule="auto"/>
              <w:jc w:val="center"/>
              <w:rPr>
                <w:i/>
                <w:color w:val="000000"/>
              </w:rPr>
            </w:pPr>
            <w:r>
              <w:rPr>
                <w:i/>
                <w:color w:val="000000"/>
              </w:rPr>
              <w:t>Price</w:t>
            </w:r>
          </w:p>
        </w:tc>
        <w:tc>
          <w:tcPr>
            <w:tcW w:w="1377" w:type="dxa"/>
            <w:tcBorders>
              <w:top w:val="single" w:sz="8" w:space="0" w:color="000000"/>
              <w:left w:val="nil"/>
              <w:bottom w:val="single" w:sz="4" w:space="0" w:color="000000"/>
              <w:right w:val="nil"/>
            </w:tcBorders>
            <w:shd w:val="clear" w:color="auto" w:fill="auto"/>
            <w:vAlign w:val="bottom"/>
          </w:tcPr>
          <w:p w14:paraId="016C5B3C" w14:textId="77777777" w:rsidR="007E4997" w:rsidRDefault="008C2B44">
            <w:pPr>
              <w:spacing w:after="0" w:line="240" w:lineRule="auto"/>
              <w:jc w:val="center"/>
              <w:rPr>
                <w:i/>
                <w:color w:val="000000"/>
              </w:rPr>
            </w:pPr>
            <w:proofErr w:type="spellStart"/>
            <w:r>
              <w:rPr>
                <w:i/>
                <w:color w:val="000000"/>
              </w:rPr>
              <w:t>SqFt</w:t>
            </w:r>
            <w:proofErr w:type="spellEnd"/>
          </w:p>
        </w:tc>
        <w:tc>
          <w:tcPr>
            <w:tcW w:w="1459" w:type="dxa"/>
            <w:tcBorders>
              <w:top w:val="single" w:sz="8" w:space="0" w:color="000000"/>
              <w:left w:val="nil"/>
              <w:bottom w:val="single" w:sz="4" w:space="0" w:color="000000"/>
              <w:right w:val="nil"/>
            </w:tcBorders>
            <w:shd w:val="clear" w:color="auto" w:fill="auto"/>
            <w:vAlign w:val="bottom"/>
          </w:tcPr>
          <w:p w14:paraId="34F4C212" w14:textId="77777777" w:rsidR="007E4997" w:rsidRDefault="008C2B44">
            <w:pPr>
              <w:spacing w:after="0" w:line="240" w:lineRule="auto"/>
              <w:jc w:val="center"/>
              <w:rPr>
                <w:i/>
                <w:color w:val="000000"/>
              </w:rPr>
            </w:pPr>
            <w:r>
              <w:rPr>
                <w:i/>
                <w:color w:val="000000"/>
              </w:rPr>
              <w:t>Bedrooms</w:t>
            </w:r>
          </w:p>
        </w:tc>
        <w:tc>
          <w:tcPr>
            <w:tcW w:w="1815" w:type="dxa"/>
            <w:tcBorders>
              <w:top w:val="single" w:sz="8" w:space="0" w:color="000000"/>
              <w:left w:val="nil"/>
              <w:bottom w:val="single" w:sz="4" w:space="0" w:color="000000"/>
              <w:right w:val="nil"/>
            </w:tcBorders>
            <w:shd w:val="clear" w:color="auto" w:fill="auto"/>
            <w:vAlign w:val="bottom"/>
          </w:tcPr>
          <w:p w14:paraId="2CC60C00" w14:textId="77777777" w:rsidR="007E4997" w:rsidRDefault="008C2B44">
            <w:pPr>
              <w:spacing w:after="0" w:line="240" w:lineRule="auto"/>
              <w:jc w:val="center"/>
              <w:rPr>
                <w:i/>
                <w:color w:val="000000"/>
              </w:rPr>
            </w:pPr>
            <w:r>
              <w:rPr>
                <w:i/>
                <w:color w:val="000000"/>
              </w:rPr>
              <w:t>Bathrooms</w:t>
            </w:r>
          </w:p>
        </w:tc>
        <w:tc>
          <w:tcPr>
            <w:tcW w:w="1282" w:type="dxa"/>
            <w:tcBorders>
              <w:top w:val="single" w:sz="8" w:space="0" w:color="000000"/>
              <w:left w:val="nil"/>
              <w:bottom w:val="single" w:sz="4" w:space="0" w:color="000000"/>
              <w:right w:val="nil"/>
            </w:tcBorders>
            <w:shd w:val="clear" w:color="auto" w:fill="auto"/>
            <w:vAlign w:val="bottom"/>
          </w:tcPr>
          <w:p w14:paraId="44C72AB6" w14:textId="77777777" w:rsidR="007E4997" w:rsidRDefault="008C2B44">
            <w:pPr>
              <w:spacing w:after="0" w:line="240" w:lineRule="auto"/>
              <w:jc w:val="center"/>
              <w:rPr>
                <w:i/>
                <w:color w:val="000000"/>
              </w:rPr>
            </w:pPr>
            <w:r>
              <w:rPr>
                <w:i/>
                <w:color w:val="000000"/>
              </w:rPr>
              <w:t>Offers</w:t>
            </w:r>
          </w:p>
        </w:tc>
      </w:tr>
      <w:tr w:rsidR="007E4997" w14:paraId="26125B96" w14:textId="77777777">
        <w:trPr>
          <w:trHeight w:val="372"/>
        </w:trPr>
        <w:tc>
          <w:tcPr>
            <w:tcW w:w="1571" w:type="dxa"/>
            <w:tcBorders>
              <w:top w:val="nil"/>
              <w:left w:val="nil"/>
              <w:bottom w:val="nil"/>
              <w:right w:val="nil"/>
            </w:tcBorders>
            <w:shd w:val="clear" w:color="auto" w:fill="auto"/>
            <w:vAlign w:val="bottom"/>
          </w:tcPr>
          <w:p w14:paraId="4F8E20E1" w14:textId="77777777" w:rsidR="007E4997" w:rsidRDefault="008C2B44">
            <w:pPr>
              <w:spacing w:after="0" w:line="240" w:lineRule="auto"/>
              <w:rPr>
                <w:color w:val="000000"/>
              </w:rPr>
            </w:pPr>
            <w:r>
              <w:rPr>
                <w:color w:val="000000"/>
              </w:rPr>
              <w:t>Price</w:t>
            </w:r>
          </w:p>
        </w:tc>
        <w:tc>
          <w:tcPr>
            <w:tcW w:w="1377" w:type="dxa"/>
            <w:tcBorders>
              <w:top w:val="nil"/>
              <w:left w:val="nil"/>
              <w:bottom w:val="nil"/>
              <w:right w:val="nil"/>
            </w:tcBorders>
            <w:shd w:val="clear" w:color="auto" w:fill="auto"/>
            <w:vAlign w:val="bottom"/>
          </w:tcPr>
          <w:p w14:paraId="1A904AC1" w14:textId="77777777" w:rsidR="007E4997" w:rsidRDefault="008C2B44">
            <w:pPr>
              <w:spacing w:after="0" w:line="240" w:lineRule="auto"/>
              <w:jc w:val="right"/>
              <w:rPr>
                <w:color w:val="000000"/>
              </w:rPr>
            </w:pPr>
            <w:r>
              <w:rPr>
                <w:color w:val="000000"/>
              </w:rPr>
              <w:t>1</w:t>
            </w:r>
          </w:p>
        </w:tc>
        <w:tc>
          <w:tcPr>
            <w:tcW w:w="1377" w:type="dxa"/>
            <w:tcBorders>
              <w:top w:val="nil"/>
              <w:left w:val="nil"/>
              <w:bottom w:val="nil"/>
              <w:right w:val="nil"/>
            </w:tcBorders>
            <w:shd w:val="clear" w:color="auto" w:fill="auto"/>
            <w:vAlign w:val="bottom"/>
          </w:tcPr>
          <w:p w14:paraId="2C90A0FC" w14:textId="77777777" w:rsidR="007E4997" w:rsidRDefault="007E4997">
            <w:pPr>
              <w:spacing w:after="0" w:line="240" w:lineRule="auto"/>
              <w:jc w:val="right"/>
              <w:rPr>
                <w:color w:val="000000"/>
              </w:rPr>
            </w:pPr>
          </w:p>
        </w:tc>
        <w:tc>
          <w:tcPr>
            <w:tcW w:w="1459" w:type="dxa"/>
            <w:tcBorders>
              <w:top w:val="nil"/>
              <w:left w:val="nil"/>
              <w:bottom w:val="nil"/>
              <w:right w:val="nil"/>
            </w:tcBorders>
            <w:shd w:val="clear" w:color="auto" w:fill="auto"/>
            <w:vAlign w:val="bottom"/>
          </w:tcPr>
          <w:p w14:paraId="437CB957" w14:textId="77777777" w:rsidR="007E4997" w:rsidRDefault="007E4997">
            <w:pPr>
              <w:spacing w:after="0" w:line="240" w:lineRule="auto"/>
              <w:rPr>
                <w:rFonts w:ascii="Times New Roman" w:eastAsia="Times New Roman" w:hAnsi="Times New Roman" w:cs="Times New Roman"/>
                <w:sz w:val="20"/>
                <w:szCs w:val="20"/>
              </w:rPr>
            </w:pPr>
          </w:p>
        </w:tc>
        <w:tc>
          <w:tcPr>
            <w:tcW w:w="1815" w:type="dxa"/>
            <w:tcBorders>
              <w:top w:val="nil"/>
              <w:left w:val="nil"/>
              <w:bottom w:val="nil"/>
              <w:right w:val="nil"/>
            </w:tcBorders>
            <w:shd w:val="clear" w:color="auto" w:fill="auto"/>
            <w:vAlign w:val="bottom"/>
          </w:tcPr>
          <w:p w14:paraId="22DF179F" w14:textId="77777777" w:rsidR="007E4997" w:rsidRDefault="007E4997">
            <w:pPr>
              <w:spacing w:after="0" w:line="240" w:lineRule="auto"/>
              <w:rPr>
                <w:rFonts w:ascii="Times New Roman" w:eastAsia="Times New Roman" w:hAnsi="Times New Roman" w:cs="Times New Roman"/>
                <w:sz w:val="20"/>
                <w:szCs w:val="20"/>
              </w:rPr>
            </w:pPr>
          </w:p>
        </w:tc>
        <w:tc>
          <w:tcPr>
            <w:tcW w:w="1282" w:type="dxa"/>
            <w:tcBorders>
              <w:top w:val="nil"/>
              <w:left w:val="nil"/>
              <w:bottom w:val="nil"/>
              <w:right w:val="nil"/>
            </w:tcBorders>
            <w:shd w:val="clear" w:color="auto" w:fill="auto"/>
            <w:vAlign w:val="bottom"/>
          </w:tcPr>
          <w:p w14:paraId="639A0082" w14:textId="77777777" w:rsidR="007E4997" w:rsidRDefault="007E4997">
            <w:pPr>
              <w:spacing w:after="0" w:line="240" w:lineRule="auto"/>
              <w:rPr>
                <w:rFonts w:ascii="Times New Roman" w:eastAsia="Times New Roman" w:hAnsi="Times New Roman" w:cs="Times New Roman"/>
                <w:sz w:val="20"/>
                <w:szCs w:val="20"/>
              </w:rPr>
            </w:pPr>
          </w:p>
        </w:tc>
      </w:tr>
      <w:tr w:rsidR="007E4997" w14:paraId="4211FEE4" w14:textId="77777777">
        <w:trPr>
          <w:trHeight w:val="372"/>
        </w:trPr>
        <w:tc>
          <w:tcPr>
            <w:tcW w:w="1571" w:type="dxa"/>
            <w:tcBorders>
              <w:top w:val="nil"/>
              <w:left w:val="nil"/>
              <w:bottom w:val="nil"/>
              <w:right w:val="nil"/>
            </w:tcBorders>
            <w:shd w:val="clear" w:color="auto" w:fill="auto"/>
            <w:vAlign w:val="bottom"/>
          </w:tcPr>
          <w:p w14:paraId="29505399" w14:textId="77777777" w:rsidR="007E4997" w:rsidRDefault="008C2B44">
            <w:pPr>
              <w:spacing w:after="0" w:line="240" w:lineRule="auto"/>
              <w:rPr>
                <w:color w:val="000000"/>
              </w:rPr>
            </w:pPr>
            <w:proofErr w:type="spellStart"/>
            <w:r>
              <w:rPr>
                <w:color w:val="000000"/>
              </w:rPr>
              <w:t>SqFt</w:t>
            </w:r>
            <w:proofErr w:type="spellEnd"/>
          </w:p>
        </w:tc>
        <w:tc>
          <w:tcPr>
            <w:tcW w:w="1377" w:type="dxa"/>
            <w:tcBorders>
              <w:top w:val="nil"/>
              <w:left w:val="nil"/>
              <w:bottom w:val="nil"/>
              <w:right w:val="nil"/>
            </w:tcBorders>
            <w:shd w:val="clear" w:color="auto" w:fill="auto"/>
            <w:vAlign w:val="bottom"/>
          </w:tcPr>
          <w:p w14:paraId="09A3E0B6" w14:textId="77777777" w:rsidR="007E4997" w:rsidRDefault="008C2B44">
            <w:pPr>
              <w:spacing w:after="0" w:line="240" w:lineRule="auto"/>
              <w:jc w:val="right"/>
              <w:rPr>
                <w:color w:val="000000"/>
                <w:highlight w:val="yellow"/>
              </w:rPr>
            </w:pPr>
            <w:r>
              <w:rPr>
                <w:color w:val="000000"/>
                <w:highlight w:val="yellow"/>
              </w:rPr>
              <w:t>0.552982</w:t>
            </w:r>
          </w:p>
        </w:tc>
        <w:tc>
          <w:tcPr>
            <w:tcW w:w="1377" w:type="dxa"/>
            <w:tcBorders>
              <w:top w:val="nil"/>
              <w:left w:val="nil"/>
              <w:bottom w:val="nil"/>
              <w:right w:val="nil"/>
            </w:tcBorders>
            <w:shd w:val="clear" w:color="auto" w:fill="auto"/>
            <w:vAlign w:val="bottom"/>
          </w:tcPr>
          <w:p w14:paraId="6EF06E92" w14:textId="77777777" w:rsidR="007E4997" w:rsidRDefault="008C2B44">
            <w:pPr>
              <w:spacing w:after="0" w:line="240" w:lineRule="auto"/>
              <w:jc w:val="right"/>
              <w:rPr>
                <w:color w:val="000000"/>
              </w:rPr>
            </w:pPr>
            <w:r>
              <w:rPr>
                <w:color w:val="000000"/>
              </w:rPr>
              <w:t>1</w:t>
            </w:r>
          </w:p>
        </w:tc>
        <w:tc>
          <w:tcPr>
            <w:tcW w:w="1459" w:type="dxa"/>
            <w:tcBorders>
              <w:top w:val="nil"/>
              <w:left w:val="nil"/>
              <w:bottom w:val="nil"/>
              <w:right w:val="nil"/>
            </w:tcBorders>
            <w:shd w:val="clear" w:color="auto" w:fill="auto"/>
            <w:vAlign w:val="bottom"/>
          </w:tcPr>
          <w:p w14:paraId="18CEC9AF" w14:textId="77777777" w:rsidR="007E4997" w:rsidRDefault="007E4997">
            <w:pPr>
              <w:spacing w:after="0" w:line="240" w:lineRule="auto"/>
              <w:jc w:val="right"/>
              <w:rPr>
                <w:color w:val="000000"/>
              </w:rPr>
            </w:pPr>
          </w:p>
        </w:tc>
        <w:tc>
          <w:tcPr>
            <w:tcW w:w="1815" w:type="dxa"/>
            <w:tcBorders>
              <w:top w:val="nil"/>
              <w:left w:val="nil"/>
              <w:bottom w:val="nil"/>
              <w:right w:val="nil"/>
            </w:tcBorders>
            <w:shd w:val="clear" w:color="auto" w:fill="auto"/>
            <w:vAlign w:val="bottom"/>
          </w:tcPr>
          <w:p w14:paraId="501BEEC1" w14:textId="77777777" w:rsidR="007E4997" w:rsidRDefault="007E4997">
            <w:pPr>
              <w:spacing w:after="0" w:line="240" w:lineRule="auto"/>
              <w:rPr>
                <w:rFonts w:ascii="Times New Roman" w:eastAsia="Times New Roman" w:hAnsi="Times New Roman" w:cs="Times New Roman"/>
                <w:sz w:val="20"/>
                <w:szCs w:val="20"/>
              </w:rPr>
            </w:pPr>
          </w:p>
        </w:tc>
        <w:tc>
          <w:tcPr>
            <w:tcW w:w="1282" w:type="dxa"/>
            <w:tcBorders>
              <w:top w:val="nil"/>
              <w:left w:val="nil"/>
              <w:bottom w:val="nil"/>
              <w:right w:val="nil"/>
            </w:tcBorders>
            <w:shd w:val="clear" w:color="auto" w:fill="auto"/>
            <w:vAlign w:val="bottom"/>
          </w:tcPr>
          <w:p w14:paraId="5AA33415" w14:textId="77777777" w:rsidR="007E4997" w:rsidRDefault="007E4997">
            <w:pPr>
              <w:spacing w:after="0" w:line="240" w:lineRule="auto"/>
              <w:rPr>
                <w:rFonts w:ascii="Times New Roman" w:eastAsia="Times New Roman" w:hAnsi="Times New Roman" w:cs="Times New Roman"/>
                <w:sz w:val="20"/>
                <w:szCs w:val="20"/>
              </w:rPr>
            </w:pPr>
          </w:p>
        </w:tc>
      </w:tr>
      <w:tr w:rsidR="007E4997" w14:paraId="7D4981FE" w14:textId="77777777">
        <w:trPr>
          <w:trHeight w:val="372"/>
        </w:trPr>
        <w:tc>
          <w:tcPr>
            <w:tcW w:w="1571" w:type="dxa"/>
            <w:tcBorders>
              <w:top w:val="nil"/>
              <w:left w:val="nil"/>
              <w:bottom w:val="nil"/>
              <w:right w:val="nil"/>
            </w:tcBorders>
            <w:shd w:val="clear" w:color="auto" w:fill="auto"/>
            <w:vAlign w:val="bottom"/>
          </w:tcPr>
          <w:p w14:paraId="476C54EF" w14:textId="77777777" w:rsidR="007E4997" w:rsidRDefault="008C2B44">
            <w:pPr>
              <w:spacing w:after="0" w:line="240" w:lineRule="auto"/>
              <w:rPr>
                <w:color w:val="000000"/>
              </w:rPr>
            </w:pPr>
            <w:r>
              <w:rPr>
                <w:color w:val="000000"/>
              </w:rPr>
              <w:t>Bedrooms</w:t>
            </w:r>
          </w:p>
        </w:tc>
        <w:tc>
          <w:tcPr>
            <w:tcW w:w="1377" w:type="dxa"/>
            <w:tcBorders>
              <w:top w:val="nil"/>
              <w:left w:val="nil"/>
              <w:bottom w:val="nil"/>
              <w:right w:val="nil"/>
            </w:tcBorders>
            <w:shd w:val="clear" w:color="auto" w:fill="auto"/>
            <w:vAlign w:val="bottom"/>
          </w:tcPr>
          <w:p w14:paraId="22032214" w14:textId="77777777" w:rsidR="007E4997" w:rsidRDefault="008C2B44">
            <w:pPr>
              <w:spacing w:after="0" w:line="240" w:lineRule="auto"/>
              <w:jc w:val="right"/>
              <w:rPr>
                <w:color w:val="000000"/>
              </w:rPr>
            </w:pPr>
            <w:r>
              <w:rPr>
                <w:color w:val="000000"/>
              </w:rPr>
              <w:t>0.525926</w:t>
            </w:r>
          </w:p>
        </w:tc>
        <w:tc>
          <w:tcPr>
            <w:tcW w:w="1377" w:type="dxa"/>
            <w:tcBorders>
              <w:top w:val="nil"/>
              <w:left w:val="nil"/>
              <w:bottom w:val="nil"/>
              <w:right w:val="nil"/>
            </w:tcBorders>
            <w:shd w:val="clear" w:color="auto" w:fill="auto"/>
            <w:vAlign w:val="bottom"/>
          </w:tcPr>
          <w:p w14:paraId="6D3F1727" w14:textId="77777777" w:rsidR="007E4997" w:rsidRDefault="008C2B44">
            <w:pPr>
              <w:spacing w:after="0" w:line="240" w:lineRule="auto"/>
              <w:jc w:val="right"/>
              <w:rPr>
                <w:color w:val="000000"/>
              </w:rPr>
            </w:pPr>
            <w:r>
              <w:rPr>
                <w:color w:val="000000"/>
              </w:rPr>
              <w:t>0.483807</w:t>
            </w:r>
          </w:p>
        </w:tc>
        <w:tc>
          <w:tcPr>
            <w:tcW w:w="1459" w:type="dxa"/>
            <w:tcBorders>
              <w:top w:val="nil"/>
              <w:left w:val="nil"/>
              <w:bottom w:val="nil"/>
              <w:right w:val="nil"/>
            </w:tcBorders>
            <w:shd w:val="clear" w:color="auto" w:fill="auto"/>
            <w:vAlign w:val="bottom"/>
          </w:tcPr>
          <w:p w14:paraId="286834B9" w14:textId="77777777" w:rsidR="007E4997" w:rsidRDefault="008C2B44">
            <w:pPr>
              <w:spacing w:after="0" w:line="240" w:lineRule="auto"/>
              <w:jc w:val="right"/>
              <w:rPr>
                <w:color w:val="000000"/>
              </w:rPr>
            </w:pPr>
            <w:r>
              <w:rPr>
                <w:color w:val="000000"/>
              </w:rPr>
              <w:t>1</w:t>
            </w:r>
          </w:p>
        </w:tc>
        <w:tc>
          <w:tcPr>
            <w:tcW w:w="1815" w:type="dxa"/>
            <w:tcBorders>
              <w:top w:val="nil"/>
              <w:left w:val="nil"/>
              <w:bottom w:val="nil"/>
              <w:right w:val="nil"/>
            </w:tcBorders>
            <w:shd w:val="clear" w:color="auto" w:fill="auto"/>
            <w:vAlign w:val="bottom"/>
          </w:tcPr>
          <w:p w14:paraId="40BB52EE" w14:textId="77777777" w:rsidR="007E4997" w:rsidRDefault="007E4997">
            <w:pPr>
              <w:spacing w:after="0" w:line="240" w:lineRule="auto"/>
              <w:jc w:val="right"/>
              <w:rPr>
                <w:color w:val="000000"/>
              </w:rPr>
            </w:pPr>
          </w:p>
        </w:tc>
        <w:tc>
          <w:tcPr>
            <w:tcW w:w="1282" w:type="dxa"/>
            <w:tcBorders>
              <w:top w:val="nil"/>
              <w:left w:val="nil"/>
              <w:bottom w:val="nil"/>
              <w:right w:val="nil"/>
            </w:tcBorders>
            <w:shd w:val="clear" w:color="auto" w:fill="auto"/>
            <w:vAlign w:val="bottom"/>
          </w:tcPr>
          <w:p w14:paraId="6D69575D" w14:textId="77777777" w:rsidR="007E4997" w:rsidRDefault="007E4997">
            <w:pPr>
              <w:spacing w:after="0" w:line="240" w:lineRule="auto"/>
              <w:rPr>
                <w:rFonts w:ascii="Times New Roman" w:eastAsia="Times New Roman" w:hAnsi="Times New Roman" w:cs="Times New Roman"/>
                <w:sz w:val="20"/>
                <w:szCs w:val="20"/>
              </w:rPr>
            </w:pPr>
          </w:p>
        </w:tc>
      </w:tr>
      <w:tr w:rsidR="007E4997" w14:paraId="711CFB98" w14:textId="77777777">
        <w:trPr>
          <w:trHeight w:val="372"/>
        </w:trPr>
        <w:tc>
          <w:tcPr>
            <w:tcW w:w="1571" w:type="dxa"/>
            <w:tcBorders>
              <w:top w:val="nil"/>
              <w:left w:val="nil"/>
              <w:bottom w:val="nil"/>
              <w:right w:val="nil"/>
            </w:tcBorders>
            <w:shd w:val="clear" w:color="auto" w:fill="auto"/>
            <w:vAlign w:val="bottom"/>
          </w:tcPr>
          <w:p w14:paraId="080CED2E" w14:textId="77777777" w:rsidR="007E4997" w:rsidRDefault="008C2B44">
            <w:pPr>
              <w:spacing w:after="0" w:line="240" w:lineRule="auto"/>
              <w:rPr>
                <w:color w:val="000000"/>
              </w:rPr>
            </w:pPr>
            <w:r>
              <w:rPr>
                <w:color w:val="000000"/>
              </w:rPr>
              <w:t>Bathrooms</w:t>
            </w:r>
          </w:p>
        </w:tc>
        <w:tc>
          <w:tcPr>
            <w:tcW w:w="1377" w:type="dxa"/>
            <w:tcBorders>
              <w:top w:val="nil"/>
              <w:left w:val="nil"/>
              <w:bottom w:val="nil"/>
              <w:right w:val="nil"/>
            </w:tcBorders>
            <w:shd w:val="clear" w:color="auto" w:fill="auto"/>
            <w:vAlign w:val="bottom"/>
          </w:tcPr>
          <w:p w14:paraId="72F3B395" w14:textId="77777777" w:rsidR="007E4997" w:rsidRDefault="008C2B44">
            <w:pPr>
              <w:spacing w:after="0" w:line="240" w:lineRule="auto"/>
              <w:jc w:val="right"/>
              <w:rPr>
                <w:color w:val="000000"/>
              </w:rPr>
            </w:pPr>
            <w:r>
              <w:rPr>
                <w:color w:val="000000"/>
              </w:rPr>
              <w:t>0.523258</w:t>
            </w:r>
          </w:p>
        </w:tc>
        <w:tc>
          <w:tcPr>
            <w:tcW w:w="1377" w:type="dxa"/>
            <w:tcBorders>
              <w:top w:val="nil"/>
              <w:left w:val="nil"/>
              <w:bottom w:val="nil"/>
              <w:right w:val="nil"/>
            </w:tcBorders>
            <w:shd w:val="clear" w:color="auto" w:fill="auto"/>
            <w:vAlign w:val="bottom"/>
          </w:tcPr>
          <w:p w14:paraId="0A3D4BF9" w14:textId="77777777" w:rsidR="007E4997" w:rsidRDefault="008C2B44">
            <w:pPr>
              <w:spacing w:after="0" w:line="240" w:lineRule="auto"/>
              <w:jc w:val="right"/>
              <w:rPr>
                <w:color w:val="000000"/>
              </w:rPr>
            </w:pPr>
            <w:r>
              <w:rPr>
                <w:color w:val="000000"/>
              </w:rPr>
              <w:t>0.522745</w:t>
            </w:r>
          </w:p>
        </w:tc>
        <w:tc>
          <w:tcPr>
            <w:tcW w:w="1459" w:type="dxa"/>
            <w:tcBorders>
              <w:top w:val="nil"/>
              <w:left w:val="nil"/>
              <w:bottom w:val="nil"/>
              <w:right w:val="nil"/>
            </w:tcBorders>
            <w:shd w:val="clear" w:color="auto" w:fill="auto"/>
            <w:vAlign w:val="bottom"/>
          </w:tcPr>
          <w:p w14:paraId="6C985836" w14:textId="77777777" w:rsidR="007E4997" w:rsidRDefault="008C2B44">
            <w:pPr>
              <w:spacing w:after="0" w:line="240" w:lineRule="auto"/>
              <w:jc w:val="right"/>
              <w:rPr>
                <w:color w:val="000000"/>
              </w:rPr>
            </w:pPr>
            <w:r>
              <w:rPr>
                <w:color w:val="000000"/>
              </w:rPr>
              <w:t>0.414556</w:t>
            </w:r>
          </w:p>
        </w:tc>
        <w:tc>
          <w:tcPr>
            <w:tcW w:w="1815" w:type="dxa"/>
            <w:tcBorders>
              <w:top w:val="nil"/>
              <w:left w:val="nil"/>
              <w:bottom w:val="nil"/>
              <w:right w:val="nil"/>
            </w:tcBorders>
            <w:shd w:val="clear" w:color="auto" w:fill="auto"/>
            <w:vAlign w:val="bottom"/>
          </w:tcPr>
          <w:p w14:paraId="2B7CF7C5" w14:textId="77777777" w:rsidR="007E4997" w:rsidRDefault="008C2B44">
            <w:pPr>
              <w:spacing w:after="0" w:line="240" w:lineRule="auto"/>
              <w:jc w:val="right"/>
              <w:rPr>
                <w:color w:val="000000"/>
              </w:rPr>
            </w:pPr>
            <w:r>
              <w:rPr>
                <w:color w:val="000000"/>
              </w:rPr>
              <w:t>1</w:t>
            </w:r>
          </w:p>
        </w:tc>
        <w:tc>
          <w:tcPr>
            <w:tcW w:w="1282" w:type="dxa"/>
            <w:tcBorders>
              <w:top w:val="nil"/>
              <w:left w:val="nil"/>
              <w:bottom w:val="nil"/>
              <w:right w:val="nil"/>
            </w:tcBorders>
            <w:shd w:val="clear" w:color="auto" w:fill="auto"/>
            <w:vAlign w:val="bottom"/>
          </w:tcPr>
          <w:p w14:paraId="743A069F" w14:textId="77777777" w:rsidR="007E4997" w:rsidRDefault="007E4997">
            <w:pPr>
              <w:spacing w:after="0" w:line="240" w:lineRule="auto"/>
              <w:jc w:val="right"/>
              <w:rPr>
                <w:color w:val="000000"/>
              </w:rPr>
            </w:pPr>
          </w:p>
        </w:tc>
      </w:tr>
      <w:tr w:rsidR="007E4997" w14:paraId="7868BFC9" w14:textId="77777777">
        <w:trPr>
          <w:trHeight w:val="386"/>
        </w:trPr>
        <w:tc>
          <w:tcPr>
            <w:tcW w:w="1571" w:type="dxa"/>
            <w:tcBorders>
              <w:top w:val="nil"/>
              <w:left w:val="nil"/>
              <w:bottom w:val="single" w:sz="8" w:space="0" w:color="000000"/>
              <w:right w:val="nil"/>
            </w:tcBorders>
            <w:shd w:val="clear" w:color="auto" w:fill="auto"/>
            <w:vAlign w:val="bottom"/>
          </w:tcPr>
          <w:p w14:paraId="7FECDD8B" w14:textId="77777777" w:rsidR="007E4997" w:rsidRDefault="008C2B44">
            <w:pPr>
              <w:spacing w:after="0" w:line="240" w:lineRule="auto"/>
              <w:rPr>
                <w:color w:val="000000"/>
              </w:rPr>
            </w:pPr>
            <w:r>
              <w:rPr>
                <w:color w:val="000000"/>
              </w:rPr>
              <w:t>Offers</w:t>
            </w:r>
          </w:p>
        </w:tc>
        <w:tc>
          <w:tcPr>
            <w:tcW w:w="1377" w:type="dxa"/>
            <w:tcBorders>
              <w:top w:val="nil"/>
              <w:left w:val="nil"/>
              <w:bottom w:val="single" w:sz="8" w:space="0" w:color="000000"/>
              <w:right w:val="nil"/>
            </w:tcBorders>
            <w:shd w:val="clear" w:color="auto" w:fill="auto"/>
            <w:vAlign w:val="bottom"/>
          </w:tcPr>
          <w:p w14:paraId="3CFC09EB" w14:textId="77777777" w:rsidR="007E4997" w:rsidRDefault="008C2B44">
            <w:pPr>
              <w:spacing w:after="0" w:line="240" w:lineRule="auto"/>
              <w:jc w:val="right"/>
              <w:rPr>
                <w:color w:val="000000"/>
              </w:rPr>
            </w:pPr>
            <w:r>
              <w:rPr>
                <w:color w:val="000000"/>
              </w:rPr>
              <w:t>-0.31364</w:t>
            </w:r>
          </w:p>
        </w:tc>
        <w:tc>
          <w:tcPr>
            <w:tcW w:w="1377" w:type="dxa"/>
            <w:tcBorders>
              <w:top w:val="nil"/>
              <w:left w:val="nil"/>
              <w:bottom w:val="single" w:sz="8" w:space="0" w:color="000000"/>
              <w:right w:val="nil"/>
            </w:tcBorders>
            <w:shd w:val="clear" w:color="auto" w:fill="auto"/>
            <w:vAlign w:val="bottom"/>
          </w:tcPr>
          <w:p w14:paraId="2C154FEB" w14:textId="77777777" w:rsidR="007E4997" w:rsidRDefault="008C2B44">
            <w:pPr>
              <w:spacing w:after="0" w:line="240" w:lineRule="auto"/>
              <w:jc w:val="right"/>
              <w:rPr>
                <w:color w:val="000000"/>
              </w:rPr>
            </w:pPr>
            <w:r>
              <w:rPr>
                <w:color w:val="000000"/>
              </w:rPr>
              <w:t>0.336923</w:t>
            </w:r>
          </w:p>
        </w:tc>
        <w:tc>
          <w:tcPr>
            <w:tcW w:w="1459" w:type="dxa"/>
            <w:tcBorders>
              <w:top w:val="nil"/>
              <w:left w:val="nil"/>
              <w:bottom w:val="single" w:sz="8" w:space="0" w:color="000000"/>
              <w:right w:val="nil"/>
            </w:tcBorders>
            <w:shd w:val="clear" w:color="auto" w:fill="auto"/>
            <w:vAlign w:val="bottom"/>
          </w:tcPr>
          <w:p w14:paraId="48A7B227" w14:textId="77777777" w:rsidR="007E4997" w:rsidRDefault="008C2B44">
            <w:pPr>
              <w:spacing w:after="0" w:line="240" w:lineRule="auto"/>
              <w:jc w:val="right"/>
              <w:rPr>
                <w:color w:val="000000"/>
              </w:rPr>
            </w:pPr>
            <w:r>
              <w:rPr>
                <w:color w:val="000000"/>
              </w:rPr>
              <w:t>0.114271</w:t>
            </w:r>
          </w:p>
        </w:tc>
        <w:tc>
          <w:tcPr>
            <w:tcW w:w="1815" w:type="dxa"/>
            <w:tcBorders>
              <w:top w:val="nil"/>
              <w:left w:val="nil"/>
              <w:bottom w:val="single" w:sz="8" w:space="0" w:color="000000"/>
              <w:right w:val="nil"/>
            </w:tcBorders>
            <w:shd w:val="clear" w:color="auto" w:fill="auto"/>
            <w:vAlign w:val="bottom"/>
          </w:tcPr>
          <w:p w14:paraId="646A5C74" w14:textId="77777777" w:rsidR="007E4997" w:rsidRDefault="008C2B44">
            <w:pPr>
              <w:spacing w:after="0" w:line="240" w:lineRule="auto"/>
              <w:jc w:val="right"/>
              <w:rPr>
                <w:color w:val="000000"/>
              </w:rPr>
            </w:pPr>
            <w:r>
              <w:rPr>
                <w:color w:val="000000"/>
              </w:rPr>
              <w:t>0.143793404</w:t>
            </w:r>
          </w:p>
        </w:tc>
        <w:tc>
          <w:tcPr>
            <w:tcW w:w="1282" w:type="dxa"/>
            <w:tcBorders>
              <w:top w:val="nil"/>
              <w:left w:val="nil"/>
              <w:bottom w:val="single" w:sz="8" w:space="0" w:color="000000"/>
              <w:right w:val="nil"/>
            </w:tcBorders>
            <w:shd w:val="clear" w:color="auto" w:fill="auto"/>
            <w:vAlign w:val="bottom"/>
          </w:tcPr>
          <w:p w14:paraId="5F69C99F" w14:textId="77777777" w:rsidR="007E4997" w:rsidRDefault="008C2B44">
            <w:pPr>
              <w:spacing w:after="0" w:line="240" w:lineRule="auto"/>
              <w:jc w:val="right"/>
              <w:rPr>
                <w:color w:val="000000"/>
              </w:rPr>
            </w:pPr>
            <w:r>
              <w:rPr>
                <w:color w:val="000000"/>
              </w:rPr>
              <w:t>1</w:t>
            </w:r>
          </w:p>
        </w:tc>
      </w:tr>
    </w:tbl>
    <w:p w14:paraId="659278DB" w14:textId="77777777" w:rsidR="007E4997" w:rsidRDefault="007E4997">
      <w:pPr>
        <w:rPr>
          <w:sz w:val="24"/>
          <w:szCs w:val="24"/>
        </w:rPr>
      </w:pPr>
    </w:p>
    <w:p w14:paraId="3F3346B2" w14:textId="77777777" w:rsidR="007E4997" w:rsidRDefault="008C2B44">
      <w:pPr>
        <w:rPr>
          <w:sz w:val="24"/>
          <w:szCs w:val="24"/>
        </w:rPr>
      </w:pPr>
      <w:r>
        <w:rPr>
          <w:sz w:val="24"/>
          <w:szCs w:val="24"/>
        </w:rPr>
        <w:t>Based on the above data, we know that the value that is most correlated with price is square footage, due to its correlation coefficient being greater than any of the other variables. A visual representation of this is shown below.</w:t>
      </w:r>
    </w:p>
    <w:p w14:paraId="2D2BEC0A" w14:textId="77777777" w:rsidR="007E4997" w:rsidRDefault="008C2B44">
      <w:pPr>
        <w:rPr>
          <w:sz w:val="24"/>
          <w:szCs w:val="24"/>
        </w:rPr>
      </w:pPr>
      <w:r>
        <w:rPr>
          <w:noProof/>
          <w:sz w:val="24"/>
          <w:szCs w:val="24"/>
        </w:rPr>
        <w:drawing>
          <wp:inline distT="114300" distB="114300" distL="114300" distR="114300" wp14:anchorId="7A25B31B" wp14:editId="13551C01">
            <wp:extent cx="4562475" cy="27432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62475" cy="2743200"/>
                    </a:xfrm>
                    <a:prstGeom prst="rect">
                      <a:avLst/>
                    </a:prstGeom>
                    <a:ln/>
                  </pic:spPr>
                </pic:pic>
              </a:graphicData>
            </a:graphic>
          </wp:inline>
        </w:drawing>
      </w:r>
    </w:p>
    <w:p w14:paraId="090AF927" w14:textId="77777777" w:rsidR="007E4997" w:rsidRDefault="008C2B44">
      <w:pPr>
        <w:spacing w:before="240" w:after="240"/>
        <w:rPr>
          <w:sz w:val="24"/>
          <w:szCs w:val="24"/>
        </w:rPr>
      </w:pPr>
      <w:r>
        <w:rPr>
          <w:sz w:val="24"/>
          <w:szCs w:val="24"/>
        </w:rPr>
        <w:t xml:space="preserve">The graph above shows </w:t>
      </w:r>
      <w:r>
        <w:rPr>
          <w:sz w:val="24"/>
          <w:szCs w:val="24"/>
        </w:rPr>
        <w:t xml:space="preserve">an increasing trend in the data from left to right, thus demonstrating the relationship between square footage and price </w:t>
      </w:r>
      <w:r>
        <w:t>– i.e.</w:t>
      </w:r>
      <w:r>
        <w:rPr>
          <w:sz w:val="24"/>
          <w:szCs w:val="24"/>
        </w:rPr>
        <w:t xml:space="preserve"> as square footage increases, so too will price. The higher the correlation the closer the data points will be to the trend line.</w:t>
      </w:r>
      <w:r>
        <w:rPr>
          <w:sz w:val="24"/>
          <w:szCs w:val="24"/>
        </w:rPr>
        <w:t xml:space="preserve"> On the other hand, we can see that Offers and Bedrooms have the smallest correlation. This is </w:t>
      </w:r>
      <w:r>
        <w:rPr>
          <w:sz w:val="24"/>
          <w:szCs w:val="24"/>
        </w:rPr>
        <w:lastRenderedPageBreak/>
        <w:t xml:space="preserve">determined by having the closest value to zero. A visual representation of these two variables would show data points all over the graph with no </w:t>
      </w:r>
      <w:proofErr w:type="gramStart"/>
      <w:r>
        <w:rPr>
          <w:sz w:val="24"/>
          <w:szCs w:val="24"/>
        </w:rPr>
        <w:t>clear cut</w:t>
      </w:r>
      <w:proofErr w:type="gramEnd"/>
      <w:r>
        <w:rPr>
          <w:sz w:val="24"/>
          <w:szCs w:val="24"/>
        </w:rPr>
        <w:t xml:space="preserve"> trend.</w:t>
      </w:r>
      <w:r>
        <w:rPr>
          <w:sz w:val="24"/>
          <w:szCs w:val="24"/>
        </w:rPr>
        <w:t xml:space="preserve"> </w:t>
      </w:r>
    </w:p>
    <w:p w14:paraId="05050585" w14:textId="77777777" w:rsidR="007E4997" w:rsidRDefault="008C2B44">
      <w:pPr>
        <w:rPr>
          <w:sz w:val="24"/>
          <w:szCs w:val="24"/>
        </w:rPr>
      </w:pPr>
      <w:r>
        <w:rPr>
          <w:sz w:val="24"/>
          <w:szCs w:val="24"/>
        </w:rPr>
        <w:t>This analysis is associated with a linear regression analysis, which will model the association between a dependent variable, in this case home price, and one or more independent variables. </w:t>
      </w:r>
    </w:p>
    <w:p w14:paraId="2CB16335" w14:textId="77777777" w:rsidR="007E4997" w:rsidRDefault="008C2B44">
      <w:pPr>
        <w:rPr>
          <w:sz w:val="24"/>
          <w:szCs w:val="24"/>
        </w:rPr>
      </w:pPr>
      <w:r>
        <w:rPr>
          <w:sz w:val="24"/>
          <w:szCs w:val="24"/>
        </w:rPr>
        <w:t>Present in the analysis was one negative correlation between th</w:t>
      </w:r>
      <w:r>
        <w:rPr>
          <w:sz w:val="24"/>
          <w:szCs w:val="24"/>
        </w:rPr>
        <w:t>e number of offers a house received and a price. This negative, or inverse, correlation illustrates to us that the two variables move in opposite directions: when the price of the home increases, fewer offers will be placed on the home. The illustration be</w:t>
      </w:r>
      <w:r>
        <w:rPr>
          <w:sz w:val="24"/>
          <w:szCs w:val="24"/>
        </w:rPr>
        <w:t>low shows this relationship.</w:t>
      </w:r>
    </w:p>
    <w:p w14:paraId="2C37C252" w14:textId="77777777" w:rsidR="007E4997" w:rsidRDefault="008C2B44">
      <w:pPr>
        <w:rPr>
          <w:sz w:val="24"/>
          <w:szCs w:val="24"/>
        </w:rPr>
      </w:pPr>
      <w:r>
        <w:rPr>
          <w:noProof/>
          <w:sz w:val="24"/>
          <w:szCs w:val="24"/>
        </w:rPr>
        <w:drawing>
          <wp:inline distT="114300" distB="114300" distL="114300" distR="114300" wp14:anchorId="43201C51" wp14:editId="41EB33FB">
            <wp:extent cx="4724400" cy="274320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724400" cy="2743200"/>
                    </a:xfrm>
                    <a:prstGeom prst="rect">
                      <a:avLst/>
                    </a:prstGeom>
                    <a:ln/>
                  </pic:spPr>
                </pic:pic>
              </a:graphicData>
            </a:graphic>
          </wp:inline>
        </w:drawing>
      </w:r>
    </w:p>
    <w:p w14:paraId="72268400" w14:textId="77777777" w:rsidR="007E4997" w:rsidRDefault="008C2B44">
      <w:pPr>
        <w:rPr>
          <w:sz w:val="24"/>
          <w:szCs w:val="24"/>
        </w:rPr>
      </w:pPr>
      <w:r>
        <w:rPr>
          <w:sz w:val="24"/>
          <w:szCs w:val="24"/>
        </w:rPr>
        <w:t>The correlations here are very intuitive. Larger homes, with more bedrooms or bathrooms are desirable to buyers. Inversely, in terms of number of offers, as home prices increase, the size of the market of potential buyers dec</w:t>
      </w:r>
      <w:r>
        <w:rPr>
          <w:sz w:val="24"/>
          <w:szCs w:val="24"/>
        </w:rPr>
        <w:t xml:space="preserve">reases. </w:t>
      </w:r>
      <w:r>
        <w:t xml:space="preserve">    </w:t>
      </w:r>
    </w:p>
    <w:p w14:paraId="4AA2E764" w14:textId="77777777" w:rsidR="007E4997" w:rsidRDefault="008C2B44">
      <w:pPr>
        <w:rPr>
          <w:sz w:val="24"/>
          <w:szCs w:val="24"/>
          <w:highlight w:val="yellow"/>
        </w:rPr>
      </w:pPr>
      <w:r>
        <w:rPr>
          <w:sz w:val="24"/>
          <w:szCs w:val="24"/>
        </w:rPr>
        <w:t>Strictly associated with correlation analysis, as noted above, is regression analysis. We performed this analysis using all quantitative variables. The data in the below table confirms our findings in the correlation analysis while also illustrating the re</w:t>
      </w:r>
      <w:r>
        <w:rPr>
          <w:sz w:val="24"/>
          <w:szCs w:val="24"/>
        </w:rPr>
        <w:t xml:space="preserve">lationship between bedrooms and the price of a home. The P-values of square footage, bedrooms, and bathrooms lead us to conclude that there is a strong relationship between these variables and the price of a home. </w:t>
      </w:r>
    </w:p>
    <w:p w14:paraId="6693B6AD" w14:textId="77777777" w:rsidR="007E4997" w:rsidRDefault="007E4997">
      <w:pPr>
        <w:rPr>
          <w:sz w:val="24"/>
          <w:szCs w:val="24"/>
        </w:rPr>
      </w:pPr>
    </w:p>
    <w:p w14:paraId="4BD3F266" w14:textId="77777777" w:rsidR="007E4997" w:rsidRDefault="008C2B44">
      <w:pPr>
        <w:rPr>
          <w:sz w:val="24"/>
          <w:szCs w:val="24"/>
        </w:rPr>
      </w:pPr>
      <w:r>
        <w:rPr>
          <w:noProof/>
        </w:rPr>
        <w:lastRenderedPageBreak/>
        <w:drawing>
          <wp:inline distT="114300" distB="114300" distL="114300" distR="114300" wp14:anchorId="7735F4E1" wp14:editId="6C004DA0">
            <wp:extent cx="5943600" cy="29464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946400"/>
                    </a:xfrm>
                    <a:prstGeom prst="rect">
                      <a:avLst/>
                    </a:prstGeom>
                    <a:ln/>
                  </pic:spPr>
                </pic:pic>
              </a:graphicData>
            </a:graphic>
          </wp:inline>
        </w:drawing>
      </w:r>
    </w:p>
    <w:p w14:paraId="1D070DF2" w14:textId="77777777" w:rsidR="007E4997" w:rsidRDefault="008C2B44">
      <w:pPr>
        <w:rPr>
          <w:sz w:val="24"/>
          <w:szCs w:val="24"/>
        </w:rPr>
      </w:pPr>
      <w:r>
        <w:rPr>
          <w:sz w:val="24"/>
          <w:szCs w:val="24"/>
        </w:rPr>
        <w:t>Another aspect of the regression analy</w:t>
      </w:r>
      <w:r>
        <w:rPr>
          <w:sz w:val="24"/>
          <w:szCs w:val="24"/>
        </w:rPr>
        <w:t>sis is R-squared. R-squared is a measure that calculates the proportion of a variable which can be explained by the independent variable. Because we are running a regression on multiple variables it is most appropriate to use the Adjusted R Square value wh</w:t>
      </w:r>
      <w:r>
        <w:rPr>
          <w:sz w:val="24"/>
          <w:szCs w:val="24"/>
        </w:rPr>
        <w:t>ich will tell us how much of the change in prices is due to the changes in our x variables - in this example, 68.8% of price variance can be explained by the x variables.</w:t>
      </w:r>
    </w:p>
    <w:p w14:paraId="32AEBD0E" w14:textId="77777777" w:rsidR="007E4997" w:rsidRDefault="008C2B44">
      <w:pPr>
        <w:rPr>
          <w:sz w:val="24"/>
          <w:szCs w:val="24"/>
        </w:rPr>
      </w:pPr>
      <w:r>
        <w:rPr>
          <w:sz w:val="24"/>
          <w:szCs w:val="24"/>
        </w:rPr>
        <w:t xml:space="preserve">Finally, our analysis led us to a Sensitivity Analysis. </w:t>
      </w:r>
    </w:p>
    <w:p w14:paraId="74978824" w14:textId="77777777" w:rsidR="007E4997" w:rsidRDefault="007E4997">
      <w:pPr>
        <w:rPr>
          <w:sz w:val="24"/>
          <w:szCs w:val="24"/>
        </w:rPr>
      </w:pPr>
    </w:p>
    <w:p w14:paraId="744EC6E9" w14:textId="77777777" w:rsidR="007E4997" w:rsidRDefault="007E4997">
      <w:pPr>
        <w:rPr>
          <w:sz w:val="24"/>
          <w:szCs w:val="24"/>
        </w:rPr>
      </w:pPr>
    </w:p>
    <w:p w14:paraId="0D31BFF9" w14:textId="77777777" w:rsidR="007E4997" w:rsidRDefault="007E4997">
      <w:pPr>
        <w:rPr>
          <w:sz w:val="24"/>
          <w:szCs w:val="24"/>
        </w:rPr>
      </w:pPr>
    </w:p>
    <w:p w14:paraId="489E7984" w14:textId="77777777" w:rsidR="007E4997" w:rsidRDefault="007E4997">
      <w:pPr>
        <w:rPr>
          <w:sz w:val="24"/>
          <w:szCs w:val="24"/>
        </w:rPr>
      </w:pPr>
    </w:p>
    <w:p w14:paraId="02A8906D" w14:textId="77777777" w:rsidR="007E4997" w:rsidRDefault="007E4997">
      <w:pPr>
        <w:rPr>
          <w:sz w:val="24"/>
          <w:szCs w:val="24"/>
        </w:rPr>
      </w:pPr>
    </w:p>
    <w:p w14:paraId="17B9666A" w14:textId="77777777" w:rsidR="007E4997" w:rsidRDefault="007E4997">
      <w:pPr>
        <w:rPr>
          <w:sz w:val="24"/>
          <w:szCs w:val="24"/>
        </w:rPr>
      </w:pPr>
    </w:p>
    <w:p w14:paraId="3E9AA88F" w14:textId="77777777" w:rsidR="007E4997" w:rsidRDefault="007E4997">
      <w:pPr>
        <w:rPr>
          <w:sz w:val="24"/>
          <w:szCs w:val="24"/>
        </w:rPr>
      </w:pPr>
    </w:p>
    <w:p w14:paraId="4E413B55" w14:textId="77777777" w:rsidR="007E4997" w:rsidRDefault="007E4997">
      <w:pPr>
        <w:rPr>
          <w:sz w:val="24"/>
          <w:szCs w:val="24"/>
        </w:rPr>
      </w:pPr>
    </w:p>
    <w:p w14:paraId="378E0D5D" w14:textId="77777777" w:rsidR="007E4997" w:rsidRDefault="007E4997">
      <w:pPr>
        <w:rPr>
          <w:sz w:val="24"/>
          <w:szCs w:val="24"/>
        </w:rPr>
      </w:pPr>
    </w:p>
    <w:p w14:paraId="5FA36853" w14:textId="77777777" w:rsidR="007E4997" w:rsidRDefault="007E4997">
      <w:pPr>
        <w:rPr>
          <w:sz w:val="24"/>
          <w:szCs w:val="24"/>
        </w:rPr>
      </w:pPr>
    </w:p>
    <w:p w14:paraId="1AE61331" w14:textId="77777777" w:rsidR="007E4997" w:rsidRDefault="007E4997">
      <w:pPr>
        <w:rPr>
          <w:sz w:val="24"/>
          <w:szCs w:val="24"/>
        </w:rPr>
      </w:pPr>
    </w:p>
    <w:p w14:paraId="077B0CE1" w14:textId="77777777" w:rsidR="007E4997" w:rsidRDefault="007E4997">
      <w:pPr>
        <w:rPr>
          <w:sz w:val="24"/>
          <w:szCs w:val="24"/>
        </w:rPr>
      </w:pPr>
    </w:p>
    <w:p w14:paraId="16A9D18F" w14:textId="77777777" w:rsidR="007E4997" w:rsidRDefault="008C2B44">
      <w:pPr>
        <w:rPr>
          <w:b/>
          <w:sz w:val="24"/>
          <w:szCs w:val="24"/>
        </w:rPr>
      </w:pPr>
      <w:r>
        <w:rPr>
          <w:b/>
          <w:sz w:val="24"/>
          <w:szCs w:val="24"/>
        </w:rPr>
        <w:lastRenderedPageBreak/>
        <w:t>Spreadsheet for Sensitivity Model</w:t>
      </w:r>
    </w:p>
    <w:p w14:paraId="0BD908CF" w14:textId="77777777" w:rsidR="007E4997" w:rsidRDefault="008C2B44">
      <w:pPr>
        <w:rPr>
          <w:sz w:val="24"/>
          <w:szCs w:val="24"/>
        </w:rPr>
      </w:pPr>
      <w:r>
        <w:rPr>
          <w:noProof/>
          <w:sz w:val="24"/>
          <w:szCs w:val="24"/>
        </w:rPr>
        <w:drawing>
          <wp:inline distT="114300" distB="114300" distL="114300" distR="114300" wp14:anchorId="62AEF6EC" wp14:editId="6D43A90D">
            <wp:extent cx="5753100" cy="3324225"/>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53100" cy="3324225"/>
                    </a:xfrm>
                    <a:prstGeom prst="rect">
                      <a:avLst/>
                    </a:prstGeom>
                    <a:ln/>
                  </pic:spPr>
                </pic:pic>
              </a:graphicData>
            </a:graphic>
          </wp:inline>
        </w:drawing>
      </w:r>
    </w:p>
    <w:p w14:paraId="2033A6F9" w14:textId="77777777" w:rsidR="007E4997" w:rsidRDefault="008C2B44">
      <w:pPr>
        <w:rPr>
          <w:sz w:val="24"/>
          <w:szCs w:val="24"/>
        </w:rPr>
      </w:pPr>
      <w:r>
        <w:rPr>
          <w:b/>
          <w:sz w:val="24"/>
          <w:szCs w:val="24"/>
        </w:rPr>
        <w:t>Description</w:t>
      </w:r>
      <w:r>
        <w:rPr>
          <w:sz w:val="24"/>
          <w:szCs w:val="24"/>
        </w:rPr>
        <w:t>: Two, two-way sensitivity analyses were performed based on our regression data. This type of analysis determines how independent variables, in this case square footage and number of bathrooms, affects a depen</w:t>
      </w:r>
      <w:r>
        <w:rPr>
          <w:sz w:val="24"/>
          <w:szCs w:val="24"/>
        </w:rPr>
        <w:t>dent variable, or price of the home.  The above depiction is a spreadsheet of the analysis that was performed. To establish our home price, we multiplied our intercept, Sq. Ft. and bathroom coefficients by the input assumption values to determine the X &amp; Y</w:t>
      </w:r>
      <w:r>
        <w:rPr>
          <w:sz w:val="24"/>
          <w:szCs w:val="24"/>
        </w:rPr>
        <w:t xml:space="preserve"> units, which in summation provides our home price = $131,625.21. </w:t>
      </w:r>
    </w:p>
    <w:p w14:paraId="789953A7" w14:textId="77777777" w:rsidR="007E4997" w:rsidRDefault="008C2B44">
      <w:pPr>
        <w:rPr>
          <w:sz w:val="24"/>
          <w:szCs w:val="24"/>
        </w:rPr>
      </w:pPr>
      <w:r>
        <w:rPr>
          <w:sz w:val="24"/>
          <w:szCs w:val="24"/>
        </w:rPr>
        <w:t xml:space="preserve">Conditional formatting applied to the data table, indicates higher house prices in red/orange and lower house prices in green/yellow. </w:t>
      </w:r>
    </w:p>
    <w:p w14:paraId="2D2B2C86" w14:textId="77777777" w:rsidR="007E4997" w:rsidRDefault="007E4997">
      <w:pPr>
        <w:rPr>
          <w:sz w:val="24"/>
          <w:szCs w:val="24"/>
        </w:rPr>
      </w:pPr>
    </w:p>
    <w:p w14:paraId="6C57D815" w14:textId="77777777" w:rsidR="007E4997" w:rsidRDefault="007E4997">
      <w:pPr>
        <w:rPr>
          <w:sz w:val="24"/>
          <w:szCs w:val="24"/>
        </w:rPr>
      </w:pPr>
    </w:p>
    <w:p w14:paraId="0109A1CE" w14:textId="77777777" w:rsidR="007E4997" w:rsidRDefault="007E4997">
      <w:pPr>
        <w:rPr>
          <w:sz w:val="24"/>
          <w:szCs w:val="24"/>
        </w:rPr>
      </w:pPr>
    </w:p>
    <w:p w14:paraId="69911F32" w14:textId="77777777" w:rsidR="007E4997" w:rsidRDefault="007E4997">
      <w:pPr>
        <w:rPr>
          <w:sz w:val="24"/>
          <w:szCs w:val="24"/>
        </w:rPr>
      </w:pPr>
    </w:p>
    <w:p w14:paraId="7F66A651" w14:textId="77777777" w:rsidR="007E4997" w:rsidRDefault="007E4997">
      <w:pPr>
        <w:rPr>
          <w:sz w:val="24"/>
          <w:szCs w:val="24"/>
        </w:rPr>
      </w:pPr>
    </w:p>
    <w:p w14:paraId="20075EF9" w14:textId="77777777" w:rsidR="007E4997" w:rsidRDefault="008C2B44">
      <w:pPr>
        <w:jc w:val="center"/>
        <w:rPr>
          <w:sz w:val="24"/>
          <w:szCs w:val="24"/>
        </w:rPr>
      </w:pPr>
      <w:r>
        <w:rPr>
          <w:noProof/>
          <w:sz w:val="24"/>
          <w:szCs w:val="24"/>
        </w:rPr>
        <w:drawing>
          <wp:inline distT="114300" distB="114300" distL="114300" distR="114300" wp14:anchorId="57B95873" wp14:editId="7C831003">
            <wp:extent cx="3769475" cy="995363"/>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769475" cy="995363"/>
                    </a:xfrm>
                    <a:prstGeom prst="rect">
                      <a:avLst/>
                    </a:prstGeom>
                    <a:ln/>
                  </pic:spPr>
                </pic:pic>
              </a:graphicData>
            </a:graphic>
          </wp:inline>
        </w:drawing>
      </w:r>
    </w:p>
    <w:p w14:paraId="55D33F83" w14:textId="77777777" w:rsidR="007E4997" w:rsidRDefault="008C2B44">
      <w:pPr>
        <w:jc w:val="center"/>
        <w:rPr>
          <w:sz w:val="24"/>
          <w:szCs w:val="24"/>
        </w:rPr>
      </w:pPr>
      <w:r>
        <w:rPr>
          <w:noProof/>
          <w:sz w:val="24"/>
          <w:szCs w:val="24"/>
        </w:rPr>
        <w:lastRenderedPageBreak/>
        <w:drawing>
          <wp:inline distT="114300" distB="114300" distL="114300" distR="114300" wp14:anchorId="4B0A33EE" wp14:editId="61772094">
            <wp:extent cx="5943600" cy="129540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295400"/>
                    </a:xfrm>
                    <a:prstGeom prst="rect">
                      <a:avLst/>
                    </a:prstGeom>
                    <a:ln/>
                  </pic:spPr>
                </pic:pic>
              </a:graphicData>
            </a:graphic>
          </wp:inline>
        </w:drawing>
      </w:r>
    </w:p>
    <w:p w14:paraId="24386241" w14:textId="77777777" w:rsidR="007E4997" w:rsidRDefault="008C2B44">
      <w:pPr>
        <w:rPr>
          <w:sz w:val="24"/>
          <w:szCs w:val="24"/>
        </w:rPr>
      </w:pPr>
      <w:r>
        <w:rPr>
          <w:b/>
          <w:sz w:val="24"/>
          <w:szCs w:val="24"/>
        </w:rPr>
        <w:t xml:space="preserve">Description: </w:t>
      </w:r>
      <w:r>
        <w:rPr>
          <w:sz w:val="24"/>
          <w:szCs w:val="24"/>
        </w:rPr>
        <w:t xml:space="preserve">An additional sensitivity model </w:t>
      </w:r>
      <w:r>
        <w:rPr>
          <w:sz w:val="24"/>
          <w:szCs w:val="24"/>
        </w:rPr>
        <w:t xml:space="preserve">was created using the number of bedrooms as a coefficient. </w:t>
      </w:r>
    </w:p>
    <w:p w14:paraId="221E0D0A" w14:textId="77777777" w:rsidR="007E4997" w:rsidRDefault="007E4997">
      <w:pPr>
        <w:jc w:val="center"/>
        <w:rPr>
          <w:sz w:val="24"/>
          <w:szCs w:val="24"/>
        </w:rPr>
      </w:pPr>
    </w:p>
    <w:p w14:paraId="75E6FFA9" w14:textId="77777777" w:rsidR="007E4997" w:rsidRDefault="007E4997">
      <w:pPr>
        <w:jc w:val="center"/>
        <w:rPr>
          <w:sz w:val="24"/>
          <w:szCs w:val="24"/>
        </w:rPr>
      </w:pPr>
    </w:p>
    <w:p w14:paraId="39EAFE17" w14:textId="77777777" w:rsidR="007E4997" w:rsidRDefault="008C2B44">
      <w:pPr>
        <w:rPr>
          <w:sz w:val="24"/>
          <w:szCs w:val="24"/>
        </w:rPr>
      </w:pPr>
      <w:r>
        <w:rPr>
          <w:sz w:val="24"/>
          <w:szCs w:val="24"/>
        </w:rPr>
        <w:t>Our regression analysis yielded some interesting results for our overall look at housing prices. One thing that could explain any non-intuitive results could be where the house is located. Any d</w:t>
      </w:r>
      <w:r>
        <w:rPr>
          <w:sz w:val="24"/>
          <w:szCs w:val="24"/>
        </w:rPr>
        <w:t xml:space="preserve">emographic data could provide meaning to what we are seeing in our results. Other explanations for non-intuitive results could be things such as current housing market conditions and current state of the economy. </w:t>
      </w:r>
    </w:p>
    <w:p w14:paraId="07229066" w14:textId="77777777" w:rsidR="007E4997" w:rsidRDefault="008C2B44">
      <w:pPr>
        <w:rPr>
          <w:sz w:val="24"/>
          <w:szCs w:val="24"/>
        </w:rPr>
      </w:pPr>
      <w:r>
        <w:rPr>
          <w:sz w:val="24"/>
          <w:szCs w:val="24"/>
        </w:rPr>
        <w:t xml:space="preserve"> </w:t>
      </w:r>
    </w:p>
    <w:p w14:paraId="540A5CF0" w14:textId="77777777" w:rsidR="007E4997" w:rsidRDefault="007E4997">
      <w:pPr>
        <w:rPr>
          <w:sz w:val="24"/>
          <w:szCs w:val="24"/>
        </w:rPr>
      </w:pPr>
    </w:p>
    <w:p w14:paraId="2C9C52C2" w14:textId="77777777" w:rsidR="007E4997" w:rsidRDefault="007E4997">
      <w:pPr>
        <w:rPr>
          <w:sz w:val="24"/>
          <w:szCs w:val="24"/>
        </w:rPr>
      </w:pPr>
    </w:p>
    <w:p w14:paraId="041FA1B7" w14:textId="77777777" w:rsidR="007E4997" w:rsidRDefault="007E4997">
      <w:pPr>
        <w:rPr>
          <w:sz w:val="24"/>
          <w:szCs w:val="24"/>
        </w:rPr>
      </w:pPr>
    </w:p>
    <w:p w14:paraId="4C8B96A9" w14:textId="77777777" w:rsidR="007E4997" w:rsidRDefault="007E4997">
      <w:pPr>
        <w:rPr>
          <w:sz w:val="24"/>
          <w:szCs w:val="24"/>
        </w:rPr>
      </w:pPr>
    </w:p>
    <w:p w14:paraId="221FBF8B" w14:textId="77777777" w:rsidR="007E4997" w:rsidRDefault="007E4997">
      <w:pPr>
        <w:rPr>
          <w:sz w:val="24"/>
          <w:szCs w:val="24"/>
        </w:rPr>
      </w:pPr>
    </w:p>
    <w:p w14:paraId="3703EB6C" w14:textId="77777777" w:rsidR="007E4997" w:rsidRDefault="007E4997">
      <w:pPr>
        <w:rPr>
          <w:sz w:val="24"/>
          <w:szCs w:val="24"/>
        </w:rPr>
      </w:pPr>
    </w:p>
    <w:sectPr w:rsidR="007E4997">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9E5A9" w14:textId="77777777" w:rsidR="008C2B44" w:rsidRDefault="008C2B44">
      <w:pPr>
        <w:spacing w:after="0" w:line="240" w:lineRule="auto"/>
      </w:pPr>
      <w:r>
        <w:separator/>
      </w:r>
    </w:p>
  </w:endnote>
  <w:endnote w:type="continuationSeparator" w:id="0">
    <w:p w14:paraId="3C873D07" w14:textId="77777777" w:rsidR="008C2B44" w:rsidRDefault="008C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829B" w14:textId="77777777" w:rsidR="008C2B44" w:rsidRDefault="008C2B44">
      <w:pPr>
        <w:spacing w:after="0" w:line="240" w:lineRule="auto"/>
      </w:pPr>
      <w:r>
        <w:separator/>
      </w:r>
    </w:p>
  </w:footnote>
  <w:footnote w:type="continuationSeparator" w:id="0">
    <w:p w14:paraId="4E3059E2" w14:textId="77777777" w:rsidR="008C2B44" w:rsidRDefault="008C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684A" w14:textId="77777777" w:rsidR="007E4997" w:rsidRDefault="007E4997">
    <w:pPr>
      <w:pBdr>
        <w:top w:val="nil"/>
        <w:left w:val="nil"/>
        <w:bottom w:val="nil"/>
        <w:right w:val="nil"/>
        <w:between w:val="nil"/>
      </w:pBdr>
      <w:tabs>
        <w:tab w:val="center" w:pos="4680"/>
        <w:tab w:val="right" w:pos="9360"/>
      </w:tabs>
      <w:spacing w:after="0" w:line="240" w:lineRule="auto"/>
      <w:rPr>
        <w:color w:val="000000"/>
      </w:rPr>
    </w:pPr>
  </w:p>
  <w:p w14:paraId="13DFC251" w14:textId="77777777" w:rsidR="007E4997" w:rsidRDefault="007E4997">
    <w:pPr>
      <w:pBdr>
        <w:top w:val="nil"/>
        <w:left w:val="nil"/>
        <w:bottom w:val="nil"/>
        <w:right w:val="nil"/>
        <w:between w:val="nil"/>
      </w:pBdr>
      <w:tabs>
        <w:tab w:val="center" w:pos="4680"/>
        <w:tab w:val="right" w:pos="9360"/>
      </w:tabs>
      <w:spacing w:after="0" w:line="240" w:lineRule="auto"/>
      <w:rPr>
        <w:color w:val="000000"/>
      </w:rPr>
    </w:pPr>
  </w:p>
  <w:p w14:paraId="0A2E5254" w14:textId="77777777" w:rsidR="007E4997" w:rsidRDefault="007E499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C50F6"/>
    <w:multiLevelType w:val="multilevel"/>
    <w:tmpl w:val="5C9A0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D5285A"/>
    <w:multiLevelType w:val="multilevel"/>
    <w:tmpl w:val="84BCB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E023F8"/>
    <w:multiLevelType w:val="multilevel"/>
    <w:tmpl w:val="39C0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97"/>
    <w:rsid w:val="000D39DB"/>
    <w:rsid w:val="007E4997"/>
    <w:rsid w:val="008C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484C"/>
  <w15:docId w15:val="{76288A10-C99B-4159-808E-73FE11C2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27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4E"/>
  </w:style>
  <w:style w:type="paragraph" w:styleId="Footer">
    <w:name w:val="footer"/>
    <w:basedOn w:val="Normal"/>
    <w:link w:val="FooterChar"/>
    <w:uiPriority w:val="99"/>
    <w:unhideWhenUsed/>
    <w:rsid w:val="00927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4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0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B98"/>
    <w:rPr>
      <w:rFonts w:ascii="Segoe UI" w:hAnsi="Segoe UI" w:cs="Segoe UI"/>
      <w:sz w:val="18"/>
      <w:szCs w:val="18"/>
    </w:r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I460qmYw7CnccY69SoK145xTJA==">AMUW2mWgy9xoAwA5zNFlE5LC7ahTqmM2J57tcTtj8X5K4HESOQNc74viTjHQB7ouSE3Q5CztiA+feRaAfivLAMgLO0bFO/PtqrBiTtl9k/RJkKDwYZEbE6M=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Mowbray, Alexa  (AGDC)</dc:creator>
  <cp:lastModifiedBy>David Doman</cp:lastModifiedBy>
  <cp:revision>2</cp:revision>
  <dcterms:created xsi:type="dcterms:W3CDTF">2020-04-28T21:24:00Z</dcterms:created>
  <dcterms:modified xsi:type="dcterms:W3CDTF">2020-04-28T21:24:00Z</dcterms:modified>
</cp:coreProperties>
</file>