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&amp; Network Automation Engineer</w:t>
      </w:r>
    </w:p>
    <w:p>
      <w:r>
        <w:rPr>
          <w:rFonts w:ascii="Calibri" w:hAnsi="Calibri"/>
          <w:b w:val="0"/>
          <w:color w:val="000000"/>
          <w:sz w:val="20"/>
        </w:rPr>
        <w:t>Infrastructure automation architect with 10+ years of experience building production-grade orchestration platforms, network provisioning systems, and API-driven lifecycle management at enterprise scale. Engineered a global provisioning framework that manages 20,000+ virtual machines with automated network isolation, IP allocation, firewall policy enforcement, and multi-datacenter resilience. Deep expertise in Python middleware development, REST API integration, infrastructure-as-code (Terraform/Ansible), and security automation—including automated DMZ provisioning and Check Point firewall rule generation. Proven ability to design cloud-agnostic abstraction layers, GitOps-driven CI/CD pipelines, and high-availability architectures across geo-redundant datacenters in a regulated financial environment.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Provisioning &amp; Lifecycle Management: </w:t>
      </w:r>
      <w:r>
        <w:rPr>
          <w:rFonts w:ascii="Calibri" w:hAnsi="Calibri"/>
          <w:b w:val="0"/>
          <w:color w:val="000000"/>
          <w:sz w:val="18"/>
        </w:rPr>
        <w:t>Developed an intelligent IP provisioning engine through InfoBlox API integration with automated subnet allocation and network resource lifecycle management; eliminated 1,000+ engineer hours annually and resolved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 with programmatic security policy enforcement; integrated network isolation and a hardened security posture into the server build cycle to ensure day-zero tenant separation.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the Ansible Automation Platform; implemented advanced retry logic, automatic remediation of deployment failures, and a pub/sub queue model for high-volume, API-driven network and compute provisioning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backups and compute placement with programmable resource lifecycle management,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 a highly resilient architecture spanning three identical, geo-redundant datacenters with automated failover, ensuring maximum uptime and disaster recovery readiness across distributed workloads.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infrastructure deployments to Azure; implemented a pull-request-based workflow that standardized infrastructure changes through automated plan/apply cycles with infrastructure-as-code governance.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designing an abstraction layer that enabled seamless deployment across hybrid infrastructure while maintaining a consistent programmatic interface for end users.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that delivered fully patched and hardened Linux (Ansible) and Windows (GPO) servers; automated agent installation, drive formatting, and security-compliant deployments at scale in a regulated financial environment.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high-performance,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read-only dry-run modes; implemented least-privilege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across distributed infrastructure.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hybrid-cloud operations and network isolation.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rules, switch ACLs, and network policies for a massive distributed network spanning 12 airports and 3 satellite offices, ensuring tenant isolation and security compliance.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telemetry frameworks for business-critical systems, providing network observability and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 and network telemetry.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Go (familiar), Bash, SQL, PowerShell,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BGP, DNS, VXLAN, VPN, F5 Load Balancing, High Availability, VRRP, Intrusion Detection, Vulnerability Scanning, Meraki MDM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REST API, GitOps, CI/CD Pipelines, Ansible Automation Platform, Middleware Development, Gitlab, Grafana, GraphQL, ServiceNow,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Linux Networking, VMware vSphere, Azure Cloud Services, Check Point Firewalls, Infrastructure as Code (IaC), OS Hardening (CIS/STIG), DBaaS, NUMA Tuning, Nutanix AHV, Rubrik, Active Directory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