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Infrastructure &amp; Networking Engineer | Distributed Systems, VPN, and API-Driven Automation</w:t>
      </w:r>
    </w:p>
    <w:p>
      <w:r>
        <w:rPr>
          <w:rFonts w:ascii="Calibri" w:hAnsi="Calibri"/>
          <w:b w:val="0"/>
          <w:color w:val="000000"/>
          <w:sz w:val="20"/>
        </w:rPr>
        <w:t>Enthusiastic technical professional with 10+ years of experience engineering complex networked systems at scale. Possesses deep expertise in IP management, VPN connectivity, DNS architecture, firewall automation, and distributed infrastructure spanning geo-redundant datacenters. Architected a global provisioning framework that manages 20,000+ virtual machines with integrated, API-driven workflows across VMware, Infoblox, Check Point, and Rubrik. Proven ability to diagnose and resolve complex networking issues, build for observability, and deliver secure, resilient infrastructure with a security-first mindset. Experienced with SQL databases, Python middleware development, and hybrid-cloud networking.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Efficiency: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 that automated IP address management, eliminated 1,000+ engineering hours annually, and resolved a multi-year infrastructure bottleneck in IP addressing and routing workflows.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Security Automation: </w:t>
      </w:r>
      <w:r>
        <w:rPr>
          <w:rFonts w:ascii="Calibri" w:hAnsi="Calibri"/>
          <w:b w:val="0"/>
          <w:color w:val="000000"/>
          <w:sz w:val="18"/>
        </w:rPr>
        <w:t>Automated Check Point firewall rule generation and DMZ provisioning; integrated security policy updates into the server build cycle to ensure day-zero network isolation, NAT configuration, and a hardened security posture across distributed environments.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maintained a highly resilient distributed infrastructure architecture spanning three identical, geo-redundant datacenters with automated failover to ensure maximum uptime and disaster recovery readiness.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APIs to automate backup and compute placement, built for observability, and ensured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Platform Engineering &amp; Middleware: </w:t>
      </w:r>
      <w:r>
        <w:rPr>
          <w:rFonts w:ascii="Calibri" w:hAnsi="Calibri"/>
          <w:b w:val="0"/>
          <w:color w:val="000000"/>
          <w:sz w:val="18"/>
        </w:rPr>
        <w:t>Designed and developed a custom Python orchestration application as middleware between ServiceNow and Ansible Automation Platform; implemented advanced retry logic, auto-remediation of deployment failures, and a pub/sub queue model for high-volume scaling in a distributed systems architecture.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Database as a Service (DBaaS): </w:t>
      </w:r>
      <w:r>
        <w:rPr>
          <w:rFonts w:ascii="Calibri" w:hAnsi="Calibri"/>
          <w:b w:val="0"/>
          <w:color w:val="000000"/>
          <w:sz w:val="18"/>
        </w:rPr>
        <w:t>Collaborated with Database Engineering to architect a high-performance on-premises SQL cluster, enabling a unified DBaaS offering that consolidated fragmented legacy databases and streamlined application delivery.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on-premises automation workflows to be fully cloud-agnostic, enabling seamless deployment to Azure; designed the logic to be transparent to end users, maintaining a consistent interface while abstracting the underlying infrastructure provider.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Hybrid Cloud &amp; GitOps: </w:t>
      </w:r>
      <w:r>
        <w:rPr>
          <w:rFonts w:ascii="Calibri" w:hAnsi="Calibri"/>
          <w:b w:val="0"/>
          <w:color w:val="000000"/>
          <w:sz w:val="18"/>
        </w:rPr>
        <w:t>Architected GitOps-driven CI/CD pipelines using Terraform to automate the deployment of virtual machines to Azure; implemented a pull-request-based workflow that standardized infrastructure changes through automated plan/apply cycles.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End-to-End Hardening &amp; Provisioning: </w:t>
      </w:r>
      <w:r>
        <w:rPr>
          <w:rFonts w:ascii="Calibri" w:hAnsi="Calibri"/>
          <w:b w:val="0"/>
          <w:color w:val="000000"/>
          <w:sz w:val="18"/>
        </w:rPr>
        <w:t>Developed a zero-touch build workflow that delivers fully patched and hardened Linux (Ansible) and Windows (GPO) servers; automated agent installation, drive formatting, and optional hardened SQL deployments at scale with a security-first approach.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 as a primary mentor for the Technology Development Program (TDP), setting enterprise-wide standards for naming conventions, Git branching strategies, and unit testing for infrastructure code.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'read-only' dry-run modes; implemented least-privilege permissions and robust rollback protocols for stale object cleanup.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3-month window using custom PowerShell automation, avoiding $400,000 in extended licensing fees.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traffic-routing performance across distributed environments.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on-premises networks with cloud resources, ensuring seamless hybrid-cloud operations and secure interconnectivity.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customers' online ordering while mitigating external threat vectors.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hang by identifying a NUMA architecture mismatch; realigned vCPU/memory topology to eliminate cross-node latency and restore system stability.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rules, switch ACLs, and routing policies for a distributed network spanning 12 airports and 3 satellite offices, troubleshooting and resolving complex networking issues across diverse environments.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and observability frameworks for business-critical systems, reducing mean time to resolution (MTTR) through proactive incident detection and response.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implementing automated security protocols including geofencing, remote-wipe triggers, and custom application deployment.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metrics, improving observability across networked systems.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VPN, DNS, IP Addressing &amp; Management, BGP, F5 Load Balancing, High Availability, VRRP, Intrusion Detection, Vulnerability Scanning, Meraki MDM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SQL, Bash, PowerShell, YAML,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REST API, Middleware Development, Terraform, GitOps, CI/CD Pipelines, Ansible Automation Platform, Grafana, ServiceNow, Gitlab, GraphQL, Unit Testing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Infrastructure as Code (IaC), VMware vSphere, Azure Cloud Services, Check Point Firewalls, OS Hardening (CIS/STIG), DBaaS, Active Directory, Rubrik, Nutanix AHV, NUMA Tuning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</w:p>
    <w:p>
      <w:r>
        <w:rPr>
          <w:rFonts w:ascii="Calibri" w:hAnsi="Calibri"/>
          <w:b w:val="0"/>
          <w:color w:val="000000"/>
          <w:sz w:val="18"/>
        </w:rPr>
        <w:t>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