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Automation Architect | Data Protection &amp; Resilience Engineering</w:t>
      </w:r>
    </w:p>
    <w:p>
      <w:r>
        <w:rPr>
          <w:rFonts w:ascii="Calibri" w:hAnsi="Calibri"/>
          <w:b w:val="0"/>
          <w:color w:val="000000"/>
          <w:sz w:val="20"/>
        </w:rPr>
        <w:t>Enthusiastic technical professional with 10+ years of experience managing enterprise systems, specializing in data protection, backup automation, and infrastructure resilience. Architected a global provisioning framework managing 20,000+ virtual machines with integrated Rubrik Security Cloud backup policies ensuring 100% RTO/RPO compliance. Expert in building API-driven automation workflows across VMware, ServiceNow, Infoblox, Rubrik, and Ansible Automation Platform within regulated banking environments. Proven track record delivering operational efficiency improvements, including $400k in licensing savings, automated disaster recovery solutions, and the engineering of first-of-their-kind backup lifecycle integrations that eliminated manual intervention while maintaining audit compliance.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 Protection Architecture::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policy assignment and compute placement, ensuring 100% RTO/RPO compliance at build-time without manual data protection team intervention.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 Automation:: </w:t>
      </w:r>
      <w:r>
        <w:rPr>
          <w:rFonts w:ascii="Calibri" w:hAnsi="Calibri"/>
          <w:b w:val="0"/>
          <w:color w:val="000000"/>
          <w:sz w:val="18"/>
        </w:rPr>
        <w:t>Partnered with Database Architects to automate "Always-On" MS SQL clusters across three geo-redundant data centers; pioneered an automated firewall rule request system to ensure seamless inter-cluster communication and recovery capabilities.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and resolving a multi-year infrastructure bottleneck through REST API-driven automation.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Governance &amp; Compliance:: </w:t>
      </w:r>
      <w:r>
        <w:rPr>
          <w:rFonts w:ascii="Calibri" w:hAnsi="Calibri"/>
          <w:b w:val="0"/>
          <w:color w:val="000000"/>
          <w:sz w:val="18"/>
        </w:rPr>
        <w:t>Designed an end-to-end "Auto-Decommission" workflow with integrated ServiceNow Change Control APIs; automated the generation and closure of audit-compliant paperwork, reducing administrative overhead by 100% per retirement while maintaining regulatory compliance.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 through efficient lifecycle management.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Strategy:: </w:t>
      </w:r>
      <w:r>
        <w:rPr>
          <w:rFonts w:ascii="Calibri" w:hAnsi="Calibri"/>
          <w:b w:val="0"/>
          <w:color w:val="000000"/>
          <w:sz w:val="18"/>
        </w:rPr>
        <w:t>Modernized legacy data center networking by collaborating with Network Architects to design high-capacity subnets, enabling fully automated DMZ provisioning for the first time in bank history.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"Read-Only" dry-run modes; implemented Least Privilege permissions and robust rollback protocols for stale object cleanup to ensure operational safety.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 networks with cloud resources, ensuring seamless hybrid-cloud operations.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Monitoring:: </w:t>
      </w:r>
      <w:r>
        <w:rPr>
          <w:rFonts w:ascii="Calibri" w:hAnsi="Calibri"/>
          <w:b w:val="0"/>
          <w:color w:val="000000"/>
          <w:sz w:val="18"/>
        </w:rPr>
        <w:t>Developed service-aware alerting frameworks for business-critical systems,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Mobile Management::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enabling centralized cloud-based control of enterprise mobile assets.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PowerShell, Python, YAML, SQL, Bash,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Ansible Automation Platform, REST API, GraphQL, CI/CD Pipelines, ServiceNow, Gitlab, Source Control, Disaster Recovery, Grafana, Time-series Database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Rubrik, VMware vSphere, Azure, Infrastructure as Code, Active Directory, Disaster Recovery, Policy-driven storage tiering, Infoblox, Windows Server, Red Hat Linux, Server Lifecycle, Nutanix AHV, Citrix Virtual Apps, Group Policy, IIS, NGINX Reverse Proxy, Artifactory, SSL/TLS, RAID, Datto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DNS, VPN, High Availability, Firewall Rules, Load Balancing, F5, Uptime Monitoring, Vulnerability Scanning, Intrusion Detection, VRRP, BGP, Meraki, Arista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</w:p>
    <w:p>
      <w:r>
        <w:rPr>
          <w:rFonts w:ascii="Calibri" w:hAnsi="Calibri"/>
          <w:b w:val="0"/>
          <w:color w:val="000000"/>
          <w:sz w:val="18"/>
        </w:rPr>
        <w:t>SUNY Fredonia -- 12/2012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  <w:r>
        <w:rPr>
          <w:rFonts w:ascii="Calibri" w:hAnsi="Calibri"/>
          <w:b w:val="0"/>
          <w:color w:val="000000"/>
          <w:sz w:val="18"/>
        </w:rPr>
        <w:t xml:space="preserve"> - 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Buffalo, NY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 -- Buffalo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