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DevOps Engineer &amp; Infrastructure Automation Architect</w:t>
      </w:r>
    </w:p>
    <w:p>
      <w:r>
        <w:rPr>
          <w:rFonts w:ascii="Calibri" w:hAnsi="Calibri"/>
          <w:b w:val="0"/>
          <w:color w:val="000000"/>
          <w:sz w:val="20"/>
        </w:rPr>
        <w:t>Results-driven DevOps professional with 10+ years of experience architecting scalable, cloud-native infrastructure and CI/CD pipelines for enterprise environments. Expert in Infrastructure as Code (Terraform, Ansible), having built automated provisioning frameworks managing 20,000+ virtual machines with 100% compliance. Proven track record of enhancing developer velocity through robust automation, monitoring solutions, and API-driven workflows across VMware, ServiceNow, Infoblox, and Rubrik. Demonstrated ability to balance rapid deployment cadence with operational excellence, delivering $400k in cost savings while maintaining high availability across geo-redundant data centers.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DevOps &amp; CI/CD: </w:t>
      </w:r>
      <w:r>
        <w:rPr>
          <w:rFonts w:ascii="Calibri" w:hAnsi="Calibri"/>
          <w:b w:val="0"/>
          <w:color w:val="000000"/>
          <w:sz w:val="18"/>
        </w:rPr>
        <w:t>Developed scalable CI/CD pipelines utilizing Terraform automation to standardize environment deployments and reduce configuration drift across the enterprise.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Governance &amp; Compliance: </w:t>
      </w:r>
      <w:r>
        <w:rPr>
          <w:rFonts w:ascii="Calibri" w:hAnsi="Calibri"/>
          <w:b w:val="0"/>
          <w:color w:val="000000"/>
          <w:sz w:val="18"/>
        </w:rPr>
        <w:t>Designed an end-to-end 'Auto-Decommission' workflow with integrated ServiceNow Change Control APIs; automated the generation and closure of audit-compliant paperwork, reducing administrative overhead by 100% per retirement.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 centers to ensure maximum uptime and disaster recovery readiness.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High-Availability Engineering: </w:t>
      </w:r>
      <w:r>
        <w:rPr>
          <w:rFonts w:ascii="Calibri" w:hAnsi="Calibri"/>
          <w:b w:val="0"/>
          <w:color w:val="000000"/>
          <w:sz w:val="18"/>
        </w:rPr>
        <w:t>Partnered with Database Architects to automate 'Always-On' MS SQL clusters across three geo-redundant data centers; pioneered an automated firewall rule request system to ensure seamless inter-cluster communication.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 Privilege permissions and robust rollback protocols for stale object cleanup.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Strategy: </w:t>
      </w:r>
      <w:r>
        <w:rPr>
          <w:rFonts w:ascii="Calibri" w:hAnsi="Calibri"/>
          <w:b w:val="0"/>
          <w:color w:val="000000"/>
          <w:sz w:val="18"/>
        </w:rPr>
        <w:t>Modernized legacy data center networking by collaborating with Network Architects to design high-capacity subnets, enabling fully automated DMZ provisioning for the first time in bank history.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Mobile Management: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enabling centralized cloud-based control of enterprise mobile assets.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Bash, PowerShell, YAML, SQL,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Ansible Automation Platform, CI/CD Pipelines, Gitlab, REST API, GraphQL, ServiceNow, Source Control, Grafana, Time-series Database, Disaster Recovery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Code, Azure, VMware vSphere, Red Hat Linux, Active Directory, Rubrik, Infoblox, Nutanix AHV, Windows Server, Server Lifecycle, NGINX Reverse Proxy, SSL/TLS, IIS, Citrix Virtual Apps, Artifactory, Group Policy, Policy-driven storage tiering, RAID, Datto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DNS, VPN, Firewall Rules, Load Balancing, High Availability, F5, BGP, VRRP, Meraki, Uptime Monitoring, Intrusion Detection, Vulnerability Scanning, Arista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</w:p>
    <w:p>
      <w:r>
        <w:rPr>
          <w:rFonts w:ascii="Calibri" w:hAnsi="Calibri"/>
          <w:b w:val="0"/>
          <w:color w:val="000000"/>
          <w:sz w:val="18"/>
        </w:rPr>
        <w:t>SUNY Fredonia -- 12/2012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  <w:r>
        <w:rPr>
          <w:rFonts w:ascii="Calibri" w:hAnsi="Calibri"/>
          <w:b w:val="0"/>
          <w:color w:val="000000"/>
          <w:sz w:val="18"/>
        </w:rPr>
        <w:t xml:space="preserve"> - 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Buffalo, NY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 -- Buffalo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